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4.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5.xml" ContentType="application/vnd.openxmlformats-officedocument.themeOverride+xml"/>
  <Override PartName="/word/charts/chart6.xml" ContentType="application/vnd.openxmlformats-officedocument.drawingml.chart+xml"/>
  <Override PartName="/word/theme/themeOverride6.xml" ContentType="application/vnd.openxmlformats-officedocument.themeOverride+xml"/>
  <Override PartName="/word/charts/chart7.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7.xml" ContentType="application/vnd.openxmlformats-officedocument.themeOverride+xml"/>
  <Override PartName="/word/charts/chart8.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8.xml" ContentType="application/vnd.openxmlformats-officedocument.themeOverride+xml"/>
  <Override PartName="/word/charts/chart9.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9.xml" ContentType="application/vnd.openxmlformats-officedocument.themeOverride+xml"/>
  <Override PartName="/word/charts/chart10.xml" ContentType="application/vnd.openxmlformats-officedocument.drawingml.chart+xml"/>
  <Override PartName="/word/theme/themeOverride10.xml" ContentType="application/vnd.openxmlformats-officedocument.themeOverride+xml"/>
  <Override PartName="/word/drawings/drawing1.xml" ContentType="application/vnd.openxmlformats-officedocument.drawingml.chartshapes+xml"/>
  <Override PartName="/word/charts/chart11.xml" ContentType="application/vnd.openxmlformats-officedocument.drawingml.chart+xml"/>
  <Override PartName="/word/theme/themeOverride11.xml" ContentType="application/vnd.openxmlformats-officedocument.themeOverride+xml"/>
  <Override PartName="/word/drawings/drawing2.xml" ContentType="application/vnd.openxmlformats-officedocument.drawingml.chartshapes+xml"/>
  <Override PartName="/word/charts/chart12.xml" ContentType="application/vnd.openxmlformats-officedocument.drawingml.chart+xml"/>
  <Override PartName="/word/theme/themeOverride12.xml" ContentType="application/vnd.openxmlformats-officedocument.themeOverride+xml"/>
  <Override PartName="/word/charts/chart13.xml" ContentType="application/vnd.openxmlformats-officedocument.drawingml.chart+xml"/>
  <Override PartName="/word/theme/themeOverride13.xml" ContentType="application/vnd.openxmlformats-officedocument.themeOverride+xml"/>
  <Override PartName="/word/drawings/drawing3.xml" ContentType="application/vnd.openxmlformats-officedocument.drawingml.chartshapes+xml"/>
  <Override PartName="/word/charts/chart14.xml" ContentType="application/vnd.openxmlformats-officedocument.drawingml.chart+xml"/>
  <Override PartName="/word/theme/themeOverride14.xml" ContentType="application/vnd.openxmlformats-officedocument.themeOverride+xml"/>
  <Override PartName="/word/drawings/drawing4.xml" ContentType="application/vnd.openxmlformats-officedocument.drawingml.chartshapes+xml"/>
  <Override PartName="/word/charts/chart15.xml" ContentType="application/vnd.openxmlformats-officedocument.drawingml.chart+xml"/>
  <Override PartName="/word/charts/style9.xml" ContentType="application/vnd.ms-office.chartstyle+xml"/>
  <Override PartName="/word/charts/colors9.xml" ContentType="application/vnd.ms-office.chartcolorstyle+xml"/>
  <Override PartName="/word/theme/themeOverride15.xml" ContentType="application/vnd.openxmlformats-officedocument.themeOverride+xml"/>
  <Override PartName="/word/charts/chart16.xml" ContentType="application/vnd.openxmlformats-officedocument.drawingml.chart+xml"/>
  <Override PartName="/word/charts/style10.xml" ContentType="application/vnd.ms-office.chartstyle+xml"/>
  <Override PartName="/word/charts/colors10.xml" ContentType="application/vnd.ms-office.chartcolorstyle+xml"/>
  <Override PartName="/word/theme/themeOverride16.xml" ContentType="application/vnd.openxmlformats-officedocument.themeOverride+xml"/>
  <Override PartName="/word/charts/chart17.xml" ContentType="application/vnd.openxmlformats-officedocument.drawingml.chart+xml"/>
  <Override PartName="/word/charts/style11.xml" ContentType="application/vnd.ms-office.chartstyle+xml"/>
  <Override PartName="/word/charts/colors11.xml" ContentType="application/vnd.ms-office.chartcolorstyle+xml"/>
  <Override PartName="/word/theme/themeOverride17.xml" ContentType="application/vnd.openxmlformats-officedocument.themeOverride+xml"/>
  <Override PartName="/word/charts/chart18.xml" ContentType="application/vnd.openxmlformats-officedocument.drawingml.chart+xml"/>
  <Override PartName="/word/charts/style12.xml" ContentType="application/vnd.ms-office.chartstyle+xml"/>
  <Override PartName="/word/charts/colors12.xml" ContentType="application/vnd.ms-office.chartcolorstyle+xml"/>
  <Override PartName="/word/theme/themeOverride18.xml" ContentType="application/vnd.openxmlformats-officedocument.themeOverride+xml"/>
  <Override PartName="/word/charts/chart19.xml" ContentType="application/vnd.openxmlformats-officedocument.drawingml.chart+xml"/>
  <Override PartName="/word/theme/themeOverride19.xml" ContentType="application/vnd.openxmlformats-officedocument.themeOverride+xml"/>
  <Override PartName="/word/drawings/drawing5.xml" ContentType="application/vnd.openxmlformats-officedocument.drawingml.chartshapes+xml"/>
  <Override PartName="/word/charts/chart20.xml" ContentType="application/vnd.openxmlformats-officedocument.drawingml.chart+xml"/>
  <Override PartName="/word/theme/themeOverride20.xml" ContentType="application/vnd.openxmlformats-officedocument.themeOverride+xml"/>
  <Override PartName="/word/charts/chart21.xml" ContentType="application/vnd.openxmlformats-officedocument.drawingml.chart+xml"/>
  <Override PartName="/word/charts/style13.xml" ContentType="application/vnd.ms-office.chartstyle+xml"/>
  <Override PartName="/word/charts/colors13.xml" ContentType="application/vnd.ms-office.chartcolorstyle+xml"/>
  <Override PartName="/word/theme/themeOverride21.xml" ContentType="application/vnd.openxmlformats-officedocument.themeOverride+xml"/>
  <Override PartName="/word/charts/chart22.xml" ContentType="application/vnd.openxmlformats-officedocument.drawingml.chart+xml"/>
  <Override PartName="/word/charts/style14.xml" ContentType="application/vnd.ms-office.chartstyle+xml"/>
  <Override PartName="/word/charts/colors14.xml" ContentType="application/vnd.ms-office.chartcolorstyle+xml"/>
  <Override PartName="/word/theme/themeOverride22.xml" ContentType="application/vnd.openxmlformats-officedocument.themeOverride+xml"/>
  <Override PartName="/word/charts/chart23.xml" ContentType="application/vnd.openxmlformats-officedocument.drawingml.chart+xml"/>
  <Override PartName="/word/charts/style15.xml" ContentType="application/vnd.ms-office.chartstyle+xml"/>
  <Override PartName="/word/charts/colors15.xml" ContentType="application/vnd.ms-office.chartcolorstyle+xml"/>
  <Override PartName="/word/theme/themeOverride23.xml" ContentType="application/vnd.openxmlformats-officedocument.themeOverride+xml"/>
  <Override PartName="/word/charts/chart24.xml" ContentType="application/vnd.openxmlformats-officedocument.drawingml.chart+xml"/>
  <Override PartName="/word/charts/style16.xml" ContentType="application/vnd.ms-office.chartstyle+xml"/>
  <Override PartName="/word/charts/colors16.xml" ContentType="application/vnd.ms-office.chartcolorstyle+xml"/>
  <Override PartName="/word/theme/themeOverride24.xml" ContentType="application/vnd.openxmlformats-officedocument.themeOverride+xml"/>
  <Override PartName="/word/charts/chart25.xml" ContentType="application/vnd.openxmlformats-officedocument.drawingml.chart+xml"/>
  <Override PartName="/word/charts/style17.xml" ContentType="application/vnd.ms-office.chartstyle+xml"/>
  <Override PartName="/word/charts/colors17.xml" ContentType="application/vnd.ms-office.chartcolorstyle+xml"/>
  <Override PartName="/word/theme/themeOverride25.xml" ContentType="application/vnd.openxmlformats-officedocument.themeOverride+xml"/>
  <Override PartName="/word/charts/chart26.xml" ContentType="application/vnd.openxmlformats-officedocument.drawingml.chart+xml"/>
  <Override PartName="/word/charts/style18.xml" ContentType="application/vnd.ms-office.chartstyle+xml"/>
  <Override PartName="/word/charts/colors18.xml" ContentType="application/vnd.ms-office.chartcolorstyle+xml"/>
  <Override PartName="/word/theme/themeOverride26.xml" ContentType="application/vnd.openxmlformats-officedocument.themeOverride+xml"/>
  <Override PartName="/word/charts/chart27.xml" ContentType="application/vnd.openxmlformats-officedocument.drawingml.chart+xml"/>
  <Override PartName="/word/charts/style19.xml" ContentType="application/vnd.ms-office.chartstyle+xml"/>
  <Override PartName="/word/charts/colors19.xml" ContentType="application/vnd.ms-office.chartcolorstyle+xml"/>
  <Override PartName="/word/theme/themeOverride27.xml" ContentType="application/vnd.openxmlformats-officedocument.themeOverride+xml"/>
  <Override PartName="/word/charts/chart28.xml" ContentType="application/vnd.openxmlformats-officedocument.drawingml.chart+xml"/>
  <Override PartName="/word/charts/style20.xml" ContentType="application/vnd.ms-office.chartstyle+xml"/>
  <Override PartName="/word/charts/colors20.xml" ContentType="application/vnd.ms-office.chartcolorstyle+xml"/>
  <Override PartName="/word/theme/themeOverride28.xml" ContentType="application/vnd.openxmlformats-officedocument.themeOverride+xml"/>
  <Override PartName="/word/charts/chart29.xml" ContentType="application/vnd.openxmlformats-officedocument.drawingml.chart+xml"/>
  <Override PartName="/word/charts/style21.xml" ContentType="application/vnd.ms-office.chartstyle+xml"/>
  <Override PartName="/word/charts/colors21.xml" ContentType="application/vnd.ms-office.chartcolorstyle+xml"/>
  <Override PartName="/word/theme/themeOverride29.xml" ContentType="application/vnd.openxmlformats-officedocument.themeOverride+xml"/>
  <Override PartName="/word/charts/chart30.xml" ContentType="application/vnd.openxmlformats-officedocument.drawingml.chart+xml"/>
  <Override PartName="/word/charts/style22.xml" ContentType="application/vnd.ms-office.chartstyle+xml"/>
  <Override PartName="/word/charts/colors22.xml" ContentType="application/vnd.ms-office.chartcolorstyle+xml"/>
  <Override PartName="/word/theme/themeOverride30.xml" ContentType="application/vnd.openxmlformats-officedocument.themeOverride+xml"/>
  <Override PartName="/word/charts/chart31.xml" ContentType="application/vnd.openxmlformats-officedocument.drawingml.chart+xml"/>
  <Override PartName="/word/theme/themeOverride31.xml" ContentType="application/vnd.openxmlformats-officedocument.themeOverride+xml"/>
  <Override PartName="/word/drawings/drawing6.xml" ContentType="application/vnd.openxmlformats-officedocument.drawingml.chartshapes+xml"/>
  <Override PartName="/word/charts/chart32.xml" ContentType="application/vnd.openxmlformats-officedocument.drawingml.chart+xml"/>
  <Override PartName="/word/charts/style23.xml" ContentType="application/vnd.ms-office.chartstyle+xml"/>
  <Override PartName="/word/charts/colors23.xml" ContentType="application/vnd.ms-office.chartcolorstyle+xml"/>
  <Override PartName="/word/theme/themeOverride32.xml" ContentType="application/vnd.openxmlformats-officedocument.themeOverride+xml"/>
  <Override PartName="/word/charts/chart33.xml" ContentType="application/vnd.openxmlformats-officedocument.drawingml.chart+xml"/>
  <Override PartName="/word/charts/style24.xml" ContentType="application/vnd.ms-office.chartstyle+xml"/>
  <Override PartName="/word/charts/colors24.xml" ContentType="application/vnd.ms-office.chartcolorstyle+xml"/>
  <Override PartName="/word/theme/themeOverride33.xml" ContentType="application/vnd.openxmlformats-officedocument.themeOverride+xml"/>
  <Override PartName="/word/charts/chart34.xml" ContentType="application/vnd.openxmlformats-officedocument.drawingml.chart+xml"/>
  <Override PartName="/word/charts/style25.xml" ContentType="application/vnd.ms-office.chartstyle+xml"/>
  <Override PartName="/word/charts/colors25.xml" ContentType="application/vnd.ms-office.chartcolorstyle+xml"/>
  <Override PartName="/word/theme/themeOverride34.xml" ContentType="application/vnd.openxmlformats-officedocument.themeOverride+xml"/>
  <Override PartName="/word/charts/chart35.xml" ContentType="application/vnd.openxmlformats-officedocument.drawingml.chart+xml"/>
  <Override PartName="/word/charts/style26.xml" ContentType="application/vnd.ms-office.chartstyle+xml"/>
  <Override PartName="/word/charts/colors26.xml" ContentType="application/vnd.ms-office.chartcolorstyle+xml"/>
  <Override PartName="/word/theme/themeOverride35.xml" ContentType="application/vnd.openxmlformats-officedocument.themeOverride+xml"/>
  <Override PartName="/word/charts/chart36.xml" ContentType="application/vnd.openxmlformats-officedocument.drawingml.chart+xml"/>
  <Override PartName="/word/charts/style27.xml" ContentType="application/vnd.ms-office.chartstyle+xml"/>
  <Override PartName="/word/charts/colors27.xml" ContentType="application/vnd.ms-office.chartcolorstyle+xml"/>
  <Override PartName="/word/theme/themeOverride36.xml" ContentType="application/vnd.openxmlformats-officedocument.themeOverride+xml"/>
  <Override PartName="/word/charts/chart37.xml" ContentType="application/vnd.openxmlformats-officedocument.drawingml.chart+xml"/>
  <Override PartName="/word/charts/style28.xml" ContentType="application/vnd.ms-office.chartstyle+xml"/>
  <Override PartName="/word/charts/colors28.xml" ContentType="application/vnd.ms-office.chartcolorstyle+xml"/>
  <Override PartName="/word/theme/themeOverride37.xml" ContentType="application/vnd.openxmlformats-officedocument.themeOverride+xml"/>
  <Override PartName="/word/charts/chart38.xml" ContentType="application/vnd.openxmlformats-officedocument.drawingml.chart+xml"/>
  <Override PartName="/word/charts/style29.xml" ContentType="application/vnd.ms-office.chartstyle+xml"/>
  <Override PartName="/word/charts/colors29.xml" ContentType="application/vnd.ms-office.chartcolorstyle+xml"/>
  <Override PartName="/word/theme/themeOverride38.xml" ContentType="application/vnd.openxmlformats-officedocument.themeOverride+xml"/>
  <Override PartName="/word/charts/chart39.xml" ContentType="application/vnd.openxmlformats-officedocument.drawingml.chart+xml"/>
  <Override PartName="/word/charts/style30.xml" ContentType="application/vnd.ms-office.chartstyle+xml"/>
  <Override PartName="/word/charts/colors30.xml" ContentType="application/vnd.ms-office.chartcolorstyle+xml"/>
  <Override PartName="/word/theme/themeOverride39.xml" ContentType="application/vnd.openxmlformats-officedocument.themeOverride+xml"/>
  <Override PartName="/word/charts/chart40.xml" ContentType="application/vnd.openxmlformats-officedocument.drawingml.chart+xml"/>
  <Override PartName="/word/charts/style31.xml" ContentType="application/vnd.ms-office.chartstyle+xml"/>
  <Override PartName="/word/charts/colors31.xml" ContentType="application/vnd.ms-office.chartcolorstyle+xml"/>
  <Override PartName="/word/theme/themeOverride40.xml" ContentType="application/vnd.openxmlformats-officedocument.themeOverride+xml"/>
  <Override PartName="/word/charts/chart41.xml" ContentType="application/vnd.openxmlformats-officedocument.drawingml.chart+xml"/>
  <Override PartName="/word/charts/style32.xml" ContentType="application/vnd.ms-office.chartstyle+xml"/>
  <Override PartName="/word/charts/colors32.xml" ContentType="application/vnd.ms-office.chartcolorstyle+xml"/>
  <Override PartName="/word/theme/themeOverride41.xml" ContentType="application/vnd.openxmlformats-officedocument.themeOverride+xml"/>
  <Override PartName="/word/charts/chart42.xml" ContentType="application/vnd.openxmlformats-officedocument.drawingml.chart+xml"/>
  <Override PartName="/word/charts/style33.xml" ContentType="application/vnd.ms-office.chartstyle+xml"/>
  <Override PartName="/word/charts/colors33.xml" ContentType="application/vnd.ms-office.chartcolorstyle+xml"/>
  <Override PartName="/word/theme/themeOverride42.xml" ContentType="application/vnd.openxmlformats-officedocument.themeOverride+xml"/>
  <Override PartName="/word/charts/chart43.xml" ContentType="application/vnd.openxmlformats-officedocument.drawingml.chart+xml"/>
  <Override PartName="/word/charts/style34.xml" ContentType="application/vnd.ms-office.chartstyle+xml"/>
  <Override PartName="/word/charts/colors34.xml" ContentType="application/vnd.ms-office.chartcolorstyle+xml"/>
  <Override PartName="/word/theme/themeOverride43.xml" ContentType="application/vnd.openxmlformats-officedocument.themeOverride+xml"/>
  <Override PartName="/word/charts/chart44.xml" ContentType="application/vnd.openxmlformats-officedocument.drawingml.chart+xml"/>
  <Override PartName="/word/charts/style35.xml" ContentType="application/vnd.ms-office.chartstyle+xml"/>
  <Override PartName="/word/charts/colors35.xml" ContentType="application/vnd.ms-office.chartcolorstyle+xml"/>
  <Override PartName="/word/theme/themeOverride44.xml" ContentType="application/vnd.openxmlformats-officedocument.themeOverride+xml"/>
  <Override PartName="/word/charts/chart45.xml" ContentType="application/vnd.openxmlformats-officedocument.drawingml.chart+xml"/>
  <Override PartName="/word/charts/style36.xml" ContentType="application/vnd.ms-office.chartstyle+xml"/>
  <Override PartName="/word/charts/colors36.xml" ContentType="application/vnd.ms-office.chartcolorstyle+xml"/>
  <Override PartName="/word/theme/themeOverride45.xml" ContentType="application/vnd.openxmlformats-officedocument.themeOverride+xml"/>
  <Override PartName="/word/charts/chart46.xml" ContentType="application/vnd.openxmlformats-officedocument.drawingml.chart+xml"/>
  <Override PartName="/word/charts/style37.xml" ContentType="application/vnd.ms-office.chartstyle+xml"/>
  <Override PartName="/word/charts/colors37.xml" ContentType="application/vnd.ms-office.chartcolorstyle+xml"/>
  <Override PartName="/word/theme/themeOverride46.xml" ContentType="application/vnd.openxmlformats-officedocument.themeOverride+xml"/>
  <Override PartName="/word/charts/chart47.xml" ContentType="application/vnd.openxmlformats-officedocument.drawingml.chart+xml"/>
  <Override PartName="/word/charts/style38.xml" ContentType="application/vnd.ms-office.chartstyle+xml"/>
  <Override PartName="/word/charts/colors38.xml" ContentType="application/vnd.ms-office.chartcolorstyle+xml"/>
  <Override PartName="/word/theme/themeOverride47.xml" ContentType="application/vnd.openxmlformats-officedocument.themeOverride+xml"/>
  <Override PartName="/word/charts/chart48.xml" ContentType="application/vnd.openxmlformats-officedocument.drawingml.chart+xml"/>
  <Override PartName="/word/charts/style39.xml" ContentType="application/vnd.ms-office.chartstyle+xml"/>
  <Override PartName="/word/charts/colors39.xml" ContentType="application/vnd.ms-office.chartcolorstyle+xml"/>
  <Override PartName="/word/theme/themeOverride48.xml" ContentType="application/vnd.openxmlformats-officedocument.themeOverride+xml"/>
  <Override PartName="/word/charts/chart49.xml" ContentType="application/vnd.openxmlformats-officedocument.drawingml.chart+xml"/>
  <Override PartName="/word/charts/style40.xml" ContentType="application/vnd.ms-office.chartstyle+xml"/>
  <Override PartName="/word/charts/colors40.xml" ContentType="application/vnd.ms-office.chartcolorstyle+xml"/>
  <Override PartName="/word/theme/themeOverride49.xml" ContentType="application/vnd.openxmlformats-officedocument.themeOverride+xml"/>
  <Override PartName="/word/charts/chart50.xml" ContentType="application/vnd.openxmlformats-officedocument.drawingml.chart+xml"/>
  <Override PartName="/word/charts/style41.xml" ContentType="application/vnd.ms-office.chartstyle+xml"/>
  <Override PartName="/word/charts/colors41.xml" ContentType="application/vnd.ms-office.chartcolorstyle+xml"/>
  <Override PartName="/word/theme/themeOverride50.xml" ContentType="application/vnd.openxmlformats-officedocument.themeOverride+xml"/>
  <Override PartName="/word/charts/chart51.xml" ContentType="application/vnd.openxmlformats-officedocument.drawingml.chart+xml"/>
  <Override PartName="/word/charts/style42.xml" ContentType="application/vnd.ms-office.chartstyle+xml"/>
  <Override PartName="/word/charts/colors42.xml" ContentType="application/vnd.ms-office.chartcolorstyle+xml"/>
  <Override PartName="/word/theme/themeOverride51.xml" ContentType="application/vnd.openxmlformats-officedocument.themeOverride+xml"/>
  <Override PartName="/word/charts/chart52.xml" ContentType="application/vnd.openxmlformats-officedocument.drawingml.chart+xml"/>
  <Override PartName="/word/charts/style43.xml" ContentType="application/vnd.ms-office.chartstyle+xml"/>
  <Override PartName="/word/charts/colors43.xml" ContentType="application/vnd.ms-office.chartcolorstyle+xml"/>
  <Override PartName="/word/theme/themeOverride52.xml" ContentType="application/vnd.openxmlformats-officedocument.themeOverride+xml"/>
  <Override PartName="/word/charts/chart53.xml" ContentType="application/vnd.openxmlformats-officedocument.drawingml.chart+xml"/>
  <Override PartName="/word/charts/style44.xml" ContentType="application/vnd.ms-office.chartstyle+xml"/>
  <Override PartName="/word/charts/colors44.xml" ContentType="application/vnd.ms-office.chartcolorstyle+xml"/>
  <Override PartName="/word/theme/themeOverride53.xml" ContentType="application/vnd.openxmlformats-officedocument.themeOverride+xml"/>
  <Override PartName="/word/charts/chart54.xml" ContentType="application/vnd.openxmlformats-officedocument.drawingml.chart+xml"/>
  <Override PartName="/word/charts/style45.xml" ContentType="application/vnd.ms-office.chartstyle+xml"/>
  <Override PartName="/word/charts/colors45.xml" ContentType="application/vnd.ms-office.chartcolorstyle+xml"/>
  <Override PartName="/word/theme/themeOverride54.xml" ContentType="application/vnd.openxmlformats-officedocument.themeOverride+xml"/>
  <Override PartName="/word/charts/chart55.xml" ContentType="application/vnd.openxmlformats-officedocument.drawingml.chart+xml"/>
  <Override PartName="/word/charts/style46.xml" ContentType="application/vnd.ms-office.chartstyle+xml"/>
  <Override PartName="/word/charts/colors46.xml" ContentType="application/vnd.ms-office.chartcolorstyle+xml"/>
  <Override PartName="/word/theme/themeOverride55.xml" ContentType="application/vnd.openxmlformats-officedocument.themeOverride+xml"/>
  <Override PartName="/word/charts/chart56.xml" ContentType="application/vnd.openxmlformats-officedocument.drawingml.chart+xml"/>
  <Override PartName="/word/charts/style47.xml" ContentType="application/vnd.ms-office.chartstyle+xml"/>
  <Override PartName="/word/charts/colors47.xml" ContentType="application/vnd.ms-office.chartcolorstyle+xml"/>
  <Override PartName="/word/theme/themeOverride56.xml" ContentType="application/vnd.openxmlformats-officedocument.themeOverride+xml"/>
  <Override PartName="/word/charts/chart57.xml" ContentType="application/vnd.openxmlformats-officedocument.drawingml.chart+xml"/>
  <Override PartName="/word/charts/style48.xml" ContentType="application/vnd.ms-office.chartstyle+xml"/>
  <Override PartName="/word/charts/colors48.xml" ContentType="application/vnd.ms-office.chartcolorstyle+xml"/>
  <Override PartName="/word/theme/themeOverride57.xml" ContentType="application/vnd.openxmlformats-officedocument.themeOverride+xml"/>
  <Override PartName="/word/charts/chart58.xml" ContentType="application/vnd.openxmlformats-officedocument.drawingml.chart+xml"/>
  <Override PartName="/word/charts/style49.xml" ContentType="application/vnd.ms-office.chartstyle+xml"/>
  <Override PartName="/word/charts/colors49.xml" ContentType="application/vnd.ms-office.chartcolorstyle+xml"/>
  <Override PartName="/word/theme/themeOverride58.xml" ContentType="application/vnd.openxmlformats-officedocument.themeOverride+xml"/>
  <Override PartName="/word/charts/chart59.xml" ContentType="application/vnd.openxmlformats-officedocument.drawingml.chart+xml"/>
  <Override PartName="/word/charts/style50.xml" ContentType="application/vnd.ms-office.chartstyle+xml"/>
  <Override PartName="/word/charts/colors50.xml" ContentType="application/vnd.ms-office.chartcolorstyle+xml"/>
  <Override PartName="/word/theme/themeOverride59.xml" ContentType="application/vnd.openxmlformats-officedocument.themeOverride+xml"/>
  <Override PartName="/word/charts/chart60.xml" ContentType="application/vnd.openxmlformats-officedocument.drawingml.chart+xml"/>
  <Override PartName="/word/charts/style51.xml" ContentType="application/vnd.ms-office.chartstyle+xml"/>
  <Override PartName="/word/charts/colors51.xml" ContentType="application/vnd.ms-office.chartcolorstyle+xml"/>
  <Override PartName="/word/theme/themeOverride60.xml" ContentType="application/vnd.openxmlformats-officedocument.themeOverride+xml"/>
  <Override PartName="/word/charts/chart61.xml" ContentType="application/vnd.openxmlformats-officedocument.drawingml.chart+xml"/>
  <Override PartName="/word/charts/style52.xml" ContentType="application/vnd.ms-office.chartstyle+xml"/>
  <Override PartName="/word/charts/colors52.xml" ContentType="application/vnd.ms-office.chartcolorstyle+xml"/>
  <Override PartName="/word/theme/themeOverride61.xml" ContentType="application/vnd.openxmlformats-officedocument.themeOverride+xml"/>
  <Override PartName="/word/charts/chart62.xml" ContentType="application/vnd.openxmlformats-officedocument.drawingml.chart+xml"/>
  <Override PartName="/word/charts/style53.xml" ContentType="application/vnd.ms-office.chartstyle+xml"/>
  <Override PartName="/word/charts/colors53.xml" ContentType="application/vnd.ms-office.chartcolorstyle+xml"/>
  <Override PartName="/word/theme/themeOverride62.xml" ContentType="application/vnd.openxmlformats-officedocument.themeOverride+xml"/>
  <Override PartName="/word/charts/chart63.xml" ContentType="application/vnd.openxmlformats-officedocument.drawingml.chart+xml"/>
  <Override PartName="/word/charts/style54.xml" ContentType="application/vnd.ms-office.chartstyle+xml"/>
  <Override PartName="/word/charts/colors54.xml" ContentType="application/vnd.ms-office.chartcolorstyle+xml"/>
  <Override PartName="/word/theme/themeOverride63.xml" ContentType="application/vnd.openxmlformats-officedocument.themeOverride+xml"/>
  <Override PartName="/word/charts/chart64.xml" ContentType="application/vnd.openxmlformats-officedocument.drawingml.chart+xml"/>
  <Override PartName="/word/charts/style55.xml" ContentType="application/vnd.ms-office.chartstyle+xml"/>
  <Override PartName="/word/charts/colors55.xml" ContentType="application/vnd.ms-office.chartcolorstyle+xml"/>
  <Override PartName="/word/theme/themeOverride64.xml" ContentType="application/vnd.openxmlformats-officedocument.themeOverride+xml"/>
  <Override PartName="/word/charts/chart65.xml" ContentType="application/vnd.openxmlformats-officedocument.drawingml.chart+xml"/>
  <Override PartName="/word/theme/themeOverride65.xml" ContentType="application/vnd.openxmlformats-officedocument.themeOverride+xml"/>
  <Override PartName="/word/charts/chart66.xml" ContentType="application/vnd.openxmlformats-officedocument.drawingml.chart+xml"/>
  <Override PartName="/word/charts/style56.xml" ContentType="application/vnd.ms-office.chartstyle+xml"/>
  <Override PartName="/word/charts/colors56.xml" ContentType="application/vnd.ms-office.chartcolorstyle+xml"/>
  <Override PartName="/word/theme/themeOverride66.xml" ContentType="application/vnd.openxmlformats-officedocument.themeOverride+xml"/>
  <Override PartName="/word/charts/chart67.xml" ContentType="application/vnd.openxmlformats-officedocument.drawingml.chart+xml"/>
  <Override PartName="/word/charts/style57.xml" ContentType="application/vnd.ms-office.chartstyle+xml"/>
  <Override PartName="/word/charts/colors57.xml" ContentType="application/vnd.ms-office.chartcolorstyle+xml"/>
  <Override PartName="/word/theme/themeOverride67.xml" ContentType="application/vnd.openxmlformats-officedocument.themeOverride+xml"/>
  <Override PartName="/word/charts/chart68.xml" ContentType="application/vnd.openxmlformats-officedocument.drawingml.chart+xml"/>
  <Override PartName="/word/charts/style58.xml" ContentType="application/vnd.ms-office.chartstyle+xml"/>
  <Override PartName="/word/charts/colors58.xml" ContentType="application/vnd.ms-office.chartcolorstyle+xml"/>
  <Override PartName="/word/theme/themeOverride68.xml" ContentType="application/vnd.openxmlformats-officedocument.themeOverride+xml"/>
  <Override PartName="/word/charts/chart69.xml" ContentType="application/vnd.openxmlformats-officedocument.drawingml.chart+xml"/>
  <Override PartName="/word/charts/style59.xml" ContentType="application/vnd.ms-office.chartstyle+xml"/>
  <Override PartName="/word/charts/colors59.xml" ContentType="application/vnd.ms-office.chartcolorstyle+xml"/>
  <Override PartName="/word/theme/themeOverride69.xml" ContentType="application/vnd.openxmlformats-officedocument.themeOverride+xml"/>
  <Override PartName="/word/charts/chart70.xml" ContentType="application/vnd.openxmlformats-officedocument.drawingml.chart+xml"/>
  <Override PartName="/word/charts/style60.xml" ContentType="application/vnd.ms-office.chartstyle+xml"/>
  <Override PartName="/word/charts/colors60.xml" ContentType="application/vnd.ms-office.chartcolorstyle+xml"/>
  <Override PartName="/word/theme/themeOverride70.xml" ContentType="application/vnd.openxmlformats-officedocument.themeOverride+xml"/>
  <Override PartName="/word/charts/chart71.xml" ContentType="application/vnd.openxmlformats-officedocument.drawingml.chart+xml"/>
  <Override PartName="/word/charts/style61.xml" ContentType="application/vnd.ms-office.chartstyle+xml"/>
  <Override PartName="/word/charts/colors61.xml" ContentType="application/vnd.ms-office.chartcolorstyle+xml"/>
  <Override PartName="/word/theme/themeOverride71.xml" ContentType="application/vnd.openxmlformats-officedocument.themeOverride+xml"/>
  <Override PartName="/word/charts/chart72.xml" ContentType="application/vnd.openxmlformats-officedocument.drawingml.chart+xml"/>
  <Override PartName="/word/charts/style62.xml" ContentType="application/vnd.ms-office.chartstyle+xml"/>
  <Override PartName="/word/charts/colors62.xml" ContentType="application/vnd.ms-office.chartcolorstyle+xml"/>
  <Override PartName="/word/theme/themeOverride72.xml" ContentType="application/vnd.openxmlformats-officedocument.themeOverride+xml"/>
  <Override PartName="/word/charts/chart73.xml" ContentType="application/vnd.openxmlformats-officedocument.drawingml.chart+xml"/>
  <Override PartName="/word/theme/themeOverride73.xml" ContentType="application/vnd.openxmlformats-officedocument.themeOverride+xml"/>
  <Override PartName="/word/charts/chart74.xml" ContentType="application/vnd.openxmlformats-officedocument.drawingml.chart+xml"/>
  <Override PartName="/word/charts/style63.xml" ContentType="application/vnd.ms-office.chartstyle+xml"/>
  <Override PartName="/word/charts/colors63.xml" ContentType="application/vnd.ms-office.chartcolorstyle+xml"/>
  <Override PartName="/word/theme/themeOverride74.xml" ContentType="application/vnd.openxmlformats-officedocument.themeOverride+xml"/>
  <Override PartName="/word/charts/chart75.xml" ContentType="application/vnd.openxmlformats-officedocument.drawingml.chart+xml"/>
  <Override PartName="/word/charts/style64.xml" ContentType="application/vnd.ms-office.chartstyle+xml"/>
  <Override PartName="/word/charts/colors64.xml" ContentType="application/vnd.ms-office.chartcolorstyle+xml"/>
  <Override PartName="/word/theme/themeOverride75.xml" ContentType="application/vnd.openxmlformats-officedocument.themeOverride+xml"/>
  <Override PartName="/word/charts/chart76.xml" ContentType="application/vnd.openxmlformats-officedocument.drawingml.chart+xml"/>
  <Override PartName="/word/charts/style65.xml" ContentType="application/vnd.ms-office.chartstyle+xml"/>
  <Override PartName="/word/charts/colors65.xml" ContentType="application/vnd.ms-office.chartcolorstyle+xml"/>
  <Override PartName="/word/theme/themeOverride76.xml" ContentType="application/vnd.openxmlformats-officedocument.themeOverride+xml"/>
  <Override PartName="/word/charts/chart77.xml" ContentType="application/vnd.openxmlformats-officedocument.drawingml.chart+xml"/>
  <Override PartName="/word/charts/style66.xml" ContentType="application/vnd.ms-office.chartstyle+xml"/>
  <Override PartName="/word/charts/colors66.xml" ContentType="application/vnd.ms-office.chartcolorstyle+xml"/>
  <Override PartName="/word/theme/themeOverride77.xml" ContentType="application/vnd.openxmlformats-officedocument.themeOverride+xml"/>
  <Override PartName="/word/charts/chart78.xml" ContentType="application/vnd.openxmlformats-officedocument.drawingml.chart+xml"/>
  <Override PartName="/word/charts/style67.xml" ContentType="application/vnd.ms-office.chartstyle+xml"/>
  <Override PartName="/word/charts/colors67.xml" ContentType="application/vnd.ms-office.chartcolorstyle+xml"/>
  <Override PartName="/word/theme/themeOverride78.xml" ContentType="application/vnd.openxmlformats-officedocument.themeOverride+xml"/>
  <Override PartName="/word/charts/chart79.xml" ContentType="application/vnd.openxmlformats-officedocument.drawingml.chart+xml"/>
  <Override PartName="/word/charts/style68.xml" ContentType="application/vnd.ms-office.chartstyle+xml"/>
  <Override PartName="/word/charts/colors68.xml" ContentType="application/vnd.ms-office.chartcolorstyle+xml"/>
  <Override PartName="/word/theme/themeOverride79.xml" ContentType="application/vnd.openxmlformats-officedocument.themeOverride+xml"/>
  <Override PartName="/word/charts/chart80.xml" ContentType="application/vnd.openxmlformats-officedocument.drawingml.chart+xml"/>
  <Override PartName="/word/theme/themeOverride80.xml" ContentType="application/vnd.openxmlformats-officedocument.themeOverride+xml"/>
  <Override PartName="/word/drawings/drawing7.xml" ContentType="application/vnd.openxmlformats-officedocument.drawingml.chartshapes+xml"/>
  <Override PartName="/word/charts/chart81.xml" ContentType="application/vnd.openxmlformats-officedocument.drawingml.chart+xml"/>
  <Override PartName="/word/theme/themeOverride81.xml" ContentType="application/vnd.openxmlformats-officedocument.themeOverride+xml"/>
  <Override PartName="/word/drawings/drawing8.xml" ContentType="application/vnd.openxmlformats-officedocument.drawingml.chartshapes+xml"/>
  <Override PartName="/word/charts/chart82.xml" ContentType="application/vnd.openxmlformats-officedocument.drawingml.chart+xml"/>
  <Override PartName="/word/theme/themeOverride82.xml" ContentType="application/vnd.openxmlformats-officedocument.themeOverride+xml"/>
  <Override PartName="/word/drawings/drawing9.xml" ContentType="application/vnd.openxmlformats-officedocument.drawingml.chartshapes+xml"/>
  <Override PartName="/word/charts/chart83.xml" ContentType="application/vnd.openxmlformats-officedocument.drawingml.chart+xml"/>
  <Override PartName="/word/theme/themeOverride83.xml" ContentType="application/vnd.openxmlformats-officedocument.themeOverride+xml"/>
  <Override PartName="/word/charts/chart84.xml" ContentType="application/vnd.openxmlformats-officedocument.drawingml.chart+xml"/>
  <Override PartName="/word/theme/themeOverride84.xml" ContentType="application/vnd.openxmlformats-officedocument.themeOverride+xml"/>
  <Override PartName="/word/drawings/drawing10.xml" ContentType="application/vnd.openxmlformats-officedocument.drawingml.chartshapes+xml"/>
  <Override PartName="/word/charts/chart85.xml" ContentType="application/vnd.openxmlformats-officedocument.drawingml.chart+xml"/>
  <Override PartName="/word/theme/themeOverride85.xml" ContentType="application/vnd.openxmlformats-officedocument.themeOverride+xml"/>
  <Override PartName="/word/drawings/drawing11.xml" ContentType="application/vnd.openxmlformats-officedocument.drawingml.chartshapes+xml"/>
  <Override PartName="/word/charts/chart86.xml" ContentType="application/vnd.openxmlformats-officedocument.drawingml.chart+xml"/>
  <Override PartName="/word/theme/themeOverride86.xml" ContentType="application/vnd.openxmlformats-officedocument.themeOverride+xml"/>
  <Override PartName="/word/drawings/drawing12.xml" ContentType="application/vnd.openxmlformats-officedocument.drawingml.chartshapes+xml"/>
  <Override PartName="/word/charts/chart87.xml" ContentType="application/vnd.openxmlformats-officedocument.drawingml.chart+xml"/>
  <Override PartName="/word/theme/themeOverride87.xml" ContentType="application/vnd.openxmlformats-officedocument.themeOverride+xml"/>
  <Override PartName="/word/drawings/drawing13.xml" ContentType="application/vnd.openxmlformats-officedocument.drawingml.chartshapes+xml"/>
  <Override PartName="/word/charts/chart88.xml" ContentType="application/vnd.openxmlformats-officedocument.drawingml.chart+xml"/>
  <Override PartName="/word/charts/style69.xml" ContentType="application/vnd.ms-office.chartstyle+xml"/>
  <Override PartName="/word/charts/colors69.xml" ContentType="application/vnd.ms-office.chartcolorstyle+xml"/>
  <Override PartName="/word/theme/themeOverride88.xml" ContentType="application/vnd.openxmlformats-officedocument.themeOverride+xml"/>
  <Override PartName="/word/drawings/drawing14.xml" ContentType="application/vnd.openxmlformats-officedocument.drawingml.chartshapes+xml"/>
  <Override PartName="/word/charts/chart89.xml" ContentType="application/vnd.openxmlformats-officedocument.drawingml.chart+xml"/>
  <Override PartName="/word/theme/themeOverride89.xml" ContentType="application/vnd.openxmlformats-officedocument.themeOverride+xml"/>
  <Override PartName="/word/drawings/drawing15.xml" ContentType="application/vnd.openxmlformats-officedocument.drawingml.chartshapes+xml"/>
  <Override PartName="/word/charts/chart90.xml" ContentType="application/vnd.openxmlformats-officedocument.drawingml.chart+xml"/>
  <Override PartName="/word/theme/themeOverride90.xml" ContentType="application/vnd.openxmlformats-officedocument.themeOverride+xml"/>
  <Override PartName="/word/drawings/drawing16.xml" ContentType="application/vnd.openxmlformats-officedocument.drawingml.chartshapes+xml"/>
  <Override PartName="/word/charts/chart91.xml" ContentType="application/vnd.openxmlformats-officedocument.drawingml.chart+xml"/>
  <Override PartName="/word/theme/themeOverride91.xml" ContentType="application/vnd.openxmlformats-officedocument.themeOverride+xml"/>
  <Override PartName="/word/charts/chart92.xml" ContentType="application/vnd.openxmlformats-officedocument.drawingml.chart+xml"/>
  <Override PartName="/word/theme/themeOverride92.xml" ContentType="application/vnd.openxmlformats-officedocument.themeOverride+xml"/>
  <Override PartName="/word/drawings/drawing17.xml" ContentType="application/vnd.openxmlformats-officedocument.drawingml.chartshapes+xml"/>
  <Override PartName="/word/charts/chart93.xml" ContentType="application/vnd.openxmlformats-officedocument.drawingml.chart+xml"/>
  <Override PartName="/word/charts/style70.xml" ContentType="application/vnd.ms-office.chartstyle+xml"/>
  <Override PartName="/word/charts/colors70.xml" ContentType="application/vnd.ms-office.chartcolorstyle+xml"/>
  <Override PartName="/word/theme/themeOverride93.xml" ContentType="application/vnd.openxmlformats-officedocument.themeOverride+xml"/>
  <Override PartName="/word/charts/chart94.xml" ContentType="application/vnd.openxmlformats-officedocument.drawingml.chart+xml"/>
  <Override PartName="/word/theme/themeOverride94.xml" ContentType="application/vnd.openxmlformats-officedocument.themeOverride+xml"/>
  <Override PartName="/word/charts/chart95.xml" ContentType="application/vnd.openxmlformats-officedocument.drawingml.chart+xml"/>
  <Override PartName="/word/theme/themeOverride95.xml" ContentType="application/vnd.openxmlformats-officedocument.themeOverride+xml"/>
  <Override PartName="/word/drawings/drawing18.xml" ContentType="application/vnd.openxmlformats-officedocument.drawingml.chartshapes+xml"/>
  <Override PartName="/word/charts/chart96.xml" ContentType="application/vnd.openxmlformats-officedocument.drawingml.chart+xml"/>
  <Override PartName="/word/theme/themeOverride96.xml" ContentType="application/vnd.openxmlformats-officedocument.themeOverride+xml"/>
  <Override PartName="/word/drawings/drawing19.xml" ContentType="application/vnd.openxmlformats-officedocument.drawingml.chartshapes+xml"/>
  <Override PartName="/word/charts/chart97.xml" ContentType="application/vnd.openxmlformats-officedocument.drawingml.chart+xml"/>
  <Override PartName="/word/theme/themeOverride97.xml" ContentType="application/vnd.openxmlformats-officedocument.themeOverride+xml"/>
  <Override PartName="/word/drawings/drawing20.xml" ContentType="application/vnd.openxmlformats-officedocument.drawingml.chartshap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977E91" w14:textId="7A4754A4" w:rsidR="0086597A" w:rsidRPr="0086597A" w:rsidRDefault="00451F85" w:rsidP="00ED6BE7">
      <w:pPr>
        <w:spacing w:line="240" w:lineRule="auto"/>
        <w:ind w:left="-288"/>
      </w:pPr>
      <w:r>
        <w:rPr>
          <w:noProof/>
        </w:rPr>
        <mc:AlternateContent>
          <mc:Choice Requires="wpg">
            <w:drawing>
              <wp:anchor distT="0" distB="0" distL="114300" distR="114300" simplePos="0" relativeHeight="251659264" behindDoc="0" locked="0" layoutInCell="1" allowOverlap="1" wp14:anchorId="5267DA64" wp14:editId="30885C3D">
                <wp:simplePos x="0" y="0"/>
                <wp:positionH relativeFrom="page">
                  <wp:posOffset>431800</wp:posOffset>
                </wp:positionH>
                <wp:positionV relativeFrom="page">
                  <wp:posOffset>9085580</wp:posOffset>
                </wp:positionV>
                <wp:extent cx="754380" cy="673100"/>
                <wp:effectExtent l="0" t="0" r="0" b="0"/>
                <wp:wrapNone/>
                <wp:docPr id="2041491558" name="Group 72"/>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754380" cy="673100"/>
                          <a:chOff x="0" y="0"/>
                          <a:chExt cx="568547" cy="507396"/>
                        </a:xfrm>
                      </wpg:grpSpPr>
                      <wps:wsp>
                        <wps:cNvPr id="203631974" name="Freeform: Shape 5"/>
                        <wps:cNvSpPr/>
                        <wps:spPr>
                          <a:xfrm>
                            <a:off x="285750" y="0"/>
                            <a:ext cx="282797" cy="507396"/>
                          </a:xfrm>
                          <a:custGeom>
                            <a:avLst/>
                            <a:gdLst>
                              <a:gd name="connsiteX0" fmla="*/ 282797 w 282797"/>
                              <a:gd name="connsiteY0" fmla="*/ 153543 h 507396"/>
                              <a:gd name="connsiteX1" fmla="*/ 0 w 282797"/>
                              <a:gd name="connsiteY1" fmla="*/ 507397 h 507396"/>
                              <a:gd name="connsiteX2" fmla="*/ 0 w 282797"/>
                              <a:gd name="connsiteY2" fmla="*/ 71057 h 507396"/>
                              <a:gd name="connsiteX3" fmla="*/ 129159 w 282797"/>
                              <a:gd name="connsiteY3" fmla="*/ 0 h 507396"/>
                              <a:gd name="connsiteX4" fmla="*/ 282797 w 282797"/>
                              <a:gd name="connsiteY4" fmla="*/ 153543 h 507396"/>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82797" h="507396">
                                <a:moveTo>
                                  <a:pt x="282797" y="153543"/>
                                </a:moveTo>
                                <a:cubicBezTo>
                                  <a:pt x="282797" y="352806"/>
                                  <a:pt x="0" y="507397"/>
                                  <a:pt x="0" y="507397"/>
                                </a:cubicBezTo>
                                <a:lnTo>
                                  <a:pt x="0" y="71057"/>
                                </a:lnTo>
                                <a:cubicBezTo>
                                  <a:pt x="27146" y="28575"/>
                                  <a:pt x="74771" y="0"/>
                                  <a:pt x="129159" y="0"/>
                                </a:cubicBezTo>
                                <a:cubicBezTo>
                                  <a:pt x="214027" y="0"/>
                                  <a:pt x="282797" y="68961"/>
                                  <a:pt x="282797" y="153543"/>
                                </a:cubicBez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54403593" name="Freeform: Shape 6"/>
                        <wps:cNvSpPr/>
                        <wps:spPr>
                          <a:xfrm>
                            <a:off x="0" y="0"/>
                            <a:ext cx="282797" cy="507396"/>
                          </a:xfrm>
                          <a:custGeom>
                            <a:avLst/>
                            <a:gdLst>
                              <a:gd name="connsiteX0" fmla="*/ 282797 w 282797"/>
                              <a:gd name="connsiteY0" fmla="*/ 71057 h 507396"/>
                              <a:gd name="connsiteX1" fmla="*/ 282797 w 282797"/>
                              <a:gd name="connsiteY1" fmla="*/ 507397 h 507396"/>
                              <a:gd name="connsiteX2" fmla="*/ 0 w 282797"/>
                              <a:gd name="connsiteY2" fmla="*/ 153543 h 507396"/>
                              <a:gd name="connsiteX3" fmla="*/ 153353 w 282797"/>
                              <a:gd name="connsiteY3" fmla="*/ 0 h 507396"/>
                              <a:gd name="connsiteX4" fmla="*/ 282797 w 282797"/>
                              <a:gd name="connsiteY4" fmla="*/ 71057 h 507396"/>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82797" h="507396">
                                <a:moveTo>
                                  <a:pt x="282797" y="71057"/>
                                </a:moveTo>
                                <a:lnTo>
                                  <a:pt x="282797" y="507397"/>
                                </a:lnTo>
                                <a:cubicBezTo>
                                  <a:pt x="282797" y="507397"/>
                                  <a:pt x="0" y="352901"/>
                                  <a:pt x="0" y="153543"/>
                                </a:cubicBezTo>
                                <a:cubicBezTo>
                                  <a:pt x="0" y="68961"/>
                                  <a:pt x="68675" y="0"/>
                                  <a:pt x="153353" y="0"/>
                                </a:cubicBezTo>
                                <a:cubicBezTo>
                                  <a:pt x="207740" y="0"/>
                                  <a:pt x="255365" y="28575"/>
                                  <a:pt x="282797" y="71057"/>
                                </a:cubicBezTo>
                                <a:close/>
                              </a:path>
                            </a:pathLst>
                          </a:custGeom>
                          <a:solidFill>
                            <a:srgbClr val="262262"/>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A663BEE" id="Group 72" o:spid="_x0000_s1026" style="position:absolute;margin-left:34pt;margin-top:715.4pt;width:59.4pt;height:53pt;z-index:251659264;mso-position-horizontal-relative:page;mso-position-vertical-relative:page;mso-width-relative:margin;mso-height-relative:margin" coordsize="5685,50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">
                <o:lock v:ext="edit" aspectratio="t"/>
                <v:shape id="Freeform: Shape 5" o:spid="_x0000_s1027" style="position:absolute;left:2857;width:2828;height:5073;visibility:visible;mso-wrap-style:square;v-text-anchor:middle" coordsize="282797,5073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" path="m282797,153543c282797,352806,,507397,,507397l,71057c27146,28575,74771,,129159,v84868,,153638,68961,153638,153543xe" stroked="f">
                  <v:stroke joinstyle="miter"/>
                  <v:path arrowok="t" o:connecttype="custom" o:connectlocs="282797,153543;0,507397;0,71057;129159,0;282797,153543" o:connectangles="0,0,0,0,0"/>
                </v:shape>
                <v:shape id="Freeform: Shape 6" o:spid="_x0000_s1028" style="position:absolute;width:2827;height:5073;visibility:visible;mso-wrap-style:square;v-text-anchor:middle" coordsize="282797,5073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" path="m282797,71057r,436340c282797,507397,,352901,,153543,,68961,68675,,153353,v54387,,102012,28575,129444,71057xe" fillcolor="#262262" stroked="f">
                  <v:stroke joinstyle="miter"/>
                  <v:path arrowok="t" o:connecttype="custom" o:connectlocs="282797,71057;282797,507397;0,153543;153353,0;282797,71057" o:connectangles="0,0,0,0,0"/>
                </v:shape>
                <w10:wrap anchorx="page" anchory="page"/>
              </v:group>
            </w:pict>
          </mc:Fallback>
        </mc:AlternateContent>
      </w:r>
      <w:r>
        <w:rPr>
          <w:noProof/>
        </w:rPr>
        <mc:AlternateContent>
          <mc:Choice Requires="wps">
            <w:drawing>
              <wp:anchor distT="45720" distB="45720" distL="114300" distR="114300" simplePos="0" relativeHeight="251657216" behindDoc="0" locked="1" layoutInCell="1" allowOverlap="1" wp14:anchorId="7531FD3A" wp14:editId="09176C83">
                <wp:simplePos x="0" y="0"/>
                <wp:positionH relativeFrom="page">
                  <wp:posOffset>1511300</wp:posOffset>
                </wp:positionH>
                <wp:positionV relativeFrom="page">
                  <wp:posOffset>10153650</wp:posOffset>
                </wp:positionV>
                <wp:extent cx="5471795" cy="179705"/>
                <wp:effectExtent l="0" t="0" r="0" b="0"/>
                <wp:wrapTopAndBottom/>
                <wp:docPr id="1786924393"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71795" cy="179705"/>
                        </a:xfrm>
                        <a:prstGeom prst="rect">
                          <a:avLst/>
                        </a:prstGeom>
                        <a:noFill/>
                        <a:ln w="9525">
                          <a:noFill/>
                          <a:miter lim="800000"/>
                          <a:headEnd/>
                          <a:tailEnd/>
                        </a:ln>
                      </wps:spPr>
                      <wps:txbx>
                        <w:txbxContent>
                          <w:p w14:paraId="16F8D9BB" w14:textId="77777777" w:rsidR="00D64492" w:rsidRPr="00BB3E10" w:rsidRDefault="00D64492" w:rsidP="00AA2EE8">
                            <w:pPr>
                              <w:rPr>
                                <w:b/>
                                <w:bCs/>
                                <w:color w:val="FFFFFF"/>
                                <w:sz w:val="16"/>
                                <w:szCs w:val="18"/>
                              </w:rPr>
                            </w:pPr>
                            <w:r w:rsidRPr="00BB3E10">
                              <w:rPr>
                                <w:b/>
                                <w:bCs/>
                                <w:color w:val="FFFFFF"/>
                                <w:sz w:val="16"/>
                                <w:szCs w:val="18"/>
                              </w:rPr>
                              <w:t>insp.gov.ro</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531FD3A" id="_x0000_t202" coordsize="21600,21600" o:spt="202" path="m,l,21600r21600,l21600,xe">
                <v:stroke joinstyle="miter"/>
                <v:path gradientshapeok="t" o:connecttype="rect"/>
              </v:shapetype>
              <v:shape id="Text Box 68" o:spid="_x0000_s1026" type="#_x0000_t202" style="position:absolute;left:0;text-align:left;margin-left:119pt;margin-top:799.5pt;width:430.85pt;height:14.15pt;z-index:251657216;visibility:visible;mso-wrap-style:square;mso-width-percent:0;mso-height-percent:0;mso-wrap-distance-left:9pt;mso-wrap-distance-top:3.6pt;mso-wrap-distance-right:9pt;mso-wrap-distance-bottom:3.6pt;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" filled="f" stroked="f">
                <v:textbox inset="0,0,0,0">
                  <w:txbxContent>
                    <w:p w14:paraId="16F8D9BB" w14:textId="77777777" w:rsidR="00D64492" w:rsidRPr="00BB3E10" w:rsidRDefault="00D64492" w:rsidP="00AA2EE8">
                      <w:pPr>
                        <w:rPr>
                          <w:b/>
                          <w:bCs/>
                          <w:color w:val="FFFFFF"/>
                          <w:sz w:val="16"/>
                          <w:szCs w:val="18"/>
                        </w:rPr>
                      </w:pPr>
                      <w:r w:rsidRPr="00BB3E10">
                        <w:rPr>
                          <w:b/>
                          <w:bCs/>
                          <w:color w:val="FFFFFF"/>
                          <w:sz w:val="16"/>
                          <w:szCs w:val="18"/>
                        </w:rPr>
                        <w:t>insp.gov.ro</w:t>
                      </w:r>
                    </w:p>
                  </w:txbxContent>
                </v:textbox>
                <w10:wrap type="topAndBottom" anchorx="page" anchory="page"/>
                <w10:anchorlock/>
              </v:shape>
            </w:pict>
          </mc:Fallback>
        </mc:AlternateContent>
      </w:r>
      <w:r>
        <w:rPr>
          <w:noProof/>
        </w:rPr>
        <mc:AlternateContent>
          <mc:Choice Requires="wps">
            <w:drawing>
              <wp:anchor distT="45720" distB="45720" distL="114300" distR="114300" simplePos="0" relativeHeight="251658240" behindDoc="0" locked="1" layoutInCell="1" allowOverlap="1" wp14:anchorId="19CC7E2D" wp14:editId="49841257">
                <wp:simplePos x="0" y="0"/>
                <wp:positionH relativeFrom="page">
                  <wp:posOffset>1511935</wp:posOffset>
                </wp:positionH>
                <wp:positionV relativeFrom="page">
                  <wp:posOffset>2098040</wp:posOffset>
                </wp:positionV>
                <wp:extent cx="5471795" cy="7988935"/>
                <wp:effectExtent l="0" t="0" r="0" b="12065"/>
                <wp:wrapTopAndBottom/>
                <wp:docPr id="1437398210"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71795" cy="7988935"/>
                        </a:xfrm>
                        <a:prstGeom prst="rect">
                          <a:avLst/>
                        </a:prstGeom>
                        <a:noFill/>
                        <a:ln w="9525">
                          <a:noFill/>
                          <a:miter lim="800000"/>
                          <a:headEnd/>
                          <a:tailEnd/>
                        </a:ln>
                      </wps:spPr>
                      <wps:txbx>
                        <w:txbxContent>
                          <w:tbl>
                            <w:tblPr>
                              <w:tblW w:w="0" w:type="auto"/>
                              <w:tblLook w:val="04A0" w:firstRow="1" w:lastRow="0" w:firstColumn="1" w:lastColumn="0" w:noHBand="0" w:noVBand="1"/>
                            </w:tblPr>
                            <w:tblGrid>
                              <w:gridCol w:w="5665"/>
                              <w:gridCol w:w="2893"/>
                            </w:tblGrid>
                            <w:tr w:rsidR="00D64492" w:rsidRPr="00185CDF" w14:paraId="733AACC7" w14:textId="77777777" w:rsidTr="00913644">
                              <w:trPr>
                                <w:trHeight w:val="3402"/>
                              </w:trPr>
                              <w:tc>
                                <w:tcPr>
                                  <w:tcW w:w="5665" w:type="dxa"/>
                                  <w:tcMar>
                                    <w:left w:w="0" w:type="dxa"/>
                                    <w:right w:w="0" w:type="dxa"/>
                                  </w:tcMar>
                                </w:tcPr>
                                <w:p w14:paraId="2CC16625" w14:textId="77777777" w:rsidR="00D64492" w:rsidRPr="00F42BC0" w:rsidRDefault="00D64492" w:rsidP="008E247B">
                                  <w:pPr>
                                    <w:pStyle w:val="Title"/>
                                    <w:rPr>
                                      <w:sz w:val="56"/>
                                      <w:szCs w:val="56"/>
                                    </w:rPr>
                                  </w:pPr>
                                  <w:r w:rsidRPr="00F42BC0">
                                    <w:rPr>
                                      <w:sz w:val="56"/>
                                      <w:szCs w:val="56"/>
                                    </w:rPr>
                                    <w:t>Analiză de situație</w:t>
                                  </w:r>
                                </w:p>
                                <w:p w14:paraId="08D2A12C" w14:textId="1647824E" w:rsidR="00D64492" w:rsidRPr="00F42BC0" w:rsidRDefault="00D64492" w:rsidP="008E247B">
                                  <w:pPr>
                                    <w:pStyle w:val="Title"/>
                                    <w:rPr>
                                      <w:sz w:val="56"/>
                                      <w:szCs w:val="56"/>
                                    </w:rPr>
                                  </w:pPr>
                                  <w:r w:rsidRPr="00F42BC0">
                                    <w:rPr>
                                      <w:sz w:val="56"/>
                                      <w:szCs w:val="56"/>
                                    </w:rPr>
                                    <w:t>Prevenția consumului de tutun</w:t>
                                  </w:r>
                                  <w:r w:rsidR="003E78C7" w:rsidRPr="00F42BC0">
                                    <w:rPr>
                                      <w:sz w:val="56"/>
                                      <w:szCs w:val="56"/>
                                    </w:rPr>
                                    <w:t xml:space="preserve"> și produselor emergente</w:t>
                                  </w:r>
                                </w:p>
                                <w:p w14:paraId="7D6A64D3" w14:textId="77777777" w:rsidR="008E247B" w:rsidRPr="008E247B" w:rsidRDefault="008E247B" w:rsidP="008E247B">
                                  <w:pPr>
                                    <w:pStyle w:val="Title"/>
                                    <w:rPr>
                                      <w:sz w:val="56"/>
                                      <w:szCs w:val="56"/>
                                    </w:rPr>
                                  </w:pPr>
                                </w:p>
                                <w:p w14:paraId="033C2639" w14:textId="5D07957A" w:rsidR="003E78C7" w:rsidRPr="00F42BC0" w:rsidRDefault="003E78C7" w:rsidP="003E78C7">
                                  <w:pPr>
                                    <w:pStyle w:val="Title"/>
                                    <w:rPr>
                                      <w:sz w:val="56"/>
                                      <w:szCs w:val="56"/>
                                    </w:rPr>
                                  </w:pPr>
                                  <w:r w:rsidRPr="00F42BC0">
                                    <w:rPr>
                                      <w:sz w:val="56"/>
                                      <w:szCs w:val="56"/>
                                    </w:rPr>
                                    <w:t>Titlu campanie 202</w:t>
                                  </w:r>
                                  <w:r w:rsidR="00EB4232" w:rsidRPr="00F42BC0">
                                    <w:rPr>
                                      <w:sz w:val="56"/>
                                      <w:szCs w:val="56"/>
                                    </w:rPr>
                                    <w:t>6</w:t>
                                  </w:r>
                                  <w:r w:rsidR="00F42BC0" w:rsidRPr="00F42BC0">
                                    <w:rPr>
                                      <w:sz w:val="56"/>
                                      <w:szCs w:val="56"/>
                                    </w:rPr>
                                    <w:t>:</w:t>
                                  </w:r>
                                  <w:r w:rsidRPr="00F42BC0">
                                    <w:rPr>
                                      <w:sz w:val="56"/>
                                      <w:szCs w:val="56"/>
                                    </w:rPr>
                                    <w:t xml:space="preserve"> </w:t>
                                  </w:r>
                                  <w:r w:rsidR="008E247B" w:rsidRPr="00F42BC0">
                                    <w:rPr>
                                      <w:sz w:val="56"/>
                                      <w:szCs w:val="56"/>
                                    </w:rPr>
                                    <w:t>R</w:t>
                                  </w:r>
                                  <w:r w:rsidRPr="00F42BC0">
                                    <w:rPr>
                                      <w:sz w:val="56"/>
                                      <w:szCs w:val="56"/>
                                    </w:rPr>
                                    <w:t>espiră curat</w:t>
                                  </w:r>
                                  <w:r w:rsidR="008E247B" w:rsidRPr="00F42BC0">
                                    <w:rPr>
                                      <w:sz w:val="56"/>
                                      <w:szCs w:val="56"/>
                                    </w:rPr>
                                    <w:t>, alege sănătatea</w:t>
                                  </w:r>
                                  <w:r w:rsidRPr="00F42BC0">
                                    <w:rPr>
                                      <w:sz w:val="56"/>
                                      <w:szCs w:val="56"/>
                                    </w:rPr>
                                    <w:t>!</w:t>
                                  </w:r>
                                </w:p>
                                <w:p w14:paraId="493F23A6" w14:textId="77777777" w:rsidR="008E247B" w:rsidRDefault="008E247B" w:rsidP="003E78C7">
                                  <w:pPr>
                                    <w:pStyle w:val="Title"/>
                                  </w:pPr>
                                </w:p>
                                <w:p w14:paraId="4F59A858" w14:textId="77777777" w:rsidR="00F42BC0" w:rsidRDefault="00F42BC0" w:rsidP="003E78C7">
                                  <w:pPr>
                                    <w:pStyle w:val="Title"/>
                                  </w:pPr>
                                </w:p>
                                <w:p w14:paraId="3592FE66" w14:textId="77777777" w:rsidR="003E78C7" w:rsidRPr="00F42BC0" w:rsidRDefault="003E78C7" w:rsidP="003E78C7">
                                  <w:pPr>
                                    <w:pStyle w:val="Title"/>
                                    <w:rPr>
                                      <w:sz w:val="40"/>
                                      <w:szCs w:val="40"/>
                                    </w:rPr>
                                  </w:pPr>
                                  <w:r w:rsidRPr="00F42BC0">
                                    <w:rPr>
                                      <w:sz w:val="40"/>
                                      <w:szCs w:val="40"/>
                                    </w:rPr>
                                    <w:t>Propunere slogan:</w:t>
                                  </w:r>
                                </w:p>
                                <w:p w14:paraId="12787049" w14:textId="20A59136" w:rsidR="003E78C7" w:rsidRPr="00BB3E10" w:rsidRDefault="003E78C7" w:rsidP="00F42BC0">
                                  <w:pPr>
                                    <w:pStyle w:val="Title"/>
                                  </w:pPr>
                                  <w:r w:rsidRPr="00F42BC0">
                                    <w:rPr>
                                      <w:sz w:val="40"/>
                                      <w:szCs w:val="40"/>
                                    </w:rPr>
                                    <w:t>„</w:t>
                                  </w:r>
                                  <w:r w:rsidR="008E247B" w:rsidRPr="00F42BC0">
                                    <w:rPr>
                                      <w:sz w:val="40"/>
                                      <w:szCs w:val="40"/>
                                    </w:rPr>
                                    <w:t>Fii informat! Fără nicotină, fără compromis</w:t>
                                  </w:r>
                                  <w:r w:rsidR="008A4220" w:rsidRPr="00F42BC0">
                                    <w:rPr>
                                      <w:sz w:val="40"/>
                                      <w:szCs w:val="40"/>
                                    </w:rPr>
                                    <w:t>!</w:t>
                                  </w:r>
                                  <w:r w:rsidRPr="00F42BC0">
                                    <w:rPr>
                                      <w:sz w:val="40"/>
                                      <w:szCs w:val="40"/>
                                    </w:rPr>
                                    <w:t>”</w:t>
                                  </w:r>
                                </w:p>
                              </w:tc>
                              <w:tc>
                                <w:tcPr>
                                  <w:tcW w:w="2893" w:type="dxa"/>
                                  <w:tcMar>
                                    <w:left w:w="113" w:type="dxa"/>
                                    <w:right w:w="113" w:type="dxa"/>
                                  </w:tcMar>
                                </w:tcPr>
                                <w:p w14:paraId="31786801" w14:textId="77777777" w:rsidR="00D64492" w:rsidRPr="00185CDF" w:rsidRDefault="00D64492" w:rsidP="00AA2EE8"/>
                              </w:tc>
                            </w:tr>
                            <w:tr w:rsidR="00D64492" w:rsidRPr="00185CDF" w14:paraId="7AF79520" w14:textId="77777777" w:rsidTr="00913644">
                              <w:trPr>
                                <w:trHeight w:val="1277"/>
                              </w:trPr>
                              <w:tc>
                                <w:tcPr>
                                  <w:tcW w:w="5665" w:type="dxa"/>
                                  <w:tcMar>
                                    <w:left w:w="0" w:type="dxa"/>
                                    <w:right w:w="0" w:type="dxa"/>
                                  </w:tcMar>
                                  <w:vAlign w:val="bottom"/>
                                </w:tcPr>
                                <w:p w14:paraId="2D0333E6" w14:textId="77777777" w:rsidR="00D64492" w:rsidRDefault="00D64492" w:rsidP="00913644">
                                  <w:pPr>
                                    <w:pStyle w:val="Intro"/>
                                  </w:pPr>
                                </w:p>
                                <w:p w14:paraId="6EEABDB7" w14:textId="77777777" w:rsidR="00D64492" w:rsidRDefault="00D64492" w:rsidP="00913644">
                                  <w:pPr>
                                    <w:pStyle w:val="Intro"/>
                                  </w:pPr>
                                </w:p>
                                <w:p w14:paraId="3E7D1A67" w14:textId="77777777" w:rsidR="00D64492" w:rsidRPr="00BB3E10" w:rsidRDefault="00D64492" w:rsidP="00F67EDE">
                                  <w:pPr>
                                    <w:pStyle w:val="Intro"/>
                                  </w:pPr>
                                  <w:r w:rsidRPr="00BB3E10">
                                    <w:t xml:space="preserve"> </w:t>
                                  </w:r>
                                </w:p>
                              </w:tc>
                              <w:tc>
                                <w:tcPr>
                                  <w:tcW w:w="2893" w:type="dxa"/>
                                  <w:tcMar>
                                    <w:left w:w="113" w:type="dxa"/>
                                    <w:right w:w="113" w:type="dxa"/>
                                  </w:tcMar>
                                  <w:vAlign w:val="bottom"/>
                                </w:tcPr>
                                <w:p w14:paraId="606AC43F" w14:textId="77777777" w:rsidR="00D64492" w:rsidRPr="00BB3E10" w:rsidRDefault="00D64492" w:rsidP="00913644">
                                  <w:pPr>
                                    <w:pStyle w:val="AN"/>
                                  </w:pPr>
                                  <w:r>
                                    <w:t>202</w:t>
                                  </w:r>
                                  <w:r w:rsidR="007C66F0">
                                    <w:t>6</w:t>
                                  </w:r>
                                </w:p>
                              </w:tc>
                            </w:tr>
                          </w:tbl>
                          <w:p w14:paraId="0720F094" w14:textId="77777777" w:rsidR="00D64492" w:rsidRPr="00EF1C94" w:rsidRDefault="00D64492" w:rsidP="00AA2EE8"/>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19CC7E2D" id="Text Box 66" o:spid="_x0000_s1027" type="#_x0000_t202" style="position:absolute;left:0;text-align:left;margin-left:119.05pt;margin-top:165.2pt;width:430.85pt;height:629.05pt;z-index:251658240;visibility:visible;mso-wrap-style:square;mso-width-percent:0;mso-height-percent:0;mso-wrap-distance-left:9pt;mso-wrap-distance-top:3.6pt;mso-wrap-distance-right:9pt;mso-wrap-distance-bottom:3.6pt;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" filled="f" stroked="f">
                <v:textbox inset="0,0,0,0">
                  <w:txbxContent>
                    <w:tbl>
                      <w:tblPr>
                        <w:tblW w:w="0" w:type="auto"/>
                        <w:tblLook w:val="04A0" w:firstRow="1" w:lastRow="0" w:firstColumn="1" w:lastColumn="0" w:noHBand="0" w:noVBand="1"/>
                      </w:tblPr>
                      <w:tblGrid>
                        <w:gridCol w:w="5665"/>
                        <w:gridCol w:w="2893"/>
                      </w:tblGrid>
                      <w:tr w:rsidR="00D64492" w:rsidRPr="00185CDF" w14:paraId="733AACC7" w14:textId="77777777" w:rsidTr="00913644">
                        <w:trPr>
                          <w:trHeight w:val="3402"/>
                        </w:trPr>
                        <w:tc>
                          <w:tcPr>
                            <w:tcW w:w="5665" w:type="dxa"/>
                            <w:tcMar>
                              <w:left w:w="0" w:type="dxa"/>
                              <w:right w:w="0" w:type="dxa"/>
                            </w:tcMar>
                          </w:tcPr>
                          <w:p w14:paraId="2CC16625" w14:textId="77777777" w:rsidR="00D64492" w:rsidRPr="00F42BC0" w:rsidRDefault="00D64492" w:rsidP="008E247B">
                            <w:pPr>
                              <w:pStyle w:val="Title"/>
                              <w:rPr>
                                <w:sz w:val="56"/>
                                <w:szCs w:val="56"/>
                              </w:rPr>
                            </w:pPr>
                            <w:r w:rsidRPr="00F42BC0">
                              <w:rPr>
                                <w:sz w:val="56"/>
                                <w:szCs w:val="56"/>
                              </w:rPr>
                              <w:t>Analiză de situație</w:t>
                            </w:r>
                          </w:p>
                          <w:p w14:paraId="08D2A12C" w14:textId="1647824E" w:rsidR="00D64492" w:rsidRPr="00F42BC0" w:rsidRDefault="00D64492" w:rsidP="008E247B">
                            <w:pPr>
                              <w:pStyle w:val="Title"/>
                              <w:rPr>
                                <w:sz w:val="56"/>
                                <w:szCs w:val="56"/>
                              </w:rPr>
                            </w:pPr>
                            <w:r w:rsidRPr="00F42BC0">
                              <w:rPr>
                                <w:sz w:val="56"/>
                                <w:szCs w:val="56"/>
                              </w:rPr>
                              <w:t>Prevenția consumului de tutun</w:t>
                            </w:r>
                            <w:r w:rsidR="003E78C7" w:rsidRPr="00F42BC0">
                              <w:rPr>
                                <w:sz w:val="56"/>
                                <w:szCs w:val="56"/>
                              </w:rPr>
                              <w:t xml:space="preserve"> și produselor emergente</w:t>
                            </w:r>
                          </w:p>
                          <w:p w14:paraId="7D6A64D3" w14:textId="77777777" w:rsidR="008E247B" w:rsidRPr="008E247B" w:rsidRDefault="008E247B" w:rsidP="008E247B">
                            <w:pPr>
                              <w:pStyle w:val="Title"/>
                              <w:rPr>
                                <w:sz w:val="56"/>
                                <w:szCs w:val="56"/>
                              </w:rPr>
                            </w:pPr>
                          </w:p>
                          <w:p w14:paraId="033C2639" w14:textId="5D07957A" w:rsidR="003E78C7" w:rsidRPr="00F42BC0" w:rsidRDefault="003E78C7" w:rsidP="003E78C7">
                            <w:pPr>
                              <w:pStyle w:val="Title"/>
                              <w:rPr>
                                <w:sz w:val="56"/>
                                <w:szCs w:val="56"/>
                              </w:rPr>
                            </w:pPr>
                            <w:r w:rsidRPr="00F42BC0">
                              <w:rPr>
                                <w:sz w:val="56"/>
                                <w:szCs w:val="56"/>
                              </w:rPr>
                              <w:t>Titlu campanie 202</w:t>
                            </w:r>
                            <w:r w:rsidR="00EB4232" w:rsidRPr="00F42BC0">
                              <w:rPr>
                                <w:sz w:val="56"/>
                                <w:szCs w:val="56"/>
                              </w:rPr>
                              <w:t>6</w:t>
                            </w:r>
                            <w:r w:rsidR="00F42BC0" w:rsidRPr="00F42BC0">
                              <w:rPr>
                                <w:sz w:val="56"/>
                                <w:szCs w:val="56"/>
                              </w:rPr>
                              <w:t>:</w:t>
                            </w:r>
                            <w:r w:rsidRPr="00F42BC0">
                              <w:rPr>
                                <w:sz w:val="56"/>
                                <w:szCs w:val="56"/>
                              </w:rPr>
                              <w:t xml:space="preserve"> </w:t>
                            </w:r>
                            <w:r w:rsidR="008E247B" w:rsidRPr="00F42BC0">
                              <w:rPr>
                                <w:sz w:val="56"/>
                                <w:szCs w:val="56"/>
                              </w:rPr>
                              <w:t>R</w:t>
                            </w:r>
                            <w:r w:rsidRPr="00F42BC0">
                              <w:rPr>
                                <w:sz w:val="56"/>
                                <w:szCs w:val="56"/>
                              </w:rPr>
                              <w:t>espiră curat</w:t>
                            </w:r>
                            <w:r w:rsidR="008E247B" w:rsidRPr="00F42BC0">
                              <w:rPr>
                                <w:sz w:val="56"/>
                                <w:szCs w:val="56"/>
                              </w:rPr>
                              <w:t>, alege sănătatea</w:t>
                            </w:r>
                            <w:r w:rsidRPr="00F42BC0">
                              <w:rPr>
                                <w:sz w:val="56"/>
                                <w:szCs w:val="56"/>
                              </w:rPr>
                              <w:t>!</w:t>
                            </w:r>
                          </w:p>
                          <w:p w14:paraId="493F23A6" w14:textId="77777777" w:rsidR="008E247B" w:rsidRDefault="008E247B" w:rsidP="003E78C7">
                            <w:pPr>
                              <w:pStyle w:val="Title"/>
                            </w:pPr>
                          </w:p>
                          <w:p w14:paraId="4F59A858" w14:textId="77777777" w:rsidR="00F42BC0" w:rsidRDefault="00F42BC0" w:rsidP="003E78C7">
                            <w:pPr>
                              <w:pStyle w:val="Title"/>
                            </w:pPr>
                          </w:p>
                          <w:p w14:paraId="3592FE66" w14:textId="77777777" w:rsidR="003E78C7" w:rsidRPr="00F42BC0" w:rsidRDefault="003E78C7" w:rsidP="003E78C7">
                            <w:pPr>
                              <w:pStyle w:val="Title"/>
                              <w:rPr>
                                <w:sz w:val="40"/>
                                <w:szCs w:val="40"/>
                              </w:rPr>
                            </w:pPr>
                            <w:r w:rsidRPr="00F42BC0">
                              <w:rPr>
                                <w:sz w:val="40"/>
                                <w:szCs w:val="40"/>
                              </w:rPr>
                              <w:t>Propunere slogan:</w:t>
                            </w:r>
                          </w:p>
                          <w:p w14:paraId="12787049" w14:textId="20A59136" w:rsidR="003E78C7" w:rsidRPr="00BB3E10" w:rsidRDefault="003E78C7" w:rsidP="00F42BC0">
                            <w:pPr>
                              <w:pStyle w:val="Title"/>
                            </w:pPr>
                            <w:r w:rsidRPr="00F42BC0">
                              <w:rPr>
                                <w:sz w:val="40"/>
                                <w:szCs w:val="40"/>
                              </w:rPr>
                              <w:t>„</w:t>
                            </w:r>
                            <w:r w:rsidR="008E247B" w:rsidRPr="00F42BC0">
                              <w:rPr>
                                <w:sz w:val="40"/>
                                <w:szCs w:val="40"/>
                              </w:rPr>
                              <w:t>Fii informat! Fără nicotină, fără compromis</w:t>
                            </w:r>
                            <w:r w:rsidR="008A4220" w:rsidRPr="00F42BC0">
                              <w:rPr>
                                <w:sz w:val="40"/>
                                <w:szCs w:val="40"/>
                              </w:rPr>
                              <w:t>!</w:t>
                            </w:r>
                            <w:r w:rsidRPr="00F42BC0">
                              <w:rPr>
                                <w:sz w:val="40"/>
                                <w:szCs w:val="40"/>
                              </w:rPr>
                              <w:t>”</w:t>
                            </w:r>
                          </w:p>
                        </w:tc>
                        <w:tc>
                          <w:tcPr>
                            <w:tcW w:w="2893" w:type="dxa"/>
                            <w:tcMar>
                              <w:left w:w="113" w:type="dxa"/>
                              <w:right w:w="113" w:type="dxa"/>
                            </w:tcMar>
                          </w:tcPr>
                          <w:p w14:paraId="31786801" w14:textId="77777777" w:rsidR="00D64492" w:rsidRPr="00185CDF" w:rsidRDefault="00D64492" w:rsidP="00AA2EE8"/>
                        </w:tc>
                      </w:tr>
                      <w:tr w:rsidR="00D64492" w:rsidRPr="00185CDF" w14:paraId="7AF79520" w14:textId="77777777" w:rsidTr="00913644">
                        <w:trPr>
                          <w:trHeight w:val="1277"/>
                        </w:trPr>
                        <w:tc>
                          <w:tcPr>
                            <w:tcW w:w="5665" w:type="dxa"/>
                            <w:tcMar>
                              <w:left w:w="0" w:type="dxa"/>
                              <w:right w:w="0" w:type="dxa"/>
                            </w:tcMar>
                            <w:vAlign w:val="bottom"/>
                          </w:tcPr>
                          <w:p w14:paraId="2D0333E6" w14:textId="77777777" w:rsidR="00D64492" w:rsidRDefault="00D64492" w:rsidP="00913644">
                            <w:pPr>
                              <w:pStyle w:val="Intro"/>
                            </w:pPr>
                          </w:p>
                          <w:p w14:paraId="6EEABDB7" w14:textId="77777777" w:rsidR="00D64492" w:rsidRDefault="00D64492" w:rsidP="00913644">
                            <w:pPr>
                              <w:pStyle w:val="Intro"/>
                            </w:pPr>
                          </w:p>
                          <w:p w14:paraId="3E7D1A67" w14:textId="77777777" w:rsidR="00D64492" w:rsidRPr="00BB3E10" w:rsidRDefault="00D64492" w:rsidP="00F67EDE">
                            <w:pPr>
                              <w:pStyle w:val="Intro"/>
                            </w:pPr>
                            <w:r w:rsidRPr="00BB3E10">
                              <w:t xml:space="preserve"> </w:t>
                            </w:r>
                          </w:p>
                        </w:tc>
                        <w:tc>
                          <w:tcPr>
                            <w:tcW w:w="2893" w:type="dxa"/>
                            <w:tcMar>
                              <w:left w:w="113" w:type="dxa"/>
                              <w:right w:w="113" w:type="dxa"/>
                            </w:tcMar>
                            <w:vAlign w:val="bottom"/>
                          </w:tcPr>
                          <w:p w14:paraId="606AC43F" w14:textId="77777777" w:rsidR="00D64492" w:rsidRPr="00BB3E10" w:rsidRDefault="00D64492" w:rsidP="00913644">
                            <w:pPr>
                              <w:pStyle w:val="AN"/>
                            </w:pPr>
                            <w:r>
                              <w:t>202</w:t>
                            </w:r>
                            <w:r w:rsidR="007C66F0">
                              <w:t>6</w:t>
                            </w:r>
                          </w:p>
                        </w:tc>
                      </w:tr>
                    </w:tbl>
                    <w:p w14:paraId="0720F094" w14:textId="77777777" w:rsidR="00D64492" w:rsidRPr="00EF1C94" w:rsidRDefault="00D64492" w:rsidP="00AA2EE8"/>
                  </w:txbxContent>
                </v:textbox>
                <w10:wrap type="topAndBottom" anchorx="page" anchory="page"/>
                <w10:anchorlock/>
              </v:shape>
            </w:pict>
          </mc:Fallback>
        </mc:AlternateContent>
      </w:r>
      <w:r>
        <w:rPr>
          <w:noProof/>
        </w:rPr>
        <mc:AlternateContent>
          <mc:Choice Requires="wpg">
            <w:drawing>
              <wp:anchor distT="0" distB="0" distL="114300" distR="114300" simplePos="0" relativeHeight="251656192" behindDoc="0" locked="1" layoutInCell="1" allowOverlap="1" wp14:anchorId="55115199" wp14:editId="6BF47995">
                <wp:simplePos x="0" y="0"/>
                <wp:positionH relativeFrom="page">
                  <wp:posOffset>1511300</wp:posOffset>
                </wp:positionH>
                <wp:positionV relativeFrom="page">
                  <wp:posOffset>692150</wp:posOffset>
                </wp:positionV>
                <wp:extent cx="2110105" cy="841375"/>
                <wp:effectExtent l="0" t="0" r="0" b="0"/>
                <wp:wrapNone/>
                <wp:docPr id="435563120" name="Group 64"/>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2110105" cy="841375"/>
                          <a:chOff x="0" y="0"/>
                          <a:chExt cx="1583079" cy="631769"/>
                        </a:xfrm>
                      </wpg:grpSpPr>
                      <wpg:grpSp>
                        <wpg:cNvPr id="362166880" name="Graphic 1"/>
                        <wpg:cNvGrpSpPr/>
                        <wpg:grpSpPr>
                          <a:xfrm>
                            <a:off x="636104" y="135172"/>
                            <a:ext cx="946975" cy="358330"/>
                            <a:chOff x="635889" y="138207"/>
                            <a:chExt cx="946975" cy="358330"/>
                          </a:xfrm>
                          <a:solidFill>
                            <a:srgbClr val="FFFFFF"/>
                          </a:solidFill>
                        </wpg:grpSpPr>
                        <wps:wsp>
                          <wps:cNvPr id="1804678668" name="Freeform: Shape 1804678668"/>
                          <wps:cNvSpPr/>
                          <wps:spPr>
                            <a:xfrm>
                              <a:off x="636936" y="147161"/>
                              <a:ext cx="33337" cy="85915"/>
                            </a:xfrm>
                            <a:custGeom>
                              <a:avLst/>
                              <a:gdLst>
                                <a:gd name="connsiteX0" fmla="*/ 0 w 33337"/>
                                <a:gd name="connsiteY0" fmla="*/ 85915 h 85915"/>
                                <a:gd name="connsiteX1" fmla="*/ 0 w 33337"/>
                                <a:gd name="connsiteY1" fmla="*/ 79724 h 85915"/>
                                <a:gd name="connsiteX2" fmla="*/ 10192 w 33337"/>
                                <a:gd name="connsiteY2" fmla="*/ 78200 h 85915"/>
                                <a:gd name="connsiteX3" fmla="*/ 10192 w 33337"/>
                                <a:gd name="connsiteY3" fmla="*/ 7715 h 85915"/>
                                <a:gd name="connsiteX4" fmla="*/ 0 w 33337"/>
                                <a:gd name="connsiteY4" fmla="*/ 6191 h 85915"/>
                                <a:gd name="connsiteX5" fmla="*/ 0 w 33337"/>
                                <a:gd name="connsiteY5" fmla="*/ 0 h 85915"/>
                                <a:gd name="connsiteX6" fmla="*/ 33338 w 33337"/>
                                <a:gd name="connsiteY6" fmla="*/ 0 h 85915"/>
                                <a:gd name="connsiteX7" fmla="*/ 33338 w 33337"/>
                                <a:gd name="connsiteY7" fmla="*/ 6191 h 85915"/>
                                <a:gd name="connsiteX8" fmla="*/ 23241 w 33337"/>
                                <a:gd name="connsiteY8" fmla="*/ 7715 h 85915"/>
                                <a:gd name="connsiteX9" fmla="*/ 23241 w 33337"/>
                                <a:gd name="connsiteY9" fmla="*/ 78200 h 85915"/>
                                <a:gd name="connsiteX10" fmla="*/ 33338 w 33337"/>
                                <a:gd name="connsiteY10" fmla="*/ 79915 h 85915"/>
                                <a:gd name="connsiteX11" fmla="*/ 33338 w 33337"/>
                                <a:gd name="connsiteY11" fmla="*/ 85915 h 85915"/>
                                <a:gd name="connsiteX12" fmla="*/ 0 w 33337"/>
                                <a:gd name="connsiteY12" fmla="*/ 85915 h 8591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33337" h="85915">
                                  <a:moveTo>
                                    <a:pt x="0" y="85915"/>
                                  </a:moveTo>
                                  <a:lnTo>
                                    <a:pt x="0" y="79724"/>
                                  </a:lnTo>
                                  <a:lnTo>
                                    <a:pt x="10192" y="78200"/>
                                  </a:lnTo>
                                  <a:lnTo>
                                    <a:pt x="10192" y="7715"/>
                                  </a:lnTo>
                                  <a:lnTo>
                                    <a:pt x="0" y="6191"/>
                                  </a:lnTo>
                                  <a:lnTo>
                                    <a:pt x="0" y="0"/>
                                  </a:lnTo>
                                  <a:lnTo>
                                    <a:pt x="33338" y="0"/>
                                  </a:lnTo>
                                  <a:lnTo>
                                    <a:pt x="33338" y="6191"/>
                                  </a:lnTo>
                                  <a:lnTo>
                                    <a:pt x="23241" y="7715"/>
                                  </a:lnTo>
                                  <a:lnTo>
                                    <a:pt x="23241" y="78200"/>
                                  </a:lnTo>
                                  <a:lnTo>
                                    <a:pt x="33338" y="79915"/>
                                  </a:lnTo>
                                  <a:lnTo>
                                    <a:pt x="33338" y="85915"/>
                                  </a:lnTo>
                                  <a:lnTo>
                                    <a:pt x="0" y="85915"/>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921133837" name="Freeform: Shape 921133837"/>
                          <wps:cNvSpPr/>
                          <wps:spPr>
                            <a:xfrm>
                              <a:off x="682942" y="167354"/>
                              <a:ext cx="69056" cy="65722"/>
                            </a:xfrm>
                            <a:custGeom>
                              <a:avLst/>
                              <a:gdLst>
                                <a:gd name="connsiteX0" fmla="*/ 286 w 69056"/>
                                <a:gd name="connsiteY0" fmla="*/ 65723 h 65722"/>
                                <a:gd name="connsiteX1" fmla="*/ 286 w 69056"/>
                                <a:gd name="connsiteY1" fmla="*/ 59531 h 65722"/>
                                <a:gd name="connsiteX2" fmla="*/ 7906 w 69056"/>
                                <a:gd name="connsiteY2" fmla="*/ 58579 h 65722"/>
                                <a:gd name="connsiteX3" fmla="*/ 7906 w 69056"/>
                                <a:gd name="connsiteY3" fmla="*/ 11525 h 65722"/>
                                <a:gd name="connsiteX4" fmla="*/ 0 w 69056"/>
                                <a:gd name="connsiteY4" fmla="*/ 9049 h 65722"/>
                                <a:gd name="connsiteX5" fmla="*/ 0 w 69056"/>
                                <a:gd name="connsiteY5" fmla="*/ 2286 h 65722"/>
                                <a:gd name="connsiteX6" fmla="*/ 16097 w 69056"/>
                                <a:gd name="connsiteY6" fmla="*/ 0 h 65722"/>
                                <a:gd name="connsiteX7" fmla="*/ 16383 w 69056"/>
                                <a:gd name="connsiteY7" fmla="*/ 0 h 65722"/>
                                <a:gd name="connsiteX8" fmla="*/ 19145 w 69056"/>
                                <a:gd name="connsiteY8" fmla="*/ 2286 h 65722"/>
                                <a:gd name="connsiteX9" fmla="*/ 19145 w 69056"/>
                                <a:gd name="connsiteY9" fmla="*/ 6668 h 65722"/>
                                <a:gd name="connsiteX10" fmla="*/ 19050 w 69056"/>
                                <a:gd name="connsiteY10" fmla="*/ 9049 h 65722"/>
                                <a:gd name="connsiteX11" fmla="*/ 23622 w 69056"/>
                                <a:gd name="connsiteY11" fmla="*/ 5715 h 65722"/>
                                <a:gd name="connsiteX12" fmla="*/ 29432 w 69056"/>
                                <a:gd name="connsiteY12" fmla="*/ 2858 h 65722"/>
                                <a:gd name="connsiteX13" fmla="*/ 35814 w 69056"/>
                                <a:gd name="connsiteY13" fmla="*/ 762 h 65722"/>
                                <a:gd name="connsiteX14" fmla="*/ 42101 w 69056"/>
                                <a:gd name="connsiteY14" fmla="*/ 0 h 65722"/>
                                <a:gd name="connsiteX15" fmla="*/ 51340 w 69056"/>
                                <a:gd name="connsiteY15" fmla="*/ 1524 h 65722"/>
                                <a:gd name="connsiteX16" fmla="*/ 57055 w 69056"/>
                                <a:gd name="connsiteY16" fmla="*/ 6286 h 65722"/>
                                <a:gd name="connsiteX17" fmla="*/ 59912 w 69056"/>
                                <a:gd name="connsiteY17" fmla="*/ 14669 h 65722"/>
                                <a:gd name="connsiteX18" fmla="*/ 60674 w 69056"/>
                                <a:gd name="connsiteY18" fmla="*/ 26860 h 65722"/>
                                <a:gd name="connsiteX19" fmla="*/ 60674 w 69056"/>
                                <a:gd name="connsiteY19" fmla="*/ 58579 h 65722"/>
                                <a:gd name="connsiteX20" fmla="*/ 69056 w 69056"/>
                                <a:gd name="connsiteY20" fmla="*/ 59531 h 65722"/>
                                <a:gd name="connsiteX21" fmla="*/ 69056 w 69056"/>
                                <a:gd name="connsiteY21" fmla="*/ 65723 h 65722"/>
                                <a:gd name="connsiteX22" fmla="*/ 40672 w 69056"/>
                                <a:gd name="connsiteY22" fmla="*/ 65723 h 65722"/>
                                <a:gd name="connsiteX23" fmla="*/ 40672 w 69056"/>
                                <a:gd name="connsiteY23" fmla="*/ 59531 h 65722"/>
                                <a:gd name="connsiteX24" fmla="*/ 48101 w 69056"/>
                                <a:gd name="connsiteY24" fmla="*/ 58579 h 65722"/>
                                <a:gd name="connsiteX25" fmla="*/ 48101 w 69056"/>
                                <a:gd name="connsiteY25" fmla="*/ 26860 h 65722"/>
                                <a:gd name="connsiteX26" fmla="*/ 47720 w 69056"/>
                                <a:gd name="connsiteY26" fmla="*/ 18955 h 65722"/>
                                <a:gd name="connsiteX27" fmla="*/ 46101 w 69056"/>
                                <a:gd name="connsiteY27" fmla="*/ 13335 h 65722"/>
                                <a:gd name="connsiteX28" fmla="*/ 42577 w 69056"/>
                                <a:gd name="connsiteY28" fmla="*/ 9906 h 65722"/>
                                <a:gd name="connsiteX29" fmla="*/ 36671 w 69056"/>
                                <a:gd name="connsiteY29" fmla="*/ 8763 h 65722"/>
                                <a:gd name="connsiteX30" fmla="*/ 28099 w 69056"/>
                                <a:gd name="connsiteY30" fmla="*/ 10287 h 65722"/>
                                <a:gd name="connsiteX31" fmla="*/ 20574 w 69056"/>
                                <a:gd name="connsiteY31" fmla="*/ 14192 h 65722"/>
                                <a:gd name="connsiteX32" fmla="*/ 20574 w 69056"/>
                                <a:gd name="connsiteY32" fmla="*/ 58579 h 65722"/>
                                <a:gd name="connsiteX33" fmla="*/ 28575 w 69056"/>
                                <a:gd name="connsiteY33" fmla="*/ 59531 h 65722"/>
                                <a:gd name="connsiteX34" fmla="*/ 28575 w 69056"/>
                                <a:gd name="connsiteY34" fmla="*/ 65723 h 65722"/>
                                <a:gd name="connsiteX35" fmla="*/ 286 w 69056"/>
                                <a:gd name="connsiteY35" fmla="*/ 65723 h 6572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Lst>
                              <a:rect l="l" t="t" r="r" b="b"/>
                              <a:pathLst>
                                <a:path w="69056" h="65722">
                                  <a:moveTo>
                                    <a:pt x="286" y="65723"/>
                                  </a:moveTo>
                                  <a:lnTo>
                                    <a:pt x="286" y="59531"/>
                                  </a:lnTo>
                                  <a:lnTo>
                                    <a:pt x="7906" y="58579"/>
                                  </a:lnTo>
                                  <a:lnTo>
                                    <a:pt x="7906" y="11525"/>
                                  </a:lnTo>
                                  <a:lnTo>
                                    <a:pt x="0" y="9049"/>
                                  </a:lnTo>
                                  <a:lnTo>
                                    <a:pt x="0" y="2286"/>
                                  </a:lnTo>
                                  <a:lnTo>
                                    <a:pt x="16097" y="0"/>
                                  </a:lnTo>
                                  <a:lnTo>
                                    <a:pt x="16383" y="0"/>
                                  </a:lnTo>
                                  <a:lnTo>
                                    <a:pt x="19145" y="2286"/>
                                  </a:lnTo>
                                  <a:lnTo>
                                    <a:pt x="19145" y="6668"/>
                                  </a:lnTo>
                                  <a:lnTo>
                                    <a:pt x="19050" y="9049"/>
                                  </a:lnTo>
                                  <a:cubicBezTo>
                                    <a:pt x="20288" y="7906"/>
                                    <a:pt x="21812" y="6858"/>
                                    <a:pt x="23622" y="5715"/>
                                  </a:cubicBezTo>
                                  <a:cubicBezTo>
                                    <a:pt x="25432" y="4667"/>
                                    <a:pt x="27432" y="3715"/>
                                    <a:pt x="29432" y="2858"/>
                                  </a:cubicBezTo>
                                  <a:cubicBezTo>
                                    <a:pt x="31528" y="2000"/>
                                    <a:pt x="33623" y="1333"/>
                                    <a:pt x="35814" y="762"/>
                                  </a:cubicBezTo>
                                  <a:cubicBezTo>
                                    <a:pt x="38005" y="191"/>
                                    <a:pt x="40100" y="0"/>
                                    <a:pt x="42101" y="0"/>
                                  </a:cubicBezTo>
                                  <a:cubicBezTo>
                                    <a:pt x="45815" y="0"/>
                                    <a:pt x="48863" y="476"/>
                                    <a:pt x="51340" y="1524"/>
                                  </a:cubicBezTo>
                                  <a:cubicBezTo>
                                    <a:pt x="53721" y="2572"/>
                                    <a:pt x="55626" y="4096"/>
                                    <a:pt x="57055" y="6286"/>
                                  </a:cubicBezTo>
                                  <a:cubicBezTo>
                                    <a:pt x="58388" y="8477"/>
                                    <a:pt x="59341" y="11240"/>
                                    <a:pt x="59912" y="14669"/>
                                  </a:cubicBezTo>
                                  <a:cubicBezTo>
                                    <a:pt x="60484" y="18002"/>
                                    <a:pt x="60674" y="22098"/>
                                    <a:pt x="60674" y="26860"/>
                                  </a:cubicBezTo>
                                  <a:lnTo>
                                    <a:pt x="60674" y="58579"/>
                                  </a:lnTo>
                                  <a:lnTo>
                                    <a:pt x="69056" y="59531"/>
                                  </a:lnTo>
                                  <a:lnTo>
                                    <a:pt x="69056" y="65723"/>
                                  </a:lnTo>
                                  <a:lnTo>
                                    <a:pt x="40672" y="65723"/>
                                  </a:lnTo>
                                  <a:lnTo>
                                    <a:pt x="40672" y="59531"/>
                                  </a:lnTo>
                                  <a:lnTo>
                                    <a:pt x="48101" y="58579"/>
                                  </a:lnTo>
                                  <a:lnTo>
                                    <a:pt x="48101" y="26860"/>
                                  </a:lnTo>
                                  <a:cubicBezTo>
                                    <a:pt x="48101" y="23813"/>
                                    <a:pt x="48006" y="21241"/>
                                    <a:pt x="47720" y="18955"/>
                                  </a:cubicBezTo>
                                  <a:cubicBezTo>
                                    <a:pt x="47435" y="16669"/>
                                    <a:pt x="46958" y="14764"/>
                                    <a:pt x="46101" y="13335"/>
                                  </a:cubicBezTo>
                                  <a:cubicBezTo>
                                    <a:pt x="45244" y="11811"/>
                                    <a:pt x="44101" y="10668"/>
                                    <a:pt x="42577" y="9906"/>
                                  </a:cubicBezTo>
                                  <a:cubicBezTo>
                                    <a:pt x="41053" y="9144"/>
                                    <a:pt x="39053" y="8763"/>
                                    <a:pt x="36671" y="8763"/>
                                  </a:cubicBezTo>
                                  <a:cubicBezTo>
                                    <a:pt x="33814" y="8763"/>
                                    <a:pt x="30956" y="9239"/>
                                    <a:pt x="28099" y="10287"/>
                                  </a:cubicBezTo>
                                  <a:cubicBezTo>
                                    <a:pt x="25241" y="11335"/>
                                    <a:pt x="22670" y="12668"/>
                                    <a:pt x="20574" y="14192"/>
                                  </a:cubicBezTo>
                                  <a:lnTo>
                                    <a:pt x="20574" y="58579"/>
                                  </a:lnTo>
                                  <a:lnTo>
                                    <a:pt x="28575" y="59531"/>
                                  </a:lnTo>
                                  <a:lnTo>
                                    <a:pt x="28575" y="65723"/>
                                  </a:lnTo>
                                  <a:lnTo>
                                    <a:pt x="286" y="65723"/>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630785999" name="Freeform: Shape 1630785999"/>
                          <wps:cNvSpPr/>
                          <wps:spPr>
                            <a:xfrm>
                              <a:off x="762381" y="167354"/>
                              <a:ext cx="46862" cy="66865"/>
                            </a:xfrm>
                            <a:custGeom>
                              <a:avLst/>
                              <a:gdLst>
                                <a:gd name="connsiteX0" fmla="*/ 0 w 46862"/>
                                <a:gd name="connsiteY0" fmla="*/ 62103 h 66865"/>
                                <a:gd name="connsiteX1" fmla="*/ 0 w 46862"/>
                                <a:gd name="connsiteY1" fmla="*/ 47339 h 66865"/>
                                <a:gd name="connsiteX2" fmla="*/ 8001 w 46862"/>
                                <a:gd name="connsiteY2" fmla="*/ 47339 h 66865"/>
                                <a:gd name="connsiteX3" fmla="*/ 10287 w 46862"/>
                                <a:gd name="connsiteY3" fmla="*/ 55721 h 66865"/>
                                <a:gd name="connsiteX4" fmla="*/ 12002 w 46862"/>
                                <a:gd name="connsiteY4" fmla="*/ 57531 h 66865"/>
                                <a:gd name="connsiteX5" fmla="*/ 14954 w 46862"/>
                                <a:gd name="connsiteY5" fmla="*/ 59150 h 66865"/>
                                <a:gd name="connsiteX6" fmla="*/ 18764 w 46862"/>
                                <a:gd name="connsiteY6" fmla="*/ 60293 h 66865"/>
                                <a:gd name="connsiteX7" fmla="*/ 23146 w 46862"/>
                                <a:gd name="connsiteY7" fmla="*/ 60674 h 66865"/>
                                <a:gd name="connsiteX8" fmla="*/ 28956 w 46862"/>
                                <a:gd name="connsiteY8" fmla="*/ 59912 h 66865"/>
                                <a:gd name="connsiteX9" fmla="*/ 32480 w 46862"/>
                                <a:gd name="connsiteY9" fmla="*/ 57912 h 66865"/>
                                <a:gd name="connsiteX10" fmla="*/ 34290 w 46862"/>
                                <a:gd name="connsiteY10" fmla="*/ 54959 h 66865"/>
                                <a:gd name="connsiteX11" fmla="*/ 34766 w 46862"/>
                                <a:gd name="connsiteY11" fmla="*/ 51530 h 66865"/>
                                <a:gd name="connsiteX12" fmla="*/ 33814 w 46862"/>
                                <a:gd name="connsiteY12" fmla="*/ 47530 h 66865"/>
                                <a:gd name="connsiteX13" fmla="*/ 30766 w 46862"/>
                                <a:gd name="connsiteY13" fmla="*/ 44101 h 66865"/>
                                <a:gd name="connsiteX14" fmla="*/ 25527 w 46862"/>
                                <a:gd name="connsiteY14" fmla="*/ 40958 h 66865"/>
                                <a:gd name="connsiteX15" fmla="*/ 17907 w 46862"/>
                                <a:gd name="connsiteY15" fmla="*/ 37719 h 66865"/>
                                <a:gd name="connsiteX16" fmla="*/ 10001 w 46862"/>
                                <a:gd name="connsiteY16" fmla="*/ 34004 h 66865"/>
                                <a:gd name="connsiteX17" fmla="*/ 4477 w 46862"/>
                                <a:gd name="connsiteY17" fmla="*/ 29528 h 66865"/>
                                <a:gd name="connsiteX18" fmla="*/ 1238 w 46862"/>
                                <a:gd name="connsiteY18" fmla="*/ 24003 h 66865"/>
                                <a:gd name="connsiteX19" fmla="*/ 190 w 46862"/>
                                <a:gd name="connsiteY19" fmla="*/ 17145 h 66865"/>
                                <a:gd name="connsiteX20" fmla="*/ 2000 w 46862"/>
                                <a:gd name="connsiteY20" fmla="*/ 10096 h 66865"/>
                                <a:gd name="connsiteX21" fmla="*/ 6953 w 46862"/>
                                <a:gd name="connsiteY21" fmla="*/ 4667 h 66865"/>
                                <a:gd name="connsiteX22" fmla="*/ 14383 w 46862"/>
                                <a:gd name="connsiteY22" fmla="*/ 1238 h 66865"/>
                                <a:gd name="connsiteX23" fmla="*/ 23622 w 46862"/>
                                <a:gd name="connsiteY23" fmla="*/ 0 h 66865"/>
                                <a:gd name="connsiteX24" fmla="*/ 30099 w 46862"/>
                                <a:gd name="connsiteY24" fmla="*/ 381 h 66865"/>
                                <a:gd name="connsiteX25" fmla="*/ 35433 w 46862"/>
                                <a:gd name="connsiteY25" fmla="*/ 1429 h 66865"/>
                                <a:gd name="connsiteX26" fmla="*/ 39624 w 46862"/>
                                <a:gd name="connsiteY26" fmla="*/ 2667 h 66865"/>
                                <a:gd name="connsiteX27" fmla="*/ 42481 w 46862"/>
                                <a:gd name="connsiteY27" fmla="*/ 3620 h 66865"/>
                                <a:gd name="connsiteX28" fmla="*/ 42481 w 46862"/>
                                <a:gd name="connsiteY28" fmla="*/ 17717 h 66865"/>
                                <a:gd name="connsiteX29" fmla="*/ 34957 w 46862"/>
                                <a:gd name="connsiteY29" fmla="*/ 17621 h 66865"/>
                                <a:gd name="connsiteX30" fmla="*/ 32480 w 46862"/>
                                <a:gd name="connsiteY30" fmla="*/ 10287 h 66865"/>
                                <a:gd name="connsiteX31" fmla="*/ 29337 w 46862"/>
                                <a:gd name="connsiteY31" fmla="*/ 7525 h 66865"/>
                                <a:gd name="connsiteX32" fmla="*/ 23050 w 46862"/>
                                <a:gd name="connsiteY32" fmla="*/ 6286 h 66865"/>
                                <a:gd name="connsiteX33" fmla="*/ 18002 w 46862"/>
                                <a:gd name="connsiteY33" fmla="*/ 6858 h 66865"/>
                                <a:gd name="connsiteX34" fmla="*/ 14573 w 46862"/>
                                <a:gd name="connsiteY34" fmla="*/ 8572 h 66865"/>
                                <a:gd name="connsiteX35" fmla="*/ 12668 w 46862"/>
                                <a:gd name="connsiteY35" fmla="*/ 11049 h 66865"/>
                                <a:gd name="connsiteX36" fmla="*/ 12097 w 46862"/>
                                <a:gd name="connsiteY36" fmla="*/ 14097 h 66865"/>
                                <a:gd name="connsiteX37" fmla="*/ 13430 w 46862"/>
                                <a:gd name="connsiteY37" fmla="*/ 19050 h 66865"/>
                                <a:gd name="connsiteX38" fmla="*/ 16859 w 46862"/>
                                <a:gd name="connsiteY38" fmla="*/ 22289 h 66865"/>
                                <a:gd name="connsiteX39" fmla="*/ 21717 w 46862"/>
                                <a:gd name="connsiteY39" fmla="*/ 24670 h 66865"/>
                                <a:gd name="connsiteX40" fmla="*/ 27242 w 46862"/>
                                <a:gd name="connsiteY40" fmla="*/ 26956 h 66865"/>
                                <a:gd name="connsiteX41" fmla="*/ 34671 w 46862"/>
                                <a:gd name="connsiteY41" fmla="*/ 30480 h 66865"/>
                                <a:gd name="connsiteX42" fmla="*/ 40957 w 46862"/>
                                <a:gd name="connsiteY42" fmla="*/ 34766 h 66865"/>
                                <a:gd name="connsiteX43" fmla="*/ 45244 w 46862"/>
                                <a:gd name="connsiteY43" fmla="*/ 40386 h 66865"/>
                                <a:gd name="connsiteX44" fmla="*/ 46863 w 46862"/>
                                <a:gd name="connsiteY44" fmla="*/ 47911 h 66865"/>
                                <a:gd name="connsiteX45" fmla="*/ 45244 w 46862"/>
                                <a:gd name="connsiteY45" fmla="*/ 55721 h 66865"/>
                                <a:gd name="connsiteX46" fmla="*/ 40386 w 46862"/>
                                <a:gd name="connsiteY46" fmla="*/ 61722 h 66865"/>
                                <a:gd name="connsiteX47" fmla="*/ 32671 w 46862"/>
                                <a:gd name="connsiteY47" fmla="*/ 65532 h 66865"/>
                                <a:gd name="connsiteX48" fmla="*/ 22384 w 46862"/>
                                <a:gd name="connsiteY48" fmla="*/ 66866 h 66865"/>
                                <a:gd name="connsiteX49" fmla="*/ 16097 w 46862"/>
                                <a:gd name="connsiteY49" fmla="*/ 66389 h 66865"/>
                                <a:gd name="connsiteX50" fmla="*/ 9811 w 46862"/>
                                <a:gd name="connsiteY50" fmla="*/ 65151 h 66865"/>
                                <a:gd name="connsiteX51" fmla="*/ 4286 w 46862"/>
                                <a:gd name="connsiteY51" fmla="*/ 63532 h 66865"/>
                                <a:gd name="connsiteX52" fmla="*/ 0 w 46862"/>
                                <a:gd name="connsiteY52" fmla="*/ 62103 h 668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Lst>
                              <a:rect l="l" t="t" r="r" b="b"/>
                              <a:pathLst>
                                <a:path w="46862" h="66865">
                                  <a:moveTo>
                                    <a:pt x="0" y="62103"/>
                                  </a:moveTo>
                                  <a:lnTo>
                                    <a:pt x="0" y="47339"/>
                                  </a:lnTo>
                                  <a:lnTo>
                                    <a:pt x="8001" y="47339"/>
                                  </a:lnTo>
                                  <a:lnTo>
                                    <a:pt x="10287" y="55721"/>
                                  </a:lnTo>
                                  <a:cubicBezTo>
                                    <a:pt x="10668" y="56293"/>
                                    <a:pt x="11240" y="56959"/>
                                    <a:pt x="12002" y="57531"/>
                                  </a:cubicBezTo>
                                  <a:cubicBezTo>
                                    <a:pt x="12859" y="58103"/>
                                    <a:pt x="13811" y="58674"/>
                                    <a:pt x="14954" y="59150"/>
                                  </a:cubicBezTo>
                                  <a:cubicBezTo>
                                    <a:pt x="16097" y="59627"/>
                                    <a:pt x="17335" y="60008"/>
                                    <a:pt x="18764" y="60293"/>
                                  </a:cubicBezTo>
                                  <a:cubicBezTo>
                                    <a:pt x="20193" y="60579"/>
                                    <a:pt x="21622" y="60674"/>
                                    <a:pt x="23146" y="60674"/>
                                  </a:cubicBezTo>
                                  <a:cubicBezTo>
                                    <a:pt x="25527" y="60674"/>
                                    <a:pt x="27432" y="60389"/>
                                    <a:pt x="28956" y="59912"/>
                                  </a:cubicBezTo>
                                  <a:cubicBezTo>
                                    <a:pt x="30480" y="59436"/>
                                    <a:pt x="31623" y="58769"/>
                                    <a:pt x="32480" y="57912"/>
                                  </a:cubicBezTo>
                                  <a:cubicBezTo>
                                    <a:pt x="33338" y="57055"/>
                                    <a:pt x="33909" y="56102"/>
                                    <a:pt x="34290" y="54959"/>
                                  </a:cubicBezTo>
                                  <a:cubicBezTo>
                                    <a:pt x="34576" y="53816"/>
                                    <a:pt x="34766" y="52673"/>
                                    <a:pt x="34766" y="51530"/>
                                  </a:cubicBezTo>
                                  <a:cubicBezTo>
                                    <a:pt x="34766" y="50102"/>
                                    <a:pt x="34481" y="48768"/>
                                    <a:pt x="33814" y="47530"/>
                                  </a:cubicBezTo>
                                  <a:cubicBezTo>
                                    <a:pt x="33147" y="46387"/>
                                    <a:pt x="32099" y="45244"/>
                                    <a:pt x="30766" y="44101"/>
                                  </a:cubicBezTo>
                                  <a:cubicBezTo>
                                    <a:pt x="29432" y="43053"/>
                                    <a:pt x="27623" y="42005"/>
                                    <a:pt x="25527" y="40958"/>
                                  </a:cubicBezTo>
                                  <a:cubicBezTo>
                                    <a:pt x="23431" y="39910"/>
                                    <a:pt x="20860" y="38862"/>
                                    <a:pt x="17907" y="37719"/>
                                  </a:cubicBezTo>
                                  <a:cubicBezTo>
                                    <a:pt x="14859" y="36576"/>
                                    <a:pt x="12192" y="35338"/>
                                    <a:pt x="10001" y="34004"/>
                                  </a:cubicBezTo>
                                  <a:cubicBezTo>
                                    <a:pt x="7810" y="32671"/>
                                    <a:pt x="5906" y="31242"/>
                                    <a:pt x="4477" y="29528"/>
                                  </a:cubicBezTo>
                                  <a:cubicBezTo>
                                    <a:pt x="3048" y="27908"/>
                                    <a:pt x="1905" y="26098"/>
                                    <a:pt x="1238" y="24003"/>
                                  </a:cubicBezTo>
                                  <a:cubicBezTo>
                                    <a:pt x="571" y="22003"/>
                                    <a:pt x="190" y="19717"/>
                                    <a:pt x="190" y="17145"/>
                                  </a:cubicBezTo>
                                  <a:cubicBezTo>
                                    <a:pt x="190" y="14573"/>
                                    <a:pt x="762" y="12192"/>
                                    <a:pt x="2000" y="10096"/>
                                  </a:cubicBezTo>
                                  <a:cubicBezTo>
                                    <a:pt x="3143" y="8001"/>
                                    <a:pt x="4858" y="6191"/>
                                    <a:pt x="6953" y="4667"/>
                                  </a:cubicBezTo>
                                  <a:cubicBezTo>
                                    <a:pt x="9049" y="3143"/>
                                    <a:pt x="11525" y="2000"/>
                                    <a:pt x="14383" y="1238"/>
                                  </a:cubicBezTo>
                                  <a:cubicBezTo>
                                    <a:pt x="17240" y="381"/>
                                    <a:pt x="20288" y="0"/>
                                    <a:pt x="23622" y="0"/>
                                  </a:cubicBezTo>
                                  <a:cubicBezTo>
                                    <a:pt x="25908" y="0"/>
                                    <a:pt x="28099" y="95"/>
                                    <a:pt x="30099" y="381"/>
                                  </a:cubicBezTo>
                                  <a:cubicBezTo>
                                    <a:pt x="32099" y="667"/>
                                    <a:pt x="33814" y="1048"/>
                                    <a:pt x="35433" y="1429"/>
                                  </a:cubicBezTo>
                                  <a:cubicBezTo>
                                    <a:pt x="37052" y="1810"/>
                                    <a:pt x="38386" y="2191"/>
                                    <a:pt x="39624" y="2667"/>
                                  </a:cubicBezTo>
                                  <a:cubicBezTo>
                                    <a:pt x="40767" y="3048"/>
                                    <a:pt x="41719" y="3429"/>
                                    <a:pt x="42481" y="3620"/>
                                  </a:cubicBezTo>
                                  <a:lnTo>
                                    <a:pt x="42481" y="17717"/>
                                  </a:lnTo>
                                  <a:lnTo>
                                    <a:pt x="34957" y="17621"/>
                                  </a:lnTo>
                                  <a:lnTo>
                                    <a:pt x="32480" y="10287"/>
                                  </a:lnTo>
                                  <a:cubicBezTo>
                                    <a:pt x="32004" y="9334"/>
                                    <a:pt x="30956" y="8382"/>
                                    <a:pt x="29337" y="7525"/>
                                  </a:cubicBezTo>
                                  <a:cubicBezTo>
                                    <a:pt x="27718" y="6668"/>
                                    <a:pt x="25622" y="6286"/>
                                    <a:pt x="23050" y="6286"/>
                                  </a:cubicBezTo>
                                  <a:cubicBezTo>
                                    <a:pt x="21050" y="6286"/>
                                    <a:pt x="19431" y="6477"/>
                                    <a:pt x="18002" y="6858"/>
                                  </a:cubicBezTo>
                                  <a:cubicBezTo>
                                    <a:pt x="16573" y="7239"/>
                                    <a:pt x="15526" y="7810"/>
                                    <a:pt x="14573" y="8572"/>
                                  </a:cubicBezTo>
                                  <a:cubicBezTo>
                                    <a:pt x="13716" y="9334"/>
                                    <a:pt x="13049" y="10096"/>
                                    <a:pt x="12668" y="11049"/>
                                  </a:cubicBezTo>
                                  <a:cubicBezTo>
                                    <a:pt x="12287" y="12002"/>
                                    <a:pt x="12097" y="13049"/>
                                    <a:pt x="12097" y="14097"/>
                                  </a:cubicBezTo>
                                  <a:cubicBezTo>
                                    <a:pt x="12097" y="16097"/>
                                    <a:pt x="12573" y="17812"/>
                                    <a:pt x="13430" y="19050"/>
                                  </a:cubicBezTo>
                                  <a:cubicBezTo>
                                    <a:pt x="14288" y="20288"/>
                                    <a:pt x="15431" y="21431"/>
                                    <a:pt x="16859" y="22289"/>
                                  </a:cubicBezTo>
                                  <a:cubicBezTo>
                                    <a:pt x="18288" y="23146"/>
                                    <a:pt x="19907" y="24003"/>
                                    <a:pt x="21717" y="24670"/>
                                  </a:cubicBezTo>
                                  <a:cubicBezTo>
                                    <a:pt x="23527" y="25336"/>
                                    <a:pt x="25336" y="26098"/>
                                    <a:pt x="27242" y="26956"/>
                                  </a:cubicBezTo>
                                  <a:cubicBezTo>
                                    <a:pt x="29813" y="28099"/>
                                    <a:pt x="32290" y="29242"/>
                                    <a:pt x="34671" y="30480"/>
                                  </a:cubicBezTo>
                                  <a:cubicBezTo>
                                    <a:pt x="37052" y="31718"/>
                                    <a:pt x="39148" y="33147"/>
                                    <a:pt x="40957" y="34766"/>
                                  </a:cubicBezTo>
                                  <a:cubicBezTo>
                                    <a:pt x="42767" y="36385"/>
                                    <a:pt x="44196" y="38195"/>
                                    <a:pt x="45244" y="40386"/>
                                  </a:cubicBezTo>
                                  <a:cubicBezTo>
                                    <a:pt x="46292" y="42482"/>
                                    <a:pt x="46863" y="45053"/>
                                    <a:pt x="46863" y="47911"/>
                                  </a:cubicBezTo>
                                  <a:cubicBezTo>
                                    <a:pt x="46863" y="50768"/>
                                    <a:pt x="46292" y="53340"/>
                                    <a:pt x="45244" y="55721"/>
                                  </a:cubicBezTo>
                                  <a:cubicBezTo>
                                    <a:pt x="44101" y="58103"/>
                                    <a:pt x="42481" y="60008"/>
                                    <a:pt x="40386" y="61722"/>
                                  </a:cubicBezTo>
                                  <a:cubicBezTo>
                                    <a:pt x="38290" y="63341"/>
                                    <a:pt x="35719" y="64580"/>
                                    <a:pt x="32671" y="65532"/>
                                  </a:cubicBezTo>
                                  <a:cubicBezTo>
                                    <a:pt x="29623" y="66389"/>
                                    <a:pt x="26194" y="66866"/>
                                    <a:pt x="22384" y="66866"/>
                                  </a:cubicBezTo>
                                  <a:cubicBezTo>
                                    <a:pt x="20383" y="66866"/>
                                    <a:pt x="18288" y="66675"/>
                                    <a:pt x="16097" y="66389"/>
                                  </a:cubicBezTo>
                                  <a:cubicBezTo>
                                    <a:pt x="13906" y="66008"/>
                                    <a:pt x="11811" y="65627"/>
                                    <a:pt x="9811" y="65151"/>
                                  </a:cubicBezTo>
                                  <a:cubicBezTo>
                                    <a:pt x="7810" y="64675"/>
                                    <a:pt x="6001" y="64103"/>
                                    <a:pt x="4286" y="63532"/>
                                  </a:cubicBezTo>
                                  <a:cubicBezTo>
                                    <a:pt x="2286" y="63151"/>
                                    <a:pt x="952" y="62579"/>
                                    <a:pt x="0" y="62103"/>
                                  </a:cubicBez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202899484" name="Freeform: Shape 1202899484"/>
                          <wps:cNvSpPr/>
                          <wps:spPr>
                            <a:xfrm>
                              <a:off x="818578" y="153257"/>
                              <a:ext cx="41529" cy="81153"/>
                            </a:xfrm>
                            <a:custGeom>
                              <a:avLst/>
                              <a:gdLst>
                                <a:gd name="connsiteX0" fmla="*/ 8192 w 41529"/>
                                <a:gd name="connsiteY0" fmla="*/ 67818 h 81153"/>
                                <a:gd name="connsiteX1" fmla="*/ 8192 w 41529"/>
                                <a:gd name="connsiteY1" fmla="*/ 23717 h 81153"/>
                                <a:gd name="connsiteX2" fmla="*/ 0 w 41529"/>
                                <a:gd name="connsiteY2" fmla="*/ 23717 h 81153"/>
                                <a:gd name="connsiteX3" fmla="*/ 0 w 41529"/>
                                <a:gd name="connsiteY3" fmla="*/ 18383 h 81153"/>
                                <a:gd name="connsiteX4" fmla="*/ 3524 w 41529"/>
                                <a:gd name="connsiteY4" fmla="*/ 17240 h 81153"/>
                                <a:gd name="connsiteX5" fmla="*/ 6001 w 41529"/>
                                <a:gd name="connsiteY5" fmla="*/ 16097 h 81153"/>
                                <a:gd name="connsiteX6" fmla="*/ 9144 w 41529"/>
                                <a:gd name="connsiteY6" fmla="*/ 11906 h 81153"/>
                                <a:gd name="connsiteX7" fmla="*/ 10287 w 41529"/>
                                <a:gd name="connsiteY7" fmla="*/ 9239 h 81153"/>
                                <a:gd name="connsiteX8" fmla="*/ 11621 w 41529"/>
                                <a:gd name="connsiteY8" fmla="*/ 5810 h 81153"/>
                                <a:gd name="connsiteX9" fmla="*/ 12763 w 41529"/>
                                <a:gd name="connsiteY9" fmla="*/ 2477 h 81153"/>
                                <a:gd name="connsiteX10" fmla="*/ 13525 w 41529"/>
                                <a:gd name="connsiteY10" fmla="*/ 0 h 81153"/>
                                <a:gd name="connsiteX11" fmla="*/ 20765 w 41529"/>
                                <a:gd name="connsiteY11" fmla="*/ 0 h 81153"/>
                                <a:gd name="connsiteX12" fmla="*/ 20765 w 41529"/>
                                <a:gd name="connsiteY12" fmla="*/ 15621 h 81153"/>
                                <a:gd name="connsiteX13" fmla="*/ 39719 w 41529"/>
                                <a:gd name="connsiteY13" fmla="*/ 15621 h 81153"/>
                                <a:gd name="connsiteX14" fmla="*/ 39719 w 41529"/>
                                <a:gd name="connsiteY14" fmla="*/ 23813 h 81153"/>
                                <a:gd name="connsiteX15" fmla="*/ 20765 w 41529"/>
                                <a:gd name="connsiteY15" fmla="*/ 23813 h 81153"/>
                                <a:gd name="connsiteX16" fmla="*/ 20765 w 41529"/>
                                <a:gd name="connsiteY16" fmla="*/ 57626 h 81153"/>
                                <a:gd name="connsiteX17" fmla="*/ 20860 w 41529"/>
                                <a:gd name="connsiteY17" fmla="*/ 65437 h 81153"/>
                                <a:gd name="connsiteX18" fmla="*/ 21622 w 41529"/>
                                <a:gd name="connsiteY18" fmla="*/ 69628 h 81153"/>
                                <a:gd name="connsiteX19" fmla="*/ 23527 w 41529"/>
                                <a:gd name="connsiteY19" fmla="*/ 71247 h 81153"/>
                                <a:gd name="connsiteX20" fmla="*/ 27051 w 41529"/>
                                <a:gd name="connsiteY20" fmla="*/ 71533 h 81153"/>
                                <a:gd name="connsiteX21" fmla="*/ 27146 w 41529"/>
                                <a:gd name="connsiteY21" fmla="*/ 71533 h 81153"/>
                                <a:gd name="connsiteX22" fmla="*/ 30575 w 41529"/>
                                <a:gd name="connsiteY22" fmla="*/ 71342 h 81153"/>
                                <a:gd name="connsiteX23" fmla="*/ 34099 w 41529"/>
                                <a:gd name="connsiteY23" fmla="*/ 70771 h 81153"/>
                                <a:gd name="connsiteX24" fmla="*/ 37243 w 41529"/>
                                <a:gd name="connsiteY24" fmla="*/ 70104 h 81153"/>
                                <a:gd name="connsiteX25" fmla="*/ 39529 w 41529"/>
                                <a:gd name="connsiteY25" fmla="*/ 69437 h 81153"/>
                                <a:gd name="connsiteX26" fmla="*/ 39624 w 41529"/>
                                <a:gd name="connsiteY26" fmla="*/ 69437 h 81153"/>
                                <a:gd name="connsiteX27" fmla="*/ 41529 w 41529"/>
                                <a:gd name="connsiteY27" fmla="*/ 74962 h 81153"/>
                                <a:gd name="connsiteX28" fmla="*/ 37814 w 41529"/>
                                <a:gd name="connsiteY28" fmla="*/ 77057 h 81153"/>
                                <a:gd name="connsiteX29" fmla="*/ 32671 w 41529"/>
                                <a:gd name="connsiteY29" fmla="*/ 79057 h 81153"/>
                                <a:gd name="connsiteX30" fmla="*/ 26860 w 41529"/>
                                <a:gd name="connsiteY30" fmla="*/ 80581 h 81153"/>
                                <a:gd name="connsiteX31" fmla="*/ 21241 w 41529"/>
                                <a:gd name="connsiteY31" fmla="*/ 81153 h 81153"/>
                                <a:gd name="connsiteX32" fmla="*/ 21146 w 41529"/>
                                <a:gd name="connsiteY32" fmla="*/ 81153 h 81153"/>
                                <a:gd name="connsiteX33" fmla="*/ 15811 w 41529"/>
                                <a:gd name="connsiteY33" fmla="*/ 80486 h 81153"/>
                                <a:gd name="connsiteX34" fmla="*/ 11811 w 41529"/>
                                <a:gd name="connsiteY34" fmla="*/ 78295 h 81153"/>
                                <a:gd name="connsiteX35" fmla="*/ 9239 w 41529"/>
                                <a:gd name="connsiteY35" fmla="*/ 74200 h 81153"/>
                                <a:gd name="connsiteX36" fmla="*/ 8192 w 41529"/>
                                <a:gd name="connsiteY36" fmla="*/ 67818 h 8115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Lst>
                              <a:rect l="l" t="t" r="r" b="b"/>
                              <a:pathLst>
                                <a:path w="41529" h="81153">
                                  <a:moveTo>
                                    <a:pt x="8192" y="67818"/>
                                  </a:moveTo>
                                  <a:lnTo>
                                    <a:pt x="8192" y="23717"/>
                                  </a:lnTo>
                                  <a:lnTo>
                                    <a:pt x="0" y="23717"/>
                                  </a:lnTo>
                                  <a:lnTo>
                                    <a:pt x="0" y="18383"/>
                                  </a:lnTo>
                                  <a:cubicBezTo>
                                    <a:pt x="1143" y="18002"/>
                                    <a:pt x="2286" y="17621"/>
                                    <a:pt x="3524" y="17240"/>
                                  </a:cubicBezTo>
                                  <a:cubicBezTo>
                                    <a:pt x="4667" y="16859"/>
                                    <a:pt x="5524" y="16478"/>
                                    <a:pt x="6001" y="16097"/>
                                  </a:cubicBezTo>
                                  <a:cubicBezTo>
                                    <a:pt x="7239" y="15240"/>
                                    <a:pt x="8287" y="13811"/>
                                    <a:pt x="9144" y="11906"/>
                                  </a:cubicBezTo>
                                  <a:cubicBezTo>
                                    <a:pt x="9430" y="11240"/>
                                    <a:pt x="9811" y="10382"/>
                                    <a:pt x="10287" y="9239"/>
                                  </a:cubicBezTo>
                                  <a:cubicBezTo>
                                    <a:pt x="10763" y="8096"/>
                                    <a:pt x="11144" y="6953"/>
                                    <a:pt x="11621" y="5810"/>
                                  </a:cubicBezTo>
                                  <a:cubicBezTo>
                                    <a:pt x="12097" y="4667"/>
                                    <a:pt x="12478" y="3524"/>
                                    <a:pt x="12763" y="2477"/>
                                  </a:cubicBezTo>
                                  <a:cubicBezTo>
                                    <a:pt x="13144" y="1429"/>
                                    <a:pt x="13335" y="571"/>
                                    <a:pt x="13525" y="0"/>
                                  </a:cubicBezTo>
                                  <a:lnTo>
                                    <a:pt x="20765" y="0"/>
                                  </a:lnTo>
                                  <a:lnTo>
                                    <a:pt x="20765" y="15621"/>
                                  </a:lnTo>
                                  <a:lnTo>
                                    <a:pt x="39719" y="15621"/>
                                  </a:lnTo>
                                  <a:lnTo>
                                    <a:pt x="39719" y="23813"/>
                                  </a:lnTo>
                                  <a:lnTo>
                                    <a:pt x="20765" y="23813"/>
                                  </a:lnTo>
                                  <a:lnTo>
                                    <a:pt x="20765" y="57626"/>
                                  </a:lnTo>
                                  <a:cubicBezTo>
                                    <a:pt x="20765" y="60960"/>
                                    <a:pt x="20765" y="63627"/>
                                    <a:pt x="20860" y="65437"/>
                                  </a:cubicBezTo>
                                  <a:cubicBezTo>
                                    <a:pt x="20955" y="67246"/>
                                    <a:pt x="21241" y="68675"/>
                                    <a:pt x="21622" y="69628"/>
                                  </a:cubicBezTo>
                                  <a:cubicBezTo>
                                    <a:pt x="22098" y="70485"/>
                                    <a:pt x="22669" y="71056"/>
                                    <a:pt x="23527" y="71247"/>
                                  </a:cubicBezTo>
                                  <a:cubicBezTo>
                                    <a:pt x="24384" y="71438"/>
                                    <a:pt x="25622" y="71533"/>
                                    <a:pt x="27051" y="71533"/>
                                  </a:cubicBezTo>
                                  <a:lnTo>
                                    <a:pt x="27146" y="71533"/>
                                  </a:lnTo>
                                  <a:cubicBezTo>
                                    <a:pt x="28194" y="71533"/>
                                    <a:pt x="29337" y="71438"/>
                                    <a:pt x="30575" y="71342"/>
                                  </a:cubicBezTo>
                                  <a:cubicBezTo>
                                    <a:pt x="31718" y="71152"/>
                                    <a:pt x="32956" y="71056"/>
                                    <a:pt x="34099" y="70771"/>
                                  </a:cubicBezTo>
                                  <a:cubicBezTo>
                                    <a:pt x="35242" y="70580"/>
                                    <a:pt x="36290" y="70294"/>
                                    <a:pt x="37243" y="70104"/>
                                  </a:cubicBezTo>
                                  <a:cubicBezTo>
                                    <a:pt x="38195" y="69818"/>
                                    <a:pt x="38957" y="69628"/>
                                    <a:pt x="39529" y="69437"/>
                                  </a:cubicBezTo>
                                  <a:lnTo>
                                    <a:pt x="39624" y="69437"/>
                                  </a:lnTo>
                                  <a:lnTo>
                                    <a:pt x="41529" y="74962"/>
                                  </a:lnTo>
                                  <a:cubicBezTo>
                                    <a:pt x="40576" y="75629"/>
                                    <a:pt x="39338" y="76391"/>
                                    <a:pt x="37814" y="77057"/>
                                  </a:cubicBezTo>
                                  <a:cubicBezTo>
                                    <a:pt x="36195" y="77819"/>
                                    <a:pt x="34480" y="78486"/>
                                    <a:pt x="32671" y="79057"/>
                                  </a:cubicBezTo>
                                  <a:cubicBezTo>
                                    <a:pt x="30766" y="79629"/>
                                    <a:pt x="28861" y="80201"/>
                                    <a:pt x="26860" y="80581"/>
                                  </a:cubicBezTo>
                                  <a:cubicBezTo>
                                    <a:pt x="24860" y="80963"/>
                                    <a:pt x="22955" y="81153"/>
                                    <a:pt x="21241" y="81153"/>
                                  </a:cubicBezTo>
                                  <a:lnTo>
                                    <a:pt x="21146" y="81153"/>
                                  </a:lnTo>
                                  <a:cubicBezTo>
                                    <a:pt x="19145" y="81153"/>
                                    <a:pt x="17335" y="80963"/>
                                    <a:pt x="15811" y="80486"/>
                                  </a:cubicBezTo>
                                  <a:cubicBezTo>
                                    <a:pt x="14192" y="80010"/>
                                    <a:pt x="12859" y="79248"/>
                                    <a:pt x="11811" y="78295"/>
                                  </a:cubicBezTo>
                                  <a:cubicBezTo>
                                    <a:pt x="10668" y="77248"/>
                                    <a:pt x="9811" y="75914"/>
                                    <a:pt x="9239" y="74200"/>
                                  </a:cubicBezTo>
                                  <a:cubicBezTo>
                                    <a:pt x="8477" y="72390"/>
                                    <a:pt x="8192" y="70294"/>
                                    <a:pt x="8192" y="67818"/>
                                  </a:cubicBez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911111106" name="Freeform: Shape 1911111106"/>
                          <wps:cNvSpPr/>
                          <wps:spPr>
                            <a:xfrm>
                              <a:off x="866108" y="139827"/>
                              <a:ext cx="31051" cy="93249"/>
                            </a:xfrm>
                            <a:custGeom>
                              <a:avLst/>
                              <a:gdLst>
                                <a:gd name="connsiteX0" fmla="*/ 0 w 31051"/>
                                <a:gd name="connsiteY0" fmla="*/ 93250 h 93249"/>
                                <a:gd name="connsiteX1" fmla="*/ 0 w 31051"/>
                                <a:gd name="connsiteY1" fmla="*/ 87058 h 93249"/>
                                <a:gd name="connsiteX2" fmla="*/ 9335 w 31051"/>
                                <a:gd name="connsiteY2" fmla="*/ 86106 h 93249"/>
                                <a:gd name="connsiteX3" fmla="*/ 9335 w 31051"/>
                                <a:gd name="connsiteY3" fmla="*/ 39053 h 93249"/>
                                <a:gd name="connsiteX4" fmla="*/ 1429 w 31051"/>
                                <a:gd name="connsiteY4" fmla="*/ 36576 h 93249"/>
                                <a:gd name="connsiteX5" fmla="*/ 1429 w 31051"/>
                                <a:gd name="connsiteY5" fmla="*/ 29813 h 93249"/>
                                <a:gd name="connsiteX6" fmla="*/ 18669 w 31051"/>
                                <a:gd name="connsiteY6" fmla="*/ 27527 h 93249"/>
                                <a:gd name="connsiteX7" fmla="*/ 18955 w 31051"/>
                                <a:gd name="connsiteY7" fmla="*/ 27527 h 93249"/>
                                <a:gd name="connsiteX8" fmla="*/ 21908 w 31051"/>
                                <a:gd name="connsiteY8" fmla="*/ 29813 h 93249"/>
                                <a:gd name="connsiteX9" fmla="*/ 21908 w 31051"/>
                                <a:gd name="connsiteY9" fmla="*/ 86201 h 93249"/>
                                <a:gd name="connsiteX10" fmla="*/ 31052 w 31051"/>
                                <a:gd name="connsiteY10" fmla="*/ 87058 h 93249"/>
                                <a:gd name="connsiteX11" fmla="*/ 31052 w 31051"/>
                                <a:gd name="connsiteY11" fmla="*/ 93250 h 93249"/>
                                <a:gd name="connsiteX12" fmla="*/ 0 w 31051"/>
                                <a:gd name="connsiteY12" fmla="*/ 93250 h 93249"/>
                                <a:gd name="connsiteX13" fmla="*/ 13716 w 31051"/>
                                <a:gd name="connsiteY13" fmla="*/ 16859 h 93249"/>
                                <a:gd name="connsiteX14" fmla="*/ 10668 w 31051"/>
                                <a:gd name="connsiteY14" fmla="*/ 16288 h 93249"/>
                                <a:gd name="connsiteX15" fmla="*/ 8382 w 31051"/>
                                <a:gd name="connsiteY15" fmla="*/ 14668 h 93249"/>
                                <a:gd name="connsiteX16" fmla="*/ 6953 w 31051"/>
                                <a:gd name="connsiteY16" fmla="*/ 12192 h 93249"/>
                                <a:gd name="connsiteX17" fmla="*/ 6477 w 31051"/>
                                <a:gd name="connsiteY17" fmla="*/ 9144 h 93249"/>
                                <a:gd name="connsiteX18" fmla="*/ 7048 w 31051"/>
                                <a:gd name="connsiteY18" fmla="*/ 5715 h 93249"/>
                                <a:gd name="connsiteX19" fmla="*/ 8668 w 31051"/>
                                <a:gd name="connsiteY19" fmla="*/ 2762 h 93249"/>
                                <a:gd name="connsiteX20" fmla="*/ 11335 w 31051"/>
                                <a:gd name="connsiteY20" fmla="*/ 762 h 93249"/>
                                <a:gd name="connsiteX21" fmla="*/ 15050 w 31051"/>
                                <a:gd name="connsiteY21" fmla="*/ 0 h 93249"/>
                                <a:gd name="connsiteX22" fmla="*/ 15145 w 31051"/>
                                <a:gd name="connsiteY22" fmla="*/ 0 h 93249"/>
                                <a:gd name="connsiteX23" fmla="*/ 18383 w 31051"/>
                                <a:gd name="connsiteY23" fmla="*/ 667 h 93249"/>
                                <a:gd name="connsiteX24" fmla="*/ 20765 w 31051"/>
                                <a:gd name="connsiteY24" fmla="*/ 2476 h 93249"/>
                                <a:gd name="connsiteX25" fmla="*/ 22193 w 31051"/>
                                <a:gd name="connsiteY25" fmla="*/ 4953 h 93249"/>
                                <a:gd name="connsiteX26" fmla="*/ 22669 w 31051"/>
                                <a:gd name="connsiteY26" fmla="*/ 7906 h 93249"/>
                                <a:gd name="connsiteX27" fmla="*/ 22098 w 31051"/>
                                <a:gd name="connsiteY27" fmla="*/ 11430 h 93249"/>
                                <a:gd name="connsiteX28" fmla="*/ 20479 w 31051"/>
                                <a:gd name="connsiteY28" fmla="*/ 14288 h 93249"/>
                                <a:gd name="connsiteX29" fmla="*/ 17717 w 31051"/>
                                <a:gd name="connsiteY29" fmla="*/ 16192 h 93249"/>
                                <a:gd name="connsiteX30" fmla="*/ 13716 w 31051"/>
                                <a:gd name="connsiteY30" fmla="*/ 16859 h 93249"/>
                                <a:gd name="connsiteX31" fmla="*/ 13716 w 31051"/>
                                <a:gd name="connsiteY31" fmla="*/ 16859 h 9324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Lst>
                              <a:rect l="l" t="t" r="r" b="b"/>
                              <a:pathLst>
                                <a:path w="31051" h="93249">
                                  <a:moveTo>
                                    <a:pt x="0" y="93250"/>
                                  </a:moveTo>
                                  <a:lnTo>
                                    <a:pt x="0" y="87058"/>
                                  </a:lnTo>
                                  <a:lnTo>
                                    <a:pt x="9335" y="86106"/>
                                  </a:lnTo>
                                  <a:lnTo>
                                    <a:pt x="9335" y="39053"/>
                                  </a:lnTo>
                                  <a:lnTo>
                                    <a:pt x="1429" y="36576"/>
                                  </a:lnTo>
                                  <a:lnTo>
                                    <a:pt x="1429" y="29813"/>
                                  </a:lnTo>
                                  <a:lnTo>
                                    <a:pt x="18669" y="27527"/>
                                  </a:lnTo>
                                  <a:lnTo>
                                    <a:pt x="18955" y="27527"/>
                                  </a:lnTo>
                                  <a:lnTo>
                                    <a:pt x="21908" y="29813"/>
                                  </a:lnTo>
                                  <a:lnTo>
                                    <a:pt x="21908" y="86201"/>
                                  </a:lnTo>
                                  <a:lnTo>
                                    <a:pt x="31052" y="87058"/>
                                  </a:lnTo>
                                  <a:lnTo>
                                    <a:pt x="31052" y="93250"/>
                                  </a:lnTo>
                                  <a:lnTo>
                                    <a:pt x="0" y="93250"/>
                                  </a:lnTo>
                                  <a:close/>
                                  <a:moveTo>
                                    <a:pt x="13716" y="16859"/>
                                  </a:moveTo>
                                  <a:cubicBezTo>
                                    <a:pt x="12668" y="16859"/>
                                    <a:pt x="11621" y="16669"/>
                                    <a:pt x="10668" y="16288"/>
                                  </a:cubicBezTo>
                                  <a:cubicBezTo>
                                    <a:pt x="9811" y="15907"/>
                                    <a:pt x="8954" y="15335"/>
                                    <a:pt x="8382" y="14668"/>
                                  </a:cubicBezTo>
                                  <a:cubicBezTo>
                                    <a:pt x="7810" y="14002"/>
                                    <a:pt x="7239" y="13144"/>
                                    <a:pt x="6953" y="12192"/>
                                  </a:cubicBezTo>
                                  <a:cubicBezTo>
                                    <a:pt x="6572" y="11239"/>
                                    <a:pt x="6477" y="10192"/>
                                    <a:pt x="6477" y="9144"/>
                                  </a:cubicBezTo>
                                  <a:cubicBezTo>
                                    <a:pt x="6477" y="7906"/>
                                    <a:pt x="6667" y="6763"/>
                                    <a:pt x="7048" y="5715"/>
                                  </a:cubicBezTo>
                                  <a:cubicBezTo>
                                    <a:pt x="7429" y="4667"/>
                                    <a:pt x="7906" y="3620"/>
                                    <a:pt x="8668" y="2762"/>
                                  </a:cubicBezTo>
                                  <a:cubicBezTo>
                                    <a:pt x="9335" y="1905"/>
                                    <a:pt x="10192" y="1238"/>
                                    <a:pt x="11335" y="762"/>
                                  </a:cubicBezTo>
                                  <a:cubicBezTo>
                                    <a:pt x="12383" y="286"/>
                                    <a:pt x="13621" y="0"/>
                                    <a:pt x="15050" y="0"/>
                                  </a:cubicBezTo>
                                  <a:lnTo>
                                    <a:pt x="15145" y="0"/>
                                  </a:lnTo>
                                  <a:cubicBezTo>
                                    <a:pt x="16383" y="0"/>
                                    <a:pt x="17526" y="190"/>
                                    <a:pt x="18383" y="667"/>
                                  </a:cubicBezTo>
                                  <a:cubicBezTo>
                                    <a:pt x="19336" y="1143"/>
                                    <a:pt x="20098" y="1714"/>
                                    <a:pt x="20765" y="2476"/>
                                  </a:cubicBezTo>
                                  <a:cubicBezTo>
                                    <a:pt x="21431" y="3239"/>
                                    <a:pt x="21908" y="4096"/>
                                    <a:pt x="22193" y="4953"/>
                                  </a:cubicBezTo>
                                  <a:cubicBezTo>
                                    <a:pt x="22574" y="5905"/>
                                    <a:pt x="22669" y="6858"/>
                                    <a:pt x="22669" y="7906"/>
                                  </a:cubicBezTo>
                                  <a:cubicBezTo>
                                    <a:pt x="22669" y="9144"/>
                                    <a:pt x="22479" y="10382"/>
                                    <a:pt x="22098" y="11430"/>
                                  </a:cubicBezTo>
                                  <a:cubicBezTo>
                                    <a:pt x="21717" y="12478"/>
                                    <a:pt x="21241" y="13430"/>
                                    <a:pt x="20479" y="14288"/>
                                  </a:cubicBezTo>
                                  <a:cubicBezTo>
                                    <a:pt x="19717" y="15145"/>
                                    <a:pt x="18860" y="15716"/>
                                    <a:pt x="17717" y="16192"/>
                                  </a:cubicBezTo>
                                  <a:cubicBezTo>
                                    <a:pt x="16573" y="16573"/>
                                    <a:pt x="15240" y="16859"/>
                                    <a:pt x="13716" y="16859"/>
                                  </a:cubicBezTo>
                                  <a:lnTo>
                                    <a:pt x="13716" y="16859"/>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988306844" name="Freeform: Shape 988306844"/>
                          <wps:cNvSpPr/>
                          <wps:spPr>
                            <a:xfrm>
                              <a:off x="905256" y="153257"/>
                              <a:ext cx="41529" cy="81153"/>
                            </a:xfrm>
                            <a:custGeom>
                              <a:avLst/>
                              <a:gdLst>
                                <a:gd name="connsiteX0" fmla="*/ 8192 w 41529"/>
                                <a:gd name="connsiteY0" fmla="*/ 67818 h 81153"/>
                                <a:gd name="connsiteX1" fmla="*/ 8192 w 41529"/>
                                <a:gd name="connsiteY1" fmla="*/ 23717 h 81153"/>
                                <a:gd name="connsiteX2" fmla="*/ 0 w 41529"/>
                                <a:gd name="connsiteY2" fmla="*/ 23717 h 81153"/>
                                <a:gd name="connsiteX3" fmla="*/ 0 w 41529"/>
                                <a:gd name="connsiteY3" fmla="*/ 18383 h 81153"/>
                                <a:gd name="connsiteX4" fmla="*/ 3524 w 41529"/>
                                <a:gd name="connsiteY4" fmla="*/ 17240 h 81153"/>
                                <a:gd name="connsiteX5" fmla="*/ 6001 w 41529"/>
                                <a:gd name="connsiteY5" fmla="*/ 16097 h 81153"/>
                                <a:gd name="connsiteX6" fmla="*/ 9144 w 41529"/>
                                <a:gd name="connsiteY6" fmla="*/ 11906 h 81153"/>
                                <a:gd name="connsiteX7" fmla="*/ 10287 w 41529"/>
                                <a:gd name="connsiteY7" fmla="*/ 9239 h 81153"/>
                                <a:gd name="connsiteX8" fmla="*/ 11621 w 41529"/>
                                <a:gd name="connsiteY8" fmla="*/ 5810 h 81153"/>
                                <a:gd name="connsiteX9" fmla="*/ 12763 w 41529"/>
                                <a:gd name="connsiteY9" fmla="*/ 2477 h 81153"/>
                                <a:gd name="connsiteX10" fmla="*/ 13525 w 41529"/>
                                <a:gd name="connsiteY10" fmla="*/ 0 h 81153"/>
                                <a:gd name="connsiteX11" fmla="*/ 20765 w 41529"/>
                                <a:gd name="connsiteY11" fmla="*/ 0 h 81153"/>
                                <a:gd name="connsiteX12" fmla="*/ 20765 w 41529"/>
                                <a:gd name="connsiteY12" fmla="*/ 15621 h 81153"/>
                                <a:gd name="connsiteX13" fmla="*/ 39719 w 41529"/>
                                <a:gd name="connsiteY13" fmla="*/ 15621 h 81153"/>
                                <a:gd name="connsiteX14" fmla="*/ 39719 w 41529"/>
                                <a:gd name="connsiteY14" fmla="*/ 23813 h 81153"/>
                                <a:gd name="connsiteX15" fmla="*/ 20765 w 41529"/>
                                <a:gd name="connsiteY15" fmla="*/ 23813 h 81153"/>
                                <a:gd name="connsiteX16" fmla="*/ 20765 w 41529"/>
                                <a:gd name="connsiteY16" fmla="*/ 57626 h 81153"/>
                                <a:gd name="connsiteX17" fmla="*/ 20860 w 41529"/>
                                <a:gd name="connsiteY17" fmla="*/ 65437 h 81153"/>
                                <a:gd name="connsiteX18" fmla="*/ 21622 w 41529"/>
                                <a:gd name="connsiteY18" fmla="*/ 69628 h 81153"/>
                                <a:gd name="connsiteX19" fmla="*/ 23527 w 41529"/>
                                <a:gd name="connsiteY19" fmla="*/ 71247 h 81153"/>
                                <a:gd name="connsiteX20" fmla="*/ 27051 w 41529"/>
                                <a:gd name="connsiteY20" fmla="*/ 71533 h 81153"/>
                                <a:gd name="connsiteX21" fmla="*/ 27146 w 41529"/>
                                <a:gd name="connsiteY21" fmla="*/ 71533 h 81153"/>
                                <a:gd name="connsiteX22" fmla="*/ 30575 w 41529"/>
                                <a:gd name="connsiteY22" fmla="*/ 71342 h 81153"/>
                                <a:gd name="connsiteX23" fmla="*/ 34100 w 41529"/>
                                <a:gd name="connsiteY23" fmla="*/ 70771 h 81153"/>
                                <a:gd name="connsiteX24" fmla="*/ 37243 w 41529"/>
                                <a:gd name="connsiteY24" fmla="*/ 70104 h 81153"/>
                                <a:gd name="connsiteX25" fmla="*/ 39529 w 41529"/>
                                <a:gd name="connsiteY25" fmla="*/ 69437 h 81153"/>
                                <a:gd name="connsiteX26" fmla="*/ 39624 w 41529"/>
                                <a:gd name="connsiteY26" fmla="*/ 69437 h 81153"/>
                                <a:gd name="connsiteX27" fmla="*/ 41529 w 41529"/>
                                <a:gd name="connsiteY27" fmla="*/ 74962 h 81153"/>
                                <a:gd name="connsiteX28" fmla="*/ 37814 w 41529"/>
                                <a:gd name="connsiteY28" fmla="*/ 77057 h 81153"/>
                                <a:gd name="connsiteX29" fmla="*/ 32671 w 41529"/>
                                <a:gd name="connsiteY29" fmla="*/ 79057 h 81153"/>
                                <a:gd name="connsiteX30" fmla="*/ 26860 w 41529"/>
                                <a:gd name="connsiteY30" fmla="*/ 80581 h 81153"/>
                                <a:gd name="connsiteX31" fmla="*/ 21241 w 41529"/>
                                <a:gd name="connsiteY31" fmla="*/ 81153 h 81153"/>
                                <a:gd name="connsiteX32" fmla="*/ 21146 w 41529"/>
                                <a:gd name="connsiteY32" fmla="*/ 81153 h 81153"/>
                                <a:gd name="connsiteX33" fmla="*/ 15811 w 41529"/>
                                <a:gd name="connsiteY33" fmla="*/ 80486 h 81153"/>
                                <a:gd name="connsiteX34" fmla="*/ 11811 w 41529"/>
                                <a:gd name="connsiteY34" fmla="*/ 78295 h 81153"/>
                                <a:gd name="connsiteX35" fmla="*/ 9239 w 41529"/>
                                <a:gd name="connsiteY35" fmla="*/ 74200 h 81153"/>
                                <a:gd name="connsiteX36" fmla="*/ 8192 w 41529"/>
                                <a:gd name="connsiteY36" fmla="*/ 67818 h 8115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Lst>
                              <a:rect l="l" t="t" r="r" b="b"/>
                              <a:pathLst>
                                <a:path w="41529" h="81153">
                                  <a:moveTo>
                                    <a:pt x="8192" y="67818"/>
                                  </a:moveTo>
                                  <a:lnTo>
                                    <a:pt x="8192" y="23717"/>
                                  </a:lnTo>
                                  <a:lnTo>
                                    <a:pt x="0" y="23717"/>
                                  </a:lnTo>
                                  <a:lnTo>
                                    <a:pt x="0" y="18383"/>
                                  </a:lnTo>
                                  <a:cubicBezTo>
                                    <a:pt x="1143" y="18002"/>
                                    <a:pt x="2286" y="17621"/>
                                    <a:pt x="3524" y="17240"/>
                                  </a:cubicBezTo>
                                  <a:cubicBezTo>
                                    <a:pt x="4667" y="16859"/>
                                    <a:pt x="5525" y="16478"/>
                                    <a:pt x="6001" y="16097"/>
                                  </a:cubicBezTo>
                                  <a:cubicBezTo>
                                    <a:pt x="7239" y="15240"/>
                                    <a:pt x="8287" y="13811"/>
                                    <a:pt x="9144" y="11906"/>
                                  </a:cubicBezTo>
                                  <a:cubicBezTo>
                                    <a:pt x="9430" y="11240"/>
                                    <a:pt x="9811" y="10382"/>
                                    <a:pt x="10287" y="9239"/>
                                  </a:cubicBezTo>
                                  <a:cubicBezTo>
                                    <a:pt x="10763" y="8096"/>
                                    <a:pt x="11144" y="6953"/>
                                    <a:pt x="11621" y="5810"/>
                                  </a:cubicBezTo>
                                  <a:cubicBezTo>
                                    <a:pt x="12097" y="4667"/>
                                    <a:pt x="12478" y="3524"/>
                                    <a:pt x="12763" y="2477"/>
                                  </a:cubicBezTo>
                                  <a:cubicBezTo>
                                    <a:pt x="13144" y="1429"/>
                                    <a:pt x="13335" y="571"/>
                                    <a:pt x="13525" y="0"/>
                                  </a:cubicBezTo>
                                  <a:lnTo>
                                    <a:pt x="20765" y="0"/>
                                  </a:lnTo>
                                  <a:lnTo>
                                    <a:pt x="20765" y="15621"/>
                                  </a:lnTo>
                                  <a:lnTo>
                                    <a:pt x="39719" y="15621"/>
                                  </a:lnTo>
                                  <a:lnTo>
                                    <a:pt x="39719" y="23813"/>
                                  </a:lnTo>
                                  <a:lnTo>
                                    <a:pt x="20765" y="23813"/>
                                  </a:lnTo>
                                  <a:lnTo>
                                    <a:pt x="20765" y="57626"/>
                                  </a:lnTo>
                                  <a:cubicBezTo>
                                    <a:pt x="20765" y="60960"/>
                                    <a:pt x="20765" y="63627"/>
                                    <a:pt x="20860" y="65437"/>
                                  </a:cubicBezTo>
                                  <a:cubicBezTo>
                                    <a:pt x="20955" y="67342"/>
                                    <a:pt x="21241" y="68675"/>
                                    <a:pt x="21622" y="69628"/>
                                  </a:cubicBezTo>
                                  <a:cubicBezTo>
                                    <a:pt x="22098" y="70485"/>
                                    <a:pt x="22669" y="71056"/>
                                    <a:pt x="23527" y="71247"/>
                                  </a:cubicBezTo>
                                  <a:cubicBezTo>
                                    <a:pt x="24384" y="71438"/>
                                    <a:pt x="25622" y="71533"/>
                                    <a:pt x="27051" y="71533"/>
                                  </a:cubicBezTo>
                                  <a:lnTo>
                                    <a:pt x="27146" y="71533"/>
                                  </a:lnTo>
                                  <a:cubicBezTo>
                                    <a:pt x="28194" y="71533"/>
                                    <a:pt x="29337" y="71438"/>
                                    <a:pt x="30575" y="71342"/>
                                  </a:cubicBezTo>
                                  <a:cubicBezTo>
                                    <a:pt x="31718" y="71152"/>
                                    <a:pt x="32956" y="71056"/>
                                    <a:pt x="34100" y="70771"/>
                                  </a:cubicBezTo>
                                  <a:cubicBezTo>
                                    <a:pt x="35242" y="70580"/>
                                    <a:pt x="36290" y="70294"/>
                                    <a:pt x="37243" y="70104"/>
                                  </a:cubicBezTo>
                                  <a:cubicBezTo>
                                    <a:pt x="38195" y="69818"/>
                                    <a:pt x="38957" y="69628"/>
                                    <a:pt x="39529" y="69437"/>
                                  </a:cubicBezTo>
                                  <a:lnTo>
                                    <a:pt x="39624" y="69437"/>
                                  </a:lnTo>
                                  <a:lnTo>
                                    <a:pt x="41529" y="74962"/>
                                  </a:lnTo>
                                  <a:cubicBezTo>
                                    <a:pt x="40577" y="75629"/>
                                    <a:pt x="39338" y="76391"/>
                                    <a:pt x="37814" y="77057"/>
                                  </a:cubicBezTo>
                                  <a:cubicBezTo>
                                    <a:pt x="36195" y="77819"/>
                                    <a:pt x="34481" y="78486"/>
                                    <a:pt x="32671" y="79057"/>
                                  </a:cubicBezTo>
                                  <a:cubicBezTo>
                                    <a:pt x="30766" y="79629"/>
                                    <a:pt x="28861" y="80201"/>
                                    <a:pt x="26860" y="80581"/>
                                  </a:cubicBezTo>
                                  <a:cubicBezTo>
                                    <a:pt x="24860" y="80963"/>
                                    <a:pt x="22955" y="81153"/>
                                    <a:pt x="21241" y="81153"/>
                                  </a:cubicBezTo>
                                  <a:lnTo>
                                    <a:pt x="21146" y="81153"/>
                                  </a:lnTo>
                                  <a:cubicBezTo>
                                    <a:pt x="19145" y="81153"/>
                                    <a:pt x="17335" y="80963"/>
                                    <a:pt x="15811" y="80486"/>
                                  </a:cubicBezTo>
                                  <a:cubicBezTo>
                                    <a:pt x="14288" y="80010"/>
                                    <a:pt x="12859" y="79248"/>
                                    <a:pt x="11811" y="78295"/>
                                  </a:cubicBezTo>
                                  <a:cubicBezTo>
                                    <a:pt x="10668" y="77248"/>
                                    <a:pt x="9811" y="75914"/>
                                    <a:pt x="9239" y="74200"/>
                                  </a:cubicBezTo>
                                  <a:cubicBezTo>
                                    <a:pt x="8477" y="72390"/>
                                    <a:pt x="8192" y="70294"/>
                                    <a:pt x="8192" y="67818"/>
                                  </a:cubicBez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333474738" name="Freeform: Shape 333474738"/>
                          <wps:cNvSpPr/>
                          <wps:spPr>
                            <a:xfrm>
                              <a:off x="953643" y="167163"/>
                              <a:ext cx="64484" cy="67341"/>
                            </a:xfrm>
                            <a:custGeom>
                              <a:avLst/>
                              <a:gdLst>
                                <a:gd name="connsiteX0" fmla="*/ 53626 w 64484"/>
                                <a:gd name="connsiteY0" fmla="*/ 67342 h 67341"/>
                                <a:gd name="connsiteX1" fmla="*/ 48196 w 64484"/>
                                <a:gd name="connsiteY1" fmla="*/ 66008 h 67341"/>
                                <a:gd name="connsiteX2" fmla="*/ 46292 w 64484"/>
                                <a:gd name="connsiteY2" fmla="*/ 61151 h 67341"/>
                                <a:gd name="connsiteX3" fmla="*/ 46292 w 64484"/>
                                <a:gd name="connsiteY3" fmla="*/ 58865 h 67341"/>
                                <a:gd name="connsiteX4" fmla="*/ 42577 w 64484"/>
                                <a:gd name="connsiteY4" fmla="*/ 61722 h 67341"/>
                                <a:gd name="connsiteX5" fmla="*/ 37814 w 64484"/>
                                <a:gd name="connsiteY5" fmla="*/ 64484 h 67341"/>
                                <a:gd name="connsiteX6" fmla="*/ 32290 w 64484"/>
                                <a:gd name="connsiteY6" fmla="*/ 66485 h 67341"/>
                                <a:gd name="connsiteX7" fmla="*/ 26289 w 64484"/>
                                <a:gd name="connsiteY7" fmla="*/ 67247 h 67341"/>
                                <a:gd name="connsiteX8" fmla="*/ 17240 w 64484"/>
                                <a:gd name="connsiteY8" fmla="*/ 65913 h 67341"/>
                                <a:gd name="connsiteX9" fmla="*/ 11049 w 64484"/>
                                <a:gd name="connsiteY9" fmla="*/ 61532 h 67341"/>
                                <a:gd name="connsiteX10" fmla="*/ 7429 w 64484"/>
                                <a:gd name="connsiteY10" fmla="*/ 53816 h 67341"/>
                                <a:gd name="connsiteX11" fmla="*/ 6286 w 64484"/>
                                <a:gd name="connsiteY11" fmla="*/ 42196 h 67341"/>
                                <a:gd name="connsiteX12" fmla="*/ 6286 w 64484"/>
                                <a:gd name="connsiteY12" fmla="*/ 9811 h 67341"/>
                                <a:gd name="connsiteX13" fmla="*/ 0 w 64484"/>
                                <a:gd name="connsiteY13" fmla="*/ 7334 h 67341"/>
                                <a:gd name="connsiteX14" fmla="*/ 0 w 64484"/>
                                <a:gd name="connsiteY14" fmla="*/ 1905 h 67341"/>
                                <a:gd name="connsiteX15" fmla="*/ 16288 w 64484"/>
                                <a:gd name="connsiteY15" fmla="*/ 95 h 67341"/>
                                <a:gd name="connsiteX16" fmla="*/ 16383 w 64484"/>
                                <a:gd name="connsiteY16" fmla="*/ 95 h 67341"/>
                                <a:gd name="connsiteX17" fmla="*/ 18955 w 64484"/>
                                <a:gd name="connsiteY17" fmla="*/ 1715 h 67341"/>
                                <a:gd name="connsiteX18" fmla="*/ 18955 w 64484"/>
                                <a:gd name="connsiteY18" fmla="*/ 41529 h 67341"/>
                                <a:gd name="connsiteX19" fmla="*/ 19431 w 64484"/>
                                <a:gd name="connsiteY19" fmla="*/ 49435 h 67341"/>
                                <a:gd name="connsiteX20" fmla="*/ 21241 w 64484"/>
                                <a:gd name="connsiteY20" fmla="*/ 54674 h 67341"/>
                                <a:gd name="connsiteX21" fmla="*/ 24765 w 64484"/>
                                <a:gd name="connsiteY21" fmla="*/ 57626 h 67341"/>
                                <a:gd name="connsiteX22" fmla="*/ 30480 w 64484"/>
                                <a:gd name="connsiteY22" fmla="*/ 58484 h 67341"/>
                                <a:gd name="connsiteX23" fmla="*/ 35147 w 64484"/>
                                <a:gd name="connsiteY23" fmla="*/ 57912 h 67341"/>
                                <a:gd name="connsiteX24" fmla="*/ 39243 w 64484"/>
                                <a:gd name="connsiteY24" fmla="*/ 56579 h 67341"/>
                                <a:gd name="connsiteX25" fmla="*/ 42577 w 64484"/>
                                <a:gd name="connsiteY25" fmla="*/ 54959 h 67341"/>
                                <a:gd name="connsiteX26" fmla="*/ 45053 w 64484"/>
                                <a:gd name="connsiteY26" fmla="*/ 53340 h 67341"/>
                                <a:gd name="connsiteX27" fmla="*/ 45053 w 64484"/>
                                <a:gd name="connsiteY27" fmla="*/ 9716 h 67341"/>
                                <a:gd name="connsiteX28" fmla="*/ 37052 w 64484"/>
                                <a:gd name="connsiteY28" fmla="*/ 7239 h 67341"/>
                                <a:gd name="connsiteX29" fmla="*/ 37052 w 64484"/>
                                <a:gd name="connsiteY29" fmla="*/ 1715 h 67341"/>
                                <a:gd name="connsiteX30" fmla="*/ 54388 w 64484"/>
                                <a:gd name="connsiteY30" fmla="*/ 0 h 67341"/>
                                <a:gd name="connsiteX31" fmla="*/ 54483 w 64484"/>
                                <a:gd name="connsiteY31" fmla="*/ 0 h 67341"/>
                                <a:gd name="connsiteX32" fmla="*/ 57626 w 64484"/>
                                <a:gd name="connsiteY32" fmla="*/ 1619 h 67341"/>
                                <a:gd name="connsiteX33" fmla="*/ 57626 w 64484"/>
                                <a:gd name="connsiteY33" fmla="*/ 59341 h 67341"/>
                                <a:gd name="connsiteX34" fmla="*/ 64484 w 64484"/>
                                <a:gd name="connsiteY34" fmla="*/ 59341 h 67341"/>
                                <a:gd name="connsiteX35" fmla="*/ 64484 w 64484"/>
                                <a:gd name="connsiteY35" fmla="*/ 64961 h 67341"/>
                                <a:gd name="connsiteX36" fmla="*/ 59817 w 64484"/>
                                <a:gd name="connsiteY36" fmla="*/ 66389 h 67341"/>
                                <a:gd name="connsiteX37" fmla="*/ 53626 w 64484"/>
                                <a:gd name="connsiteY37" fmla="*/ 67342 h 6734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Lst>
                              <a:rect l="l" t="t" r="r" b="b"/>
                              <a:pathLst>
                                <a:path w="64484" h="67341">
                                  <a:moveTo>
                                    <a:pt x="53626" y="67342"/>
                                  </a:moveTo>
                                  <a:cubicBezTo>
                                    <a:pt x="51244" y="67342"/>
                                    <a:pt x="49435" y="66866"/>
                                    <a:pt x="48196" y="66008"/>
                                  </a:cubicBezTo>
                                  <a:cubicBezTo>
                                    <a:pt x="46958" y="65151"/>
                                    <a:pt x="46292" y="63532"/>
                                    <a:pt x="46292" y="61151"/>
                                  </a:cubicBezTo>
                                  <a:lnTo>
                                    <a:pt x="46292" y="58865"/>
                                  </a:lnTo>
                                  <a:cubicBezTo>
                                    <a:pt x="45244" y="59722"/>
                                    <a:pt x="44005" y="60674"/>
                                    <a:pt x="42577" y="61722"/>
                                  </a:cubicBezTo>
                                  <a:cubicBezTo>
                                    <a:pt x="41148" y="62675"/>
                                    <a:pt x="39529" y="63627"/>
                                    <a:pt x="37814" y="64484"/>
                                  </a:cubicBezTo>
                                  <a:cubicBezTo>
                                    <a:pt x="36100" y="65342"/>
                                    <a:pt x="34195" y="66008"/>
                                    <a:pt x="32290" y="66485"/>
                                  </a:cubicBezTo>
                                  <a:cubicBezTo>
                                    <a:pt x="30385" y="67056"/>
                                    <a:pt x="28384" y="67247"/>
                                    <a:pt x="26289" y="67247"/>
                                  </a:cubicBezTo>
                                  <a:cubicBezTo>
                                    <a:pt x="22765" y="67247"/>
                                    <a:pt x="19812" y="66770"/>
                                    <a:pt x="17240" y="65913"/>
                                  </a:cubicBezTo>
                                  <a:cubicBezTo>
                                    <a:pt x="14669" y="65056"/>
                                    <a:pt x="12668" y="63532"/>
                                    <a:pt x="11049" y="61532"/>
                                  </a:cubicBezTo>
                                  <a:cubicBezTo>
                                    <a:pt x="9430" y="59531"/>
                                    <a:pt x="8192" y="56960"/>
                                    <a:pt x="7429" y="53816"/>
                                  </a:cubicBezTo>
                                  <a:cubicBezTo>
                                    <a:pt x="6667" y="50673"/>
                                    <a:pt x="6286" y="46768"/>
                                    <a:pt x="6286" y="42196"/>
                                  </a:cubicBezTo>
                                  <a:lnTo>
                                    <a:pt x="6286" y="9811"/>
                                  </a:lnTo>
                                  <a:lnTo>
                                    <a:pt x="0" y="7334"/>
                                  </a:lnTo>
                                  <a:lnTo>
                                    <a:pt x="0" y="1905"/>
                                  </a:lnTo>
                                  <a:lnTo>
                                    <a:pt x="16288" y="95"/>
                                  </a:lnTo>
                                  <a:lnTo>
                                    <a:pt x="16383" y="95"/>
                                  </a:lnTo>
                                  <a:lnTo>
                                    <a:pt x="18955" y="1715"/>
                                  </a:lnTo>
                                  <a:lnTo>
                                    <a:pt x="18955" y="41529"/>
                                  </a:lnTo>
                                  <a:cubicBezTo>
                                    <a:pt x="18955" y="44672"/>
                                    <a:pt x="19145" y="47339"/>
                                    <a:pt x="19431" y="49435"/>
                                  </a:cubicBezTo>
                                  <a:cubicBezTo>
                                    <a:pt x="19717" y="51626"/>
                                    <a:pt x="20383" y="53340"/>
                                    <a:pt x="21241" y="54674"/>
                                  </a:cubicBezTo>
                                  <a:cubicBezTo>
                                    <a:pt x="22098" y="56007"/>
                                    <a:pt x="23241" y="57055"/>
                                    <a:pt x="24765" y="57626"/>
                                  </a:cubicBezTo>
                                  <a:cubicBezTo>
                                    <a:pt x="26289" y="58198"/>
                                    <a:pt x="28194" y="58484"/>
                                    <a:pt x="30480" y="58484"/>
                                  </a:cubicBezTo>
                                  <a:cubicBezTo>
                                    <a:pt x="32099" y="58484"/>
                                    <a:pt x="33719" y="58293"/>
                                    <a:pt x="35147" y="57912"/>
                                  </a:cubicBezTo>
                                  <a:cubicBezTo>
                                    <a:pt x="36576" y="57531"/>
                                    <a:pt x="37909" y="57150"/>
                                    <a:pt x="39243" y="56579"/>
                                  </a:cubicBezTo>
                                  <a:cubicBezTo>
                                    <a:pt x="40481" y="56102"/>
                                    <a:pt x="41624" y="55531"/>
                                    <a:pt x="42577" y="54959"/>
                                  </a:cubicBezTo>
                                  <a:cubicBezTo>
                                    <a:pt x="43529" y="54388"/>
                                    <a:pt x="44386" y="53816"/>
                                    <a:pt x="45053" y="53340"/>
                                  </a:cubicBezTo>
                                  <a:lnTo>
                                    <a:pt x="45053" y="9716"/>
                                  </a:lnTo>
                                  <a:lnTo>
                                    <a:pt x="37052" y="7239"/>
                                  </a:lnTo>
                                  <a:lnTo>
                                    <a:pt x="37052" y="1715"/>
                                  </a:lnTo>
                                  <a:lnTo>
                                    <a:pt x="54388" y="0"/>
                                  </a:lnTo>
                                  <a:lnTo>
                                    <a:pt x="54483" y="0"/>
                                  </a:lnTo>
                                  <a:lnTo>
                                    <a:pt x="57626" y="1619"/>
                                  </a:lnTo>
                                  <a:lnTo>
                                    <a:pt x="57626" y="59341"/>
                                  </a:lnTo>
                                  <a:lnTo>
                                    <a:pt x="64484" y="59341"/>
                                  </a:lnTo>
                                  <a:lnTo>
                                    <a:pt x="64484" y="64961"/>
                                  </a:lnTo>
                                  <a:cubicBezTo>
                                    <a:pt x="63151" y="65342"/>
                                    <a:pt x="61627" y="65818"/>
                                    <a:pt x="59817" y="66389"/>
                                  </a:cubicBezTo>
                                  <a:cubicBezTo>
                                    <a:pt x="58007" y="67056"/>
                                    <a:pt x="55912" y="67342"/>
                                    <a:pt x="53626" y="67342"/>
                                  </a:cubicBez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196684303" name="Freeform: Shape 1196684303"/>
                          <wps:cNvSpPr/>
                          <wps:spPr>
                            <a:xfrm>
                              <a:off x="1027175" y="153257"/>
                              <a:ext cx="41529" cy="81153"/>
                            </a:xfrm>
                            <a:custGeom>
                              <a:avLst/>
                              <a:gdLst>
                                <a:gd name="connsiteX0" fmla="*/ 8192 w 41529"/>
                                <a:gd name="connsiteY0" fmla="*/ 67818 h 81153"/>
                                <a:gd name="connsiteX1" fmla="*/ 8192 w 41529"/>
                                <a:gd name="connsiteY1" fmla="*/ 23717 h 81153"/>
                                <a:gd name="connsiteX2" fmla="*/ 0 w 41529"/>
                                <a:gd name="connsiteY2" fmla="*/ 23717 h 81153"/>
                                <a:gd name="connsiteX3" fmla="*/ 0 w 41529"/>
                                <a:gd name="connsiteY3" fmla="*/ 18383 h 81153"/>
                                <a:gd name="connsiteX4" fmla="*/ 3524 w 41529"/>
                                <a:gd name="connsiteY4" fmla="*/ 17240 h 81153"/>
                                <a:gd name="connsiteX5" fmla="*/ 6001 w 41529"/>
                                <a:gd name="connsiteY5" fmla="*/ 16097 h 81153"/>
                                <a:gd name="connsiteX6" fmla="*/ 9144 w 41529"/>
                                <a:gd name="connsiteY6" fmla="*/ 11906 h 81153"/>
                                <a:gd name="connsiteX7" fmla="*/ 10287 w 41529"/>
                                <a:gd name="connsiteY7" fmla="*/ 9239 h 81153"/>
                                <a:gd name="connsiteX8" fmla="*/ 11621 w 41529"/>
                                <a:gd name="connsiteY8" fmla="*/ 5810 h 81153"/>
                                <a:gd name="connsiteX9" fmla="*/ 12764 w 41529"/>
                                <a:gd name="connsiteY9" fmla="*/ 2477 h 81153"/>
                                <a:gd name="connsiteX10" fmla="*/ 13526 w 41529"/>
                                <a:gd name="connsiteY10" fmla="*/ 0 h 81153"/>
                                <a:gd name="connsiteX11" fmla="*/ 20765 w 41529"/>
                                <a:gd name="connsiteY11" fmla="*/ 0 h 81153"/>
                                <a:gd name="connsiteX12" fmla="*/ 20765 w 41529"/>
                                <a:gd name="connsiteY12" fmla="*/ 15621 h 81153"/>
                                <a:gd name="connsiteX13" fmla="*/ 39719 w 41529"/>
                                <a:gd name="connsiteY13" fmla="*/ 15621 h 81153"/>
                                <a:gd name="connsiteX14" fmla="*/ 39719 w 41529"/>
                                <a:gd name="connsiteY14" fmla="*/ 23813 h 81153"/>
                                <a:gd name="connsiteX15" fmla="*/ 20765 w 41529"/>
                                <a:gd name="connsiteY15" fmla="*/ 23813 h 81153"/>
                                <a:gd name="connsiteX16" fmla="*/ 20765 w 41529"/>
                                <a:gd name="connsiteY16" fmla="*/ 57626 h 81153"/>
                                <a:gd name="connsiteX17" fmla="*/ 20860 w 41529"/>
                                <a:gd name="connsiteY17" fmla="*/ 65437 h 81153"/>
                                <a:gd name="connsiteX18" fmla="*/ 21622 w 41529"/>
                                <a:gd name="connsiteY18" fmla="*/ 69628 h 81153"/>
                                <a:gd name="connsiteX19" fmla="*/ 23527 w 41529"/>
                                <a:gd name="connsiteY19" fmla="*/ 71247 h 81153"/>
                                <a:gd name="connsiteX20" fmla="*/ 27051 w 41529"/>
                                <a:gd name="connsiteY20" fmla="*/ 71533 h 81153"/>
                                <a:gd name="connsiteX21" fmla="*/ 27146 w 41529"/>
                                <a:gd name="connsiteY21" fmla="*/ 71533 h 81153"/>
                                <a:gd name="connsiteX22" fmla="*/ 30575 w 41529"/>
                                <a:gd name="connsiteY22" fmla="*/ 71342 h 81153"/>
                                <a:gd name="connsiteX23" fmla="*/ 34100 w 41529"/>
                                <a:gd name="connsiteY23" fmla="*/ 70771 h 81153"/>
                                <a:gd name="connsiteX24" fmla="*/ 37243 w 41529"/>
                                <a:gd name="connsiteY24" fmla="*/ 70104 h 81153"/>
                                <a:gd name="connsiteX25" fmla="*/ 39529 w 41529"/>
                                <a:gd name="connsiteY25" fmla="*/ 69437 h 81153"/>
                                <a:gd name="connsiteX26" fmla="*/ 39624 w 41529"/>
                                <a:gd name="connsiteY26" fmla="*/ 69437 h 81153"/>
                                <a:gd name="connsiteX27" fmla="*/ 41529 w 41529"/>
                                <a:gd name="connsiteY27" fmla="*/ 74962 h 81153"/>
                                <a:gd name="connsiteX28" fmla="*/ 37814 w 41529"/>
                                <a:gd name="connsiteY28" fmla="*/ 77057 h 81153"/>
                                <a:gd name="connsiteX29" fmla="*/ 32671 w 41529"/>
                                <a:gd name="connsiteY29" fmla="*/ 79057 h 81153"/>
                                <a:gd name="connsiteX30" fmla="*/ 26861 w 41529"/>
                                <a:gd name="connsiteY30" fmla="*/ 80581 h 81153"/>
                                <a:gd name="connsiteX31" fmla="*/ 21241 w 41529"/>
                                <a:gd name="connsiteY31" fmla="*/ 81153 h 81153"/>
                                <a:gd name="connsiteX32" fmla="*/ 21146 w 41529"/>
                                <a:gd name="connsiteY32" fmla="*/ 81153 h 81153"/>
                                <a:gd name="connsiteX33" fmla="*/ 15812 w 41529"/>
                                <a:gd name="connsiteY33" fmla="*/ 80486 h 81153"/>
                                <a:gd name="connsiteX34" fmla="*/ 11811 w 41529"/>
                                <a:gd name="connsiteY34" fmla="*/ 78295 h 81153"/>
                                <a:gd name="connsiteX35" fmla="*/ 9239 w 41529"/>
                                <a:gd name="connsiteY35" fmla="*/ 74200 h 81153"/>
                                <a:gd name="connsiteX36" fmla="*/ 8192 w 41529"/>
                                <a:gd name="connsiteY36" fmla="*/ 67818 h 8115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Lst>
                              <a:rect l="l" t="t" r="r" b="b"/>
                              <a:pathLst>
                                <a:path w="41529" h="81153">
                                  <a:moveTo>
                                    <a:pt x="8192" y="67818"/>
                                  </a:moveTo>
                                  <a:lnTo>
                                    <a:pt x="8192" y="23717"/>
                                  </a:lnTo>
                                  <a:lnTo>
                                    <a:pt x="0" y="23717"/>
                                  </a:lnTo>
                                  <a:lnTo>
                                    <a:pt x="0" y="18383"/>
                                  </a:lnTo>
                                  <a:cubicBezTo>
                                    <a:pt x="1143" y="18002"/>
                                    <a:pt x="2286" y="17621"/>
                                    <a:pt x="3524" y="17240"/>
                                  </a:cubicBezTo>
                                  <a:cubicBezTo>
                                    <a:pt x="4667" y="16859"/>
                                    <a:pt x="5525" y="16478"/>
                                    <a:pt x="6001" y="16097"/>
                                  </a:cubicBezTo>
                                  <a:cubicBezTo>
                                    <a:pt x="7239" y="15240"/>
                                    <a:pt x="8287" y="13811"/>
                                    <a:pt x="9144" y="11906"/>
                                  </a:cubicBezTo>
                                  <a:cubicBezTo>
                                    <a:pt x="9430" y="11240"/>
                                    <a:pt x="9811" y="10382"/>
                                    <a:pt x="10287" y="9239"/>
                                  </a:cubicBezTo>
                                  <a:cubicBezTo>
                                    <a:pt x="10763" y="8096"/>
                                    <a:pt x="11144" y="6953"/>
                                    <a:pt x="11621" y="5810"/>
                                  </a:cubicBezTo>
                                  <a:cubicBezTo>
                                    <a:pt x="12097" y="4667"/>
                                    <a:pt x="12478" y="3524"/>
                                    <a:pt x="12764" y="2477"/>
                                  </a:cubicBezTo>
                                  <a:cubicBezTo>
                                    <a:pt x="13145" y="1429"/>
                                    <a:pt x="13335" y="571"/>
                                    <a:pt x="13526" y="0"/>
                                  </a:cubicBezTo>
                                  <a:lnTo>
                                    <a:pt x="20765" y="0"/>
                                  </a:lnTo>
                                  <a:lnTo>
                                    <a:pt x="20765" y="15621"/>
                                  </a:lnTo>
                                  <a:lnTo>
                                    <a:pt x="39719" y="15621"/>
                                  </a:lnTo>
                                  <a:lnTo>
                                    <a:pt x="39719" y="23813"/>
                                  </a:lnTo>
                                  <a:lnTo>
                                    <a:pt x="20765" y="23813"/>
                                  </a:lnTo>
                                  <a:lnTo>
                                    <a:pt x="20765" y="57626"/>
                                  </a:lnTo>
                                  <a:cubicBezTo>
                                    <a:pt x="20765" y="60960"/>
                                    <a:pt x="20765" y="63627"/>
                                    <a:pt x="20860" y="65437"/>
                                  </a:cubicBezTo>
                                  <a:cubicBezTo>
                                    <a:pt x="20955" y="67342"/>
                                    <a:pt x="21241" y="68675"/>
                                    <a:pt x="21622" y="69628"/>
                                  </a:cubicBezTo>
                                  <a:cubicBezTo>
                                    <a:pt x="22098" y="70485"/>
                                    <a:pt x="22670" y="71056"/>
                                    <a:pt x="23527" y="71247"/>
                                  </a:cubicBezTo>
                                  <a:cubicBezTo>
                                    <a:pt x="24384" y="71438"/>
                                    <a:pt x="25622" y="71533"/>
                                    <a:pt x="27051" y="71533"/>
                                  </a:cubicBezTo>
                                  <a:lnTo>
                                    <a:pt x="27146" y="71533"/>
                                  </a:lnTo>
                                  <a:cubicBezTo>
                                    <a:pt x="28194" y="71533"/>
                                    <a:pt x="29337" y="71438"/>
                                    <a:pt x="30575" y="71342"/>
                                  </a:cubicBezTo>
                                  <a:cubicBezTo>
                                    <a:pt x="31718" y="71152"/>
                                    <a:pt x="32957" y="71056"/>
                                    <a:pt x="34100" y="70771"/>
                                  </a:cubicBezTo>
                                  <a:cubicBezTo>
                                    <a:pt x="35243" y="70580"/>
                                    <a:pt x="36290" y="70294"/>
                                    <a:pt x="37243" y="70104"/>
                                  </a:cubicBezTo>
                                  <a:cubicBezTo>
                                    <a:pt x="38195" y="69818"/>
                                    <a:pt x="38957" y="69628"/>
                                    <a:pt x="39529" y="69437"/>
                                  </a:cubicBezTo>
                                  <a:lnTo>
                                    <a:pt x="39624" y="69437"/>
                                  </a:lnTo>
                                  <a:lnTo>
                                    <a:pt x="41529" y="74962"/>
                                  </a:lnTo>
                                  <a:cubicBezTo>
                                    <a:pt x="40577" y="75629"/>
                                    <a:pt x="39338" y="76391"/>
                                    <a:pt x="37814" y="77057"/>
                                  </a:cubicBezTo>
                                  <a:cubicBezTo>
                                    <a:pt x="36195" y="77819"/>
                                    <a:pt x="34481" y="78486"/>
                                    <a:pt x="32671" y="79057"/>
                                  </a:cubicBezTo>
                                  <a:cubicBezTo>
                                    <a:pt x="30766" y="79629"/>
                                    <a:pt x="28861" y="80201"/>
                                    <a:pt x="26861" y="80581"/>
                                  </a:cubicBezTo>
                                  <a:cubicBezTo>
                                    <a:pt x="24860" y="80963"/>
                                    <a:pt x="22955" y="81153"/>
                                    <a:pt x="21241" y="81153"/>
                                  </a:cubicBezTo>
                                  <a:lnTo>
                                    <a:pt x="21146" y="81153"/>
                                  </a:lnTo>
                                  <a:cubicBezTo>
                                    <a:pt x="19145" y="81153"/>
                                    <a:pt x="17336" y="80963"/>
                                    <a:pt x="15812" y="80486"/>
                                  </a:cubicBezTo>
                                  <a:cubicBezTo>
                                    <a:pt x="14192" y="80010"/>
                                    <a:pt x="12859" y="79248"/>
                                    <a:pt x="11811" y="78295"/>
                                  </a:cubicBezTo>
                                  <a:cubicBezTo>
                                    <a:pt x="10668" y="77248"/>
                                    <a:pt x="9811" y="75914"/>
                                    <a:pt x="9239" y="74200"/>
                                  </a:cubicBezTo>
                                  <a:cubicBezTo>
                                    <a:pt x="8477" y="72390"/>
                                    <a:pt x="8192" y="70294"/>
                                    <a:pt x="8192" y="67818"/>
                                  </a:cubicBez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706161647" name="Freeform: Shape 1706161647"/>
                          <wps:cNvSpPr/>
                          <wps:spPr>
                            <a:xfrm>
                              <a:off x="1075658" y="167163"/>
                              <a:ext cx="64484" cy="67341"/>
                            </a:xfrm>
                            <a:custGeom>
                              <a:avLst/>
                              <a:gdLst>
                                <a:gd name="connsiteX0" fmla="*/ 53626 w 64484"/>
                                <a:gd name="connsiteY0" fmla="*/ 67342 h 67341"/>
                                <a:gd name="connsiteX1" fmla="*/ 48196 w 64484"/>
                                <a:gd name="connsiteY1" fmla="*/ 66008 h 67341"/>
                                <a:gd name="connsiteX2" fmla="*/ 46292 w 64484"/>
                                <a:gd name="connsiteY2" fmla="*/ 61151 h 67341"/>
                                <a:gd name="connsiteX3" fmla="*/ 46292 w 64484"/>
                                <a:gd name="connsiteY3" fmla="*/ 58865 h 67341"/>
                                <a:gd name="connsiteX4" fmla="*/ 42577 w 64484"/>
                                <a:gd name="connsiteY4" fmla="*/ 61722 h 67341"/>
                                <a:gd name="connsiteX5" fmla="*/ 37814 w 64484"/>
                                <a:gd name="connsiteY5" fmla="*/ 64484 h 67341"/>
                                <a:gd name="connsiteX6" fmla="*/ 32290 w 64484"/>
                                <a:gd name="connsiteY6" fmla="*/ 66485 h 67341"/>
                                <a:gd name="connsiteX7" fmla="*/ 26289 w 64484"/>
                                <a:gd name="connsiteY7" fmla="*/ 67247 h 67341"/>
                                <a:gd name="connsiteX8" fmla="*/ 17240 w 64484"/>
                                <a:gd name="connsiteY8" fmla="*/ 65913 h 67341"/>
                                <a:gd name="connsiteX9" fmla="*/ 11049 w 64484"/>
                                <a:gd name="connsiteY9" fmla="*/ 61532 h 67341"/>
                                <a:gd name="connsiteX10" fmla="*/ 7429 w 64484"/>
                                <a:gd name="connsiteY10" fmla="*/ 53816 h 67341"/>
                                <a:gd name="connsiteX11" fmla="*/ 6286 w 64484"/>
                                <a:gd name="connsiteY11" fmla="*/ 42196 h 67341"/>
                                <a:gd name="connsiteX12" fmla="*/ 6286 w 64484"/>
                                <a:gd name="connsiteY12" fmla="*/ 9811 h 67341"/>
                                <a:gd name="connsiteX13" fmla="*/ 0 w 64484"/>
                                <a:gd name="connsiteY13" fmla="*/ 7334 h 67341"/>
                                <a:gd name="connsiteX14" fmla="*/ 0 w 64484"/>
                                <a:gd name="connsiteY14" fmla="*/ 1905 h 67341"/>
                                <a:gd name="connsiteX15" fmla="*/ 16288 w 64484"/>
                                <a:gd name="connsiteY15" fmla="*/ 95 h 67341"/>
                                <a:gd name="connsiteX16" fmla="*/ 16383 w 64484"/>
                                <a:gd name="connsiteY16" fmla="*/ 95 h 67341"/>
                                <a:gd name="connsiteX17" fmla="*/ 18955 w 64484"/>
                                <a:gd name="connsiteY17" fmla="*/ 1715 h 67341"/>
                                <a:gd name="connsiteX18" fmla="*/ 18955 w 64484"/>
                                <a:gd name="connsiteY18" fmla="*/ 41529 h 67341"/>
                                <a:gd name="connsiteX19" fmla="*/ 19431 w 64484"/>
                                <a:gd name="connsiteY19" fmla="*/ 49435 h 67341"/>
                                <a:gd name="connsiteX20" fmla="*/ 21241 w 64484"/>
                                <a:gd name="connsiteY20" fmla="*/ 54674 h 67341"/>
                                <a:gd name="connsiteX21" fmla="*/ 24765 w 64484"/>
                                <a:gd name="connsiteY21" fmla="*/ 57626 h 67341"/>
                                <a:gd name="connsiteX22" fmla="*/ 30480 w 64484"/>
                                <a:gd name="connsiteY22" fmla="*/ 58484 h 67341"/>
                                <a:gd name="connsiteX23" fmla="*/ 35147 w 64484"/>
                                <a:gd name="connsiteY23" fmla="*/ 57912 h 67341"/>
                                <a:gd name="connsiteX24" fmla="*/ 39243 w 64484"/>
                                <a:gd name="connsiteY24" fmla="*/ 56579 h 67341"/>
                                <a:gd name="connsiteX25" fmla="*/ 42577 w 64484"/>
                                <a:gd name="connsiteY25" fmla="*/ 54959 h 67341"/>
                                <a:gd name="connsiteX26" fmla="*/ 45053 w 64484"/>
                                <a:gd name="connsiteY26" fmla="*/ 53340 h 67341"/>
                                <a:gd name="connsiteX27" fmla="*/ 45053 w 64484"/>
                                <a:gd name="connsiteY27" fmla="*/ 9716 h 67341"/>
                                <a:gd name="connsiteX28" fmla="*/ 37052 w 64484"/>
                                <a:gd name="connsiteY28" fmla="*/ 7239 h 67341"/>
                                <a:gd name="connsiteX29" fmla="*/ 37052 w 64484"/>
                                <a:gd name="connsiteY29" fmla="*/ 1715 h 67341"/>
                                <a:gd name="connsiteX30" fmla="*/ 54388 w 64484"/>
                                <a:gd name="connsiteY30" fmla="*/ 0 h 67341"/>
                                <a:gd name="connsiteX31" fmla="*/ 54483 w 64484"/>
                                <a:gd name="connsiteY31" fmla="*/ 0 h 67341"/>
                                <a:gd name="connsiteX32" fmla="*/ 57626 w 64484"/>
                                <a:gd name="connsiteY32" fmla="*/ 1619 h 67341"/>
                                <a:gd name="connsiteX33" fmla="*/ 57626 w 64484"/>
                                <a:gd name="connsiteY33" fmla="*/ 59341 h 67341"/>
                                <a:gd name="connsiteX34" fmla="*/ 64484 w 64484"/>
                                <a:gd name="connsiteY34" fmla="*/ 59341 h 67341"/>
                                <a:gd name="connsiteX35" fmla="*/ 64484 w 64484"/>
                                <a:gd name="connsiteY35" fmla="*/ 64961 h 67341"/>
                                <a:gd name="connsiteX36" fmla="*/ 59817 w 64484"/>
                                <a:gd name="connsiteY36" fmla="*/ 66389 h 67341"/>
                                <a:gd name="connsiteX37" fmla="*/ 53626 w 64484"/>
                                <a:gd name="connsiteY37" fmla="*/ 67342 h 6734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Lst>
                              <a:rect l="l" t="t" r="r" b="b"/>
                              <a:pathLst>
                                <a:path w="64484" h="67341">
                                  <a:moveTo>
                                    <a:pt x="53626" y="67342"/>
                                  </a:moveTo>
                                  <a:cubicBezTo>
                                    <a:pt x="51244" y="67342"/>
                                    <a:pt x="49435" y="66866"/>
                                    <a:pt x="48196" y="66008"/>
                                  </a:cubicBezTo>
                                  <a:cubicBezTo>
                                    <a:pt x="46958" y="65151"/>
                                    <a:pt x="46292" y="63532"/>
                                    <a:pt x="46292" y="61151"/>
                                  </a:cubicBezTo>
                                  <a:lnTo>
                                    <a:pt x="46292" y="58865"/>
                                  </a:lnTo>
                                  <a:cubicBezTo>
                                    <a:pt x="45244" y="59722"/>
                                    <a:pt x="44006" y="60674"/>
                                    <a:pt x="42577" y="61722"/>
                                  </a:cubicBezTo>
                                  <a:cubicBezTo>
                                    <a:pt x="41148" y="62675"/>
                                    <a:pt x="39529" y="63627"/>
                                    <a:pt x="37814" y="64484"/>
                                  </a:cubicBezTo>
                                  <a:cubicBezTo>
                                    <a:pt x="36100" y="65342"/>
                                    <a:pt x="34195" y="66008"/>
                                    <a:pt x="32290" y="66485"/>
                                  </a:cubicBezTo>
                                  <a:cubicBezTo>
                                    <a:pt x="30385" y="67056"/>
                                    <a:pt x="28385" y="67247"/>
                                    <a:pt x="26289" y="67247"/>
                                  </a:cubicBezTo>
                                  <a:cubicBezTo>
                                    <a:pt x="22765" y="67247"/>
                                    <a:pt x="19812" y="66770"/>
                                    <a:pt x="17240" y="65913"/>
                                  </a:cubicBezTo>
                                  <a:cubicBezTo>
                                    <a:pt x="14669" y="65056"/>
                                    <a:pt x="12668" y="63532"/>
                                    <a:pt x="11049" y="61532"/>
                                  </a:cubicBezTo>
                                  <a:cubicBezTo>
                                    <a:pt x="9430" y="59531"/>
                                    <a:pt x="8192" y="56960"/>
                                    <a:pt x="7429" y="53816"/>
                                  </a:cubicBezTo>
                                  <a:cubicBezTo>
                                    <a:pt x="6667" y="50673"/>
                                    <a:pt x="6286" y="46768"/>
                                    <a:pt x="6286" y="42196"/>
                                  </a:cubicBezTo>
                                  <a:lnTo>
                                    <a:pt x="6286" y="9811"/>
                                  </a:lnTo>
                                  <a:lnTo>
                                    <a:pt x="0" y="7334"/>
                                  </a:lnTo>
                                  <a:lnTo>
                                    <a:pt x="0" y="1905"/>
                                  </a:lnTo>
                                  <a:lnTo>
                                    <a:pt x="16288" y="95"/>
                                  </a:lnTo>
                                  <a:lnTo>
                                    <a:pt x="16383" y="95"/>
                                  </a:lnTo>
                                  <a:lnTo>
                                    <a:pt x="18955" y="1715"/>
                                  </a:lnTo>
                                  <a:lnTo>
                                    <a:pt x="18955" y="41529"/>
                                  </a:lnTo>
                                  <a:cubicBezTo>
                                    <a:pt x="18955" y="44672"/>
                                    <a:pt x="19145" y="47339"/>
                                    <a:pt x="19431" y="49435"/>
                                  </a:cubicBezTo>
                                  <a:cubicBezTo>
                                    <a:pt x="19717" y="51626"/>
                                    <a:pt x="20383" y="53340"/>
                                    <a:pt x="21241" y="54674"/>
                                  </a:cubicBezTo>
                                  <a:cubicBezTo>
                                    <a:pt x="22098" y="56007"/>
                                    <a:pt x="23241" y="57055"/>
                                    <a:pt x="24765" y="57626"/>
                                  </a:cubicBezTo>
                                  <a:cubicBezTo>
                                    <a:pt x="26289" y="58198"/>
                                    <a:pt x="28194" y="58484"/>
                                    <a:pt x="30480" y="58484"/>
                                  </a:cubicBezTo>
                                  <a:cubicBezTo>
                                    <a:pt x="32099" y="58484"/>
                                    <a:pt x="33719" y="58293"/>
                                    <a:pt x="35147" y="57912"/>
                                  </a:cubicBezTo>
                                  <a:cubicBezTo>
                                    <a:pt x="36576" y="57531"/>
                                    <a:pt x="37910" y="57150"/>
                                    <a:pt x="39243" y="56579"/>
                                  </a:cubicBezTo>
                                  <a:cubicBezTo>
                                    <a:pt x="40481" y="56102"/>
                                    <a:pt x="41624" y="55531"/>
                                    <a:pt x="42577" y="54959"/>
                                  </a:cubicBezTo>
                                  <a:cubicBezTo>
                                    <a:pt x="43529" y="54388"/>
                                    <a:pt x="44386" y="53816"/>
                                    <a:pt x="45053" y="53340"/>
                                  </a:cubicBezTo>
                                  <a:lnTo>
                                    <a:pt x="45053" y="9716"/>
                                  </a:lnTo>
                                  <a:lnTo>
                                    <a:pt x="37052" y="7239"/>
                                  </a:lnTo>
                                  <a:lnTo>
                                    <a:pt x="37052" y="1715"/>
                                  </a:lnTo>
                                  <a:lnTo>
                                    <a:pt x="54388" y="0"/>
                                  </a:lnTo>
                                  <a:lnTo>
                                    <a:pt x="54483" y="0"/>
                                  </a:lnTo>
                                  <a:lnTo>
                                    <a:pt x="57626" y="1619"/>
                                  </a:lnTo>
                                  <a:lnTo>
                                    <a:pt x="57626" y="59341"/>
                                  </a:lnTo>
                                  <a:lnTo>
                                    <a:pt x="64484" y="59341"/>
                                  </a:lnTo>
                                  <a:lnTo>
                                    <a:pt x="64484" y="64961"/>
                                  </a:lnTo>
                                  <a:cubicBezTo>
                                    <a:pt x="63151" y="65342"/>
                                    <a:pt x="61627" y="65818"/>
                                    <a:pt x="59817" y="66389"/>
                                  </a:cubicBezTo>
                                  <a:cubicBezTo>
                                    <a:pt x="57912" y="67056"/>
                                    <a:pt x="55817" y="67342"/>
                                    <a:pt x="53626" y="67342"/>
                                  </a:cubicBez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684581408" name="Freeform: Shape 1684581408"/>
                          <wps:cNvSpPr/>
                          <wps:spPr>
                            <a:xfrm>
                              <a:off x="1148714" y="138207"/>
                              <a:ext cx="31718" cy="94868"/>
                            </a:xfrm>
                            <a:custGeom>
                              <a:avLst/>
                              <a:gdLst>
                                <a:gd name="connsiteX0" fmla="*/ 0 w 31718"/>
                                <a:gd name="connsiteY0" fmla="*/ 94869 h 94868"/>
                                <a:gd name="connsiteX1" fmla="*/ 0 w 31718"/>
                                <a:gd name="connsiteY1" fmla="*/ 88678 h 94868"/>
                                <a:gd name="connsiteX2" fmla="*/ 9335 w 31718"/>
                                <a:gd name="connsiteY2" fmla="*/ 87725 h 94868"/>
                                <a:gd name="connsiteX3" fmla="*/ 9335 w 31718"/>
                                <a:gd name="connsiteY3" fmla="*/ 8953 h 94868"/>
                                <a:gd name="connsiteX4" fmla="*/ 0 w 31718"/>
                                <a:gd name="connsiteY4" fmla="*/ 7906 h 94868"/>
                                <a:gd name="connsiteX5" fmla="*/ 0 w 31718"/>
                                <a:gd name="connsiteY5" fmla="*/ 2572 h 94868"/>
                                <a:gd name="connsiteX6" fmla="*/ 18955 w 31718"/>
                                <a:gd name="connsiteY6" fmla="*/ 0 h 94868"/>
                                <a:gd name="connsiteX7" fmla="*/ 19050 w 31718"/>
                                <a:gd name="connsiteY7" fmla="*/ 0 h 94868"/>
                                <a:gd name="connsiteX8" fmla="*/ 21908 w 31718"/>
                                <a:gd name="connsiteY8" fmla="*/ 2000 h 94868"/>
                                <a:gd name="connsiteX9" fmla="*/ 21908 w 31718"/>
                                <a:gd name="connsiteY9" fmla="*/ 87725 h 94868"/>
                                <a:gd name="connsiteX10" fmla="*/ 31718 w 31718"/>
                                <a:gd name="connsiteY10" fmla="*/ 88678 h 94868"/>
                                <a:gd name="connsiteX11" fmla="*/ 31718 w 31718"/>
                                <a:gd name="connsiteY11" fmla="*/ 94869 h 94868"/>
                                <a:gd name="connsiteX12" fmla="*/ 0 w 31718"/>
                                <a:gd name="connsiteY12" fmla="*/ 94869 h 9486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31718" h="94868">
                                  <a:moveTo>
                                    <a:pt x="0" y="94869"/>
                                  </a:moveTo>
                                  <a:lnTo>
                                    <a:pt x="0" y="88678"/>
                                  </a:lnTo>
                                  <a:lnTo>
                                    <a:pt x="9335" y="87725"/>
                                  </a:lnTo>
                                  <a:lnTo>
                                    <a:pt x="9335" y="8953"/>
                                  </a:lnTo>
                                  <a:lnTo>
                                    <a:pt x="0" y="7906"/>
                                  </a:lnTo>
                                  <a:lnTo>
                                    <a:pt x="0" y="2572"/>
                                  </a:lnTo>
                                  <a:lnTo>
                                    <a:pt x="18955" y="0"/>
                                  </a:lnTo>
                                  <a:lnTo>
                                    <a:pt x="19050" y="0"/>
                                  </a:lnTo>
                                  <a:lnTo>
                                    <a:pt x="21908" y="2000"/>
                                  </a:lnTo>
                                  <a:lnTo>
                                    <a:pt x="21908" y="87725"/>
                                  </a:lnTo>
                                  <a:lnTo>
                                    <a:pt x="31718" y="88678"/>
                                  </a:lnTo>
                                  <a:lnTo>
                                    <a:pt x="31718" y="94869"/>
                                  </a:lnTo>
                                  <a:lnTo>
                                    <a:pt x="0" y="94869"/>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086716908" name="Freeform: Shape 2086716908"/>
                          <wps:cNvSpPr/>
                          <wps:spPr>
                            <a:xfrm>
                              <a:off x="635889" y="278130"/>
                              <a:ext cx="84296" cy="86106"/>
                            </a:xfrm>
                            <a:custGeom>
                              <a:avLst/>
                              <a:gdLst>
                                <a:gd name="connsiteX0" fmla="*/ 0 w 84296"/>
                                <a:gd name="connsiteY0" fmla="*/ 85916 h 86106"/>
                                <a:gd name="connsiteX1" fmla="*/ 0 w 84296"/>
                                <a:gd name="connsiteY1" fmla="*/ 79724 h 86106"/>
                                <a:gd name="connsiteX2" fmla="*/ 9430 w 84296"/>
                                <a:gd name="connsiteY2" fmla="*/ 78200 h 86106"/>
                                <a:gd name="connsiteX3" fmla="*/ 9430 w 84296"/>
                                <a:gd name="connsiteY3" fmla="*/ 7715 h 86106"/>
                                <a:gd name="connsiteX4" fmla="*/ 0 w 84296"/>
                                <a:gd name="connsiteY4" fmla="*/ 6191 h 86106"/>
                                <a:gd name="connsiteX5" fmla="*/ 0 w 84296"/>
                                <a:gd name="connsiteY5" fmla="*/ 0 h 86106"/>
                                <a:gd name="connsiteX6" fmla="*/ 21907 w 84296"/>
                                <a:gd name="connsiteY6" fmla="*/ 0 h 86106"/>
                                <a:gd name="connsiteX7" fmla="*/ 60484 w 84296"/>
                                <a:gd name="connsiteY7" fmla="*/ 55721 h 86106"/>
                                <a:gd name="connsiteX8" fmla="*/ 66103 w 84296"/>
                                <a:gd name="connsiteY8" fmla="*/ 66199 h 86106"/>
                                <a:gd name="connsiteX9" fmla="*/ 66103 w 84296"/>
                                <a:gd name="connsiteY9" fmla="*/ 7810 h 86106"/>
                                <a:gd name="connsiteX10" fmla="*/ 55912 w 84296"/>
                                <a:gd name="connsiteY10" fmla="*/ 6286 h 86106"/>
                                <a:gd name="connsiteX11" fmla="*/ 55912 w 84296"/>
                                <a:gd name="connsiteY11" fmla="*/ 95 h 86106"/>
                                <a:gd name="connsiteX12" fmla="*/ 84296 w 84296"/>
                                <a:gd name="connsiteY12" fmla="*/ 95 h 86106"/>
                                <a:gd name="connsiteX13" fmla="*/ 84296 w 84296"/>
                                <a:gd name="connsiteY13" fmla="*/ 6286 h 86106"/>
                                <a:gd name="connsiteX14" fmla="*/ 74771 w 84296"/>
                                <a:gd name="connsiteY14" fmla="*/ 7906 h 86106"/>
                                <a:gd name="connsiteX15" fmla="*/ 74771 w 84296"/>
                                <a:gd name="connsiteY15" fmla="*/ 86106 h 86106"/>
                                <a:gd name="connsiteX16" fmla="*/ 66389 w 84296"/>
                                <a:gd name="connsiteY16" fmla="*/ 86106 h 86106"/>
                                <a:gd name="connsiteX17" fmla="*/ 26956 w 84296"/>
                                <a:gd name="connsiteY17" fmla="*/ 29527 h 86106"/>
                                <a:gd name="connsiteX18" fmla="*/ 18193 w 84296"/>
                                <a:gd name="connsiteY18" fmla="*/ 14478 h 86106"/>
                                <a:gd name="connsiteX19" fmla="*/ 18193 w 84296"/>
                                <a:gd name="connsiteY19" fmla="*/ 78391 h 86106"/>
                                <a:gd name="connsiteX20" fmla="*/ 28670 w 84296"/>
                                <a:gd name="connsiteY20" fmla="*/ 79915 h 86106"/>
                                <a:gd name="connsiteX21" fmla="*/ 28670 w 84296"/>
                                <a:gd name="connsiteY21" fmla="*/ 86106 h 86106"/>
                                <a:gd name="connsiteX22" fmla="*/ 0 w 84296"/>
                                <a:gd name="connsiteY22" fmla="*/ 86106 h 8610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Lst>
                              <a:rect l="l" t="t" r="r" b="b"/>
                              <a:pathLst>
                                <a:path w="84296" h="86106">
                                  <a:moveTo>
                                    <a:pt x="0" y="85916"/>
                                  </a:moveTo>
                                  <a:lnTo>
                                    <a:pt x="0" y="79724"/>
                                  </a:lnTo>
                                  <a:lnTo>
                                    <a:pt x="9430" y="78200"/>
                                  </a:lnTo>
                                  <a:lnTo>
                                    <a:pt x="9430" y="7715"/>
                                  </a:lnTo>
                                  <a:lnTo>
                                    <a:pt x="0" y="6191"/>
                                  </a:lnTo>
                                  <a:lnTo>
                                    <a:pt x="0" y="0"/>
                                  </a:lnTo>
                                  <a:lnTo>
                                    <a:pt x="21907" y="0"/>
                                  </a:lnTo>
                                  <a:lnTo>
                                    <a:pt x="60484" y="55721"/>
                                  </a:lnTo>
                                  <a:lnTo>
                                    <a:pt x="66103" y="66199"/>
                                  </a:lnTo>
                                  <a:lnTo>
                                    <a:pt x="66103" y="7810"/>
                                  </a:lnTo>
                                  <a:lnTo>
                                    <a:pt x="55912" y="6286"/>
                                  </a:lnTo>
                                  <a:lnTo>
                                    <a:pt x="55912" y="95"/>
                                  </a:lnTo>
                                  <a:lnTo>
                                    <a:pt x="84296" y="95"/>
                                  </a:lnTo>
                                  <a:lnTo>
                                    <a:pt x="84296" y="6286"/>
                                  </a:lnTo>
                                  <a:lnTo>
                                    <a:pt x="74771" y="7906"/>
                                  </a:lnTo>
                                  <a:lnTo>
                                    <a:pt x="74771" y="86106"/>
                                  </a:lnTo>
                                  <a:lnTo>
                                    <a:pt x="66389" y="86106"/>
                                  </a:lnTo>
                                  <a:lnTo>
                                    <a:pt x="26956" y="29527"/>
                                  </a:lnTo>
                                  <a:lnTo>
                                    <a:pt x="18193" y="14478"/>
                                  </a:lnTo>
                                  <a:lnTo>
                                    <a:pt x="18193" y="78391"/>
                                  </a:lnTo>
                                  <a:lnTo>
                                    <a:pt x="28670" y="79915"/>
                                  </a:lnTo>
                                  <a:lnTo>
                                    <a:pt x="28670" y="86106"/>
                                  </a:lnTo>
                                  <a:lnTo>
                                    <a:pt x="0" y="86106"/>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482486308" name="Freeform: Shape 1482486308"/>
                          <wps:cNvSpPr/>
                          <wps:spPr>
                            <a:xfrm>
                              <a:off x="727614" y="298513"/>
                              <a:ext cx="56673" cy="66960"/>
                            </a:xfrm>
                            <a:custGeom>
                              <a:avLst/>
                              <a:gdLst>
                                <a:gd name="connsiteX0" fmla="*/ 0 w 56673"/>
                                <a:gd name="connsiteY0" fmla="*/ 48577 h 66960"/>
                                <a:gd name="connsiteX1" fmla="*/ 1524 w 56673"/>
                                <a:gd name="connsiteY1" fmla="*/ 41339 h 66960"/>
                                <a:gd name="connsiteX2" fmla="*/ 5715 w 56673"/>
                                <a:gd name="connsiteY2" fmla="*/ 35719 h 66960"/>
                                <a:gd name="connsiteX3" fmla="*/ 12002 w 56673"/>
                                <a:gd name="connsiteY3" fmla="*/ 31623 h 66960"/>
                                <a:gd name="connsiteX4" fmla="*/ 19717 w 56673"/>
                                <a:gd name="connsiteY4" fmla="*/ 28861 h 66960"/>
                                <a:gd name="connsiteX5" fmla="*/ 28385 w 56673"/>
                                <a:gd name="connsiteY5" fmla="*/ 27242 h 66960"/>
                                <a:gd name="connsiteX6" fmla="*/ 37243 w 56673"/>
                                <a:gd name="connsiteY6" fmla="*/ 26575 h 66960"/>
                                <a:gd name="connsiteX7" fmla="*/ 37243 w 56673"/>
                                <a:gd name="connsiteY7" fmla="*/ 23622 h 66960"/>
                                <a:gd name="connsiteX8" fmla="*/ 36671 w 56673"/>
                                <a:gd name="connsiteY8" fmla="*/ 16954 h 66960"/>
                                <a:gd name="connsiteX9" fmla="*/ 34766 w 56673"/>
                                <a:gd name="connsiteY9" fmla="*/ 12478 h 66960"/>
                                <a:gd name="connsiteX10" fmla="*/ 31052 w 56673"/>
                                <a:gd name="connsiteY10" fmla="*/ 10001 h 66960"/>
                                <a:gd name="connsiteX11" fmla="*/ 25146 w 56673"/>
                                <a:gd name="connsiteY11" fmla="*/ 9239 h 66960"/>
                                <a:gd name="connsiteX12" fmla="*/ 19050 w 56673"/>
                                <a:gd name="connsiteY12" fmla="*/ 9811 h 66960"/>
                                <a:gd name="connsiteX13" fmla="*/ 13240 w 56673"/>
                                <a:gd name="connsiteY13" fmla="*/ 11240 h 66960"/>
                                <a:gd name="connsiteX14" fmla="*/ 8096 w 56673"/>
                                <a:gd name="connsiteY14" fmla="*/ 12954 h 66960"/>
                                <a:gd name="connsiteX15" fmla="*/ 4191 w 56673"/>
                                <a:gd name="connsiteY15" fmla="*/ 14669 h 66960"/>
                                <a:gd name="connsiteX16" fmla="*/ 4096 w 56673"/>
                                <a:gd name="connsiteY16" fmla="*/ 14669 h 66960"/>
                                <a:gd name="connsiteX17" fmla="*/ 1524 w 56673"/>
                                <a:gd name="connsiteY17" fmla="*/ 9239 h 66960"/>
                                <a:gd name="connsiteX18" fmla="*/ 5334 w 56673"/>
                                <a:gd name="connsiteY18" fmla="*/ 6668 h 66960"/>
                                <a:gd name="connsiteX19" fmla="*/ 11716 w 56673"/>
                                <a:gd name="connsiteY19" fmla="*/ 3619 h 66960"/>
                                <a:gd name="connsiteX20" fmla="*/ 19717 w 56673"/>
                                <a:gd name="connsiteY20" fmla="*/ 1048 h 66960"/>
                                <a:gd name="connsiteX21" fmla="*/ 28194 w 56673"/>
                                <a:gd name="connsiteY21" fmla="*/ 0 h 66960"/>
                                <a:gd name="connsiteX22" fmla="*/ 38195 w 56673"/>
                                <a:gd name="connsiteY22" fmla="*/ 1238 h 66960"/>
                                <a:gd name="connsiteX23" fmla="*/ 44863 w 56673"/>
                                <a:gd name="connsiteY23" fmla="*/ 5143 h 66960"/>
                                <a:gd name="connsiteX24" fmla="*/ 48482 w 56673"/>
                                <a:gd name="connsiteY24" fmla="*/ 12097 h 66960"/>
                                <a:gd name="connsiteX25" fmla="*/ 49625 w 56673"/>
                                <a:gd name="connsiteY25" fmla="*/ 22479 h 66960"/>
                                <a:gd name="connsiteX26" fmla="*/ 49625 w 56673"/>
                                <a:gd name="connsiteY26" fmla="*/ 59341 h 66960"/>
                                <a:gd name="connsiteX27" fmla="*/ 56674 w 56673"/>
                                <a:gd name="connsiteY27" fmla="*/ 59341 h 66960"/>
                                <a:gd name="connsiteX28" fmla="*/ 56674 w 56673"/>
                                <a:gd name="connsiteY28" fmla="*/ 64865 h 66960"/>
                                <a:gd name="connsiteX29" fmla="*/ 54102 w 56673"/>
                                <a:gd name="connsiteY29" fmla="*/ 65532 h 66960"/>
                                <a:gd name="connsiteX30" fmla="*/ 50959 w 56673"/>
                                <a:gd name="connsiteY30" fmla="*/ 66199 h 66960"/>
                                <a:gd name="connsiteX31" fmla="*/ 47625 w 56673"/>
                                <a:gd name="connsiteY31" fmla="*/ 66770 h 66960"/>
                                <a:gd name="connsiteX32" fmla="*/ 44387 w 56673"/>
                                <a:gd name="connsiteY32" fmla="*/ 66961 h 66960"/>
                                <a:gd name="connsiteX33" fmla="*/ 41624 w 56673"/>
                                <a:gd name="connsiteY33" fmla="*/ 66866 h 66960"/>
                                <a:gd name="connsiteX34" fmla="*/ 39719 w 56673"/>
                                <a:gd name="connsiteY34" fmla="*/ 66103 h 66960"/>
                                <a:gd name="connsiteX35" fmla="*/ 38576 w 56673"/>
                                <a:gd name="connsiteY35" fmla="*/ 64294 h 66960"/>
                                <a:gd name="connsiteX36" fmla="*/ 38195 w 56673"/>
                                <a:gd name="connsiteY36" fmla="*/ 61055 h 66960"/>
                                <a:gd name="connsiteX37" fmla="*/ 38195 w 56673"/>
                                <a:gd name="connsiteY37" fmla="*/ 58960 h 66960"/>
                                <a:gd name="connsiteX38" fmla="*/ 35814 w 56673"/>
                                <a:gd name="connsiteY38" fmla="*/ 60960 h 66960"/>
                                <a:gd name="connsiteX39" fmla="*/ 31718 w 56673"/>
                                <a:gd name="connsiteY39" fmla="*/ 63627 h 66960"/>
                                <a:gd name="connsiteX40" fmla="*/ 26194 w 56673"/>
                                <a:gd name="connsiteY40" fmla="*/ 65913 h 66960"/>
                                <a:gd name="connsiteX41" fmla="*/ 19526 w 56673"/>
                                <a:gd name="connsiteY41" fmla="*/ 66866 h 66960"/>
                                <a:gd name="connsiteX42" fmla="*/ 12097 w 56673"/>
                                <a:gd name="connsiteY42" fmla="*/ 65818 h 66960"/>
                                <a:gd name="connsiteX43" fmla="*/ 5906 w 56673"/>
                                <a:gd name="connsiteY43" fmla="*/ 62579 h 66960"/>
                                <a:gd name="connsiteX44" fmla="*/ 1619 w 56673"/>
                                <a:gd name="connsiteY44" fmla="*/ 56864 h 66960"/>
                                <a:gd name="connsiteX45" fmla="*/ 0 w 56673"/>
                                <a:gd name="connsiteY45" fmla="*/ 48577 h 66960"/>
                                <a:gd name="connsiteX46" fmla="*/ 24384 w 56673"/>
                                <a:gd name="connsiteY46" fmla="*/ 58198 h 66960"/>
                                <a:gd name="connsiteX47" fmla="*/ 27242 w 56673"/>
                                <a:gd name="connsiteY47" fmla="*/ 57912 h 66960"/>
                                <a:gd name="connsiteX48" fmla="*/ 30671 w 56673"/>
                                <a:gd name="connsiteY48" fmla="*/ 57055 h 66960"/>
                                <a:gd name="connsiteX49" fmla="*/ 34195 w 56673"/>
                                <a:gd name="connsiteY49" fmla="*/ 55626 h 66960"/>
                                <a:gd name="connsiteX50" fmla="*/ 37338 w 56673"/>
                                <a:gd name="connsiteY50" fmla="*/ 53721 h 66960"/>
                                <a:gd name="connsiteX51" fmla="*/ 37338 w 56673"/>
                                <a:gd name="connsiteY51" fmla="*/ 32956 h 66960"/>
                                <a:gd name="connsiteX52" fmla="*/ 26003 w 56673"/>
                                <a:gd name="connsiteY52" fmla="*/ 34099 h 66960"/>
                                <a:gd name="connsiteX53" fmla="*/ 18764 w 56673"/>
                                <a:gd name="connsiteY53" fmla="*/ 37243 h 66960"/>
                                <a:gd name="connsiteX54" fmla="*/ 14954 w 56673"/>
                                <a:gd name="connsiteY54" fmla="*/ 41720 h 66960"/>
                                <a:gd name="connsiteX55" fmla="*/ 13811 w 56673"/>
                                <a:gd name="connsiteY55" fmla="*/ 46958 h 66960"/>
                                <a:gd name="connsiteX56" fmla="*/ 14669 w 56673"/>
                                <a:gd name="connsiteY56" fmla="*/ 52197 h 66960"/>
                                <a:gd name="connsiteX57" fmla="*/ 16954 w 56673"/>
                                <a:gd name="connsiteY57" fmla="*/ 55721 h 66960"/>
                                <a:gd name="connsiteX58" fmla="*/ 20383 w 56673"/>
                                <a:gd name="connsiteY58" fmla="*/ 57626 h 66960"/>
                                <a:gd name="connsiteX59" fmla="*/ 24384 w 56673"/>
                                <a:gd name="connsiteY59" fmla="*/ 58198 h 6696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Lst>
                              <a:rect l="l" t="t" r="r" b="b"/>
                              <a:pathLst>
                                <a:path w="56673" h="66960">
                                  <a:moveTo>
                                    <a:pt x="0" y="48577"/>
                                  </a:moveTo>
                                  <a:cubicBezTo>
                                    <a:pt x="0" y="45910"/>
                                    <a:pt x="476" y="43434"/>
                                    <a:pt x="1524" y="41339"/>
                                  </a:cubicBezTo>
                                  <a:cubicBezTo>
                                    <a:pt x="2572" y="39243"/>
                                    <a:pt x="3905" y="37338"/>
                                    <a:pt x="5715" y="35719"/>
                                  </a:cubicBezTo>
                                  <a:cubicBezTo>
                                    <a:pt x="7525" y="34099"/>
                                    <a:pt x="9525" y="32766"/>
                                    <a:pt x="12002" y="31623"/>
                                  </a:cubicBezTo>
                                  <a:cubicBezTo>
                                    <a:pt x="14383" y="30480"/>
                                    <a:pt x="16954" y="29527"/>
                                    <a:pt x="19717" y="28861"/>
                                  </a:cubicBezTo>
                                  <a:cubicBezTo>
                                    <a:pt x="22479" y="28099"/>
                                    <a:pt x="25337" y="27623"/>
                                    <a:pt x="28385" y="27242"/>
                                  </a:cubicBezTo>
                                  <a:cubicBezTo>
                                    <a:pt x="31337" y="26860"/>
                                    <a:pt x="34385" y="26670"/>
                                    <a:pt x="37243" y="26575"/>
                                  </a:cubicBezTo>
                                  <a:lnTo>
                                    <a:pt x="37243" y="23622"/>
                                  </a:lnTo>
                                  <a:cubicBezTo>
                                    <a:pt x="37243" y="20955"/>
                                    <a:pt x="37052" y="18764"/>
                                    <a:pt x="36671" y="16954"/>
                                  </a:cubicBezTo>
                                  <a:cubicBezTo>
                                    <a:pt x="36290" y="15145"/>
                                    <a:pt x="35623" y="13621"/>
                                    <a:pt x="34766" y="12478"/>
                                  </a:cubicBezTo>
                                  <a:cubicBezTo>
                                    <a:pt x="33814" y="11335"/>
                                    <a:pt x="32575" y="10477"/>
                                    <a:pt x="31052" y="10001"/>
                                  </a:cubicBezTo>
                                  <a:cubicBezTo>
                                    <a:pt x="29527" y="9525"/>
                                    <a:pt x="27527" y="9239"/>
                                    <a:pt x="25146" y="9239"/>
                                  </a:cubicBezTo>
                                  <a:cubicBezTo>
                                    <a:pt x="23146" y="9239"/>
                                    <a:pt x="21050" y="9430"/>
                                    <a:pt x="19050" y="9811"/>
                                  </a:cubicBezTo>
                                  <a:cubicBezTo>
                                    <a:pt x="17050" y="10192"/>
                                    <a:pt x="15050" y="10668"/>
                                    <a:pt x="13240" y="11240"/>
                                  </a:cubicBezTo>
                                  <a:cubicBezTo>
                                    <a:pt x="11335" y="11811"/>
                                    <a:pt x="9620" y="12382"/>
                                    <a:pt x="8096" y="12954"/>
                                  </a:cubicBezTo>
                                  <a:cubicBezTo>
                                    <a:pt x="6572" y="13621"/>
                                    <a:pt x="5239" y="14192"/>
                                    <a:pt x="4191" y="14669"/>
                                  </a:cubicBezTo>
                                  <a:lnTo>
                                    <a:pt x="4096" y="14669"/>
                                  </a:lnTo>
                                  <a:lnTo>
                                    <a:pt x="1524" y="9239"/>
                                  </a:lnTo>
                                  <a:cubicBezTo>
                                    <a:pt x="2286" y="8573"/>
                                    <a:pt x="3524" y="7715"/>
                                    <a:pt x="5334" y="6668"/>
                                  </a:cubicBezTo>
                                  <a:cubicBezTo>
                                    <a:pt x="7144" y="5620"/>
                                    <a:pt x="9239" y="4572"/>
                                    <a:pt x="11716" y="3619"/>
                                  </a:cubicBezTo>
                                  <a:cubicBezTo>
                                    <a:pt x="14192" y="2667"/>
                                    <a:pt x="16859" y="1810"/>
                                    <a:pt x="19717" y="1048"/>
                                  </a:cubicBezTo>
                                  <a:cubicBezTo>
                                    <a:pt x="22574" y="286"/>
                                    <a:pt x="25432" y="0"/>
                                    <a:pt x="28194" y="0"/>
                                  </a:cubicBezTo>
                                  <a:cubicBezTo>
                                    <a:pt x="32194" y="0"/>
                                    <a:pt x="35528" y="381"/>
                                    <a:pt x="38195" y="1238"/>
                                  </a:cubicBezTo>
                                  <a:cubicBezTo>
                                    <a:pt x="40958" y="2095"/>
                                    <a:pt x="43148" y="3334"/>
                                    <a:pt x="44863" y="5143"/>
                                  </a:cubicBezTo>
                                  <a:cubicBezTo>
                                    <a:pt x="46577" y="6953"/>
                                    <a:pt x="47816" y="9239"/>
                                    <a:pt x="48482" y="12097"/>
                                  </a:cubicBezTo>
                                  <a:cubicBezTo>
                                    <a:pt x="49244" y="14954"/>
                                    <a:pt x="49625" y="18383"/>
                                    <a:pt x="49625" y="22479"/>
                                  </a:cubicBezTo>
                                  <a:lnTo>
                                    <a:pt x="49625" y="59341"/>
                                  </a:lnTo>
                                  <a:lnTo>
                                    <a:pt x="56674" y="59341"/>
                                  </a:lnTo>
                                  <a:lnTo>
                                    <a:pt x="56674" y="64865"/>
                                  </a:lnTo>
                                  <a:cubicBezTo>
                                    <a:pt x="55912" y="65056"/>
                                    <a:pt x="55150" y="65246"/>
                                    <a:pt x="54102" y="65532"/>
                                  </a:cubicBezTo>
                                  <a:cubicBezTo>
                                    <a:pt x="53150" y="65818"/>
                                    <a:pt x="52102" y="66008"/>
                                    <a:pt x="50959" y="66199"/>
                                  </a:cubicBezTo>
                                  <a:cubicBezTo>
                                    <a:pt x="49911" y="66389"/>
                                    <a:pt x="48768" y="66580"/>
                                    <a:pt x="47625" y="66770"/>
                                  </a:cubicBezTo>
                                  <a:cubicBezTo>
                                    <a:pt x="46482" y="66961"/>
                                    <a:pt x="45434" y="66961"/>
                                    <a:pt x="44387" y="66961"/>
                                  </a:cubicBezTo>
                                  <a:cubicBezTo>
                                    <a:pt x="43339" y="66961"/>
                                    <a:pt x="42386" y="66961"/>
                                    <a:pt x="41624" y="66866"/>
                                  </a:cubicBezTo>
                                  <a:cubicBezTo>
                                    <a:pt x="40862" y="66770"/>
                                    <a:pt x="40196" y="66484"/>
                                    <a:pt x="39719" y="66103"/>
                                  </a:cubicBezTo>
                                  <a:cubicBezTo>
                                    <a:pt x="39243" y="65723"/>
                                    <a:pt x="38862" y="65151"/>
                                    <a:pt x="38576" y="64294"/>
                                  </a:cubicBezTo>
                                  <a:cubicBezTo>
                                    <a:pt x="38291" y="63532"/>
                                    <a:pt x="38195" y="62389"/>
                                    <a:pt x="38195" y="61055"/>
                                  </a:cubicBezTo>
                                  <a:lnTo>
                                    <a:pt x="38195" y="58960"/>
                                  </a:lnTo>
                                  <a:cubicBezTo>
                                    <a:pt x="37719" y="59436"/>
                                    <a:pt x="36862" y="60103"/>
                                    <a:pt x="35814" y="60960"/>
                                  </a:cubicBezTo>
                                  <a:cubicBezTo>
                                    <a:pt x="34671" y="61817"/>
                                    <a:pt x="33338" y="62770"/>
                                    <a:pt x="31718" y="63627"/>
                                  </a:cubicBezTo>
                                  <a:cubicBezTo>
                                    <a:pt x="30099" y="64484"/>
                                    <a:pt x="28289" y="65246"/>
                                    <a:pt x="26194" y="65913"/>
                                  </a:cubicBezTo>
                                  <a:cubicBezTo>
                                    <a:pt x="24098" y="66580"/>
                                    <a:pt x="21908" y="66866"/>
                                    <a:pt x="19526" y="66866"/>
                                  </a:cubicBezTo>
                                  <a:cubicBezTo>
                                    <a:pt x="16954" y="66866"/>
                                    <a:pt x="14478" y="66484"/>
                                    <a:pt x="12097" y="65818"/>
                                  </a:cubicBezTo>
                                  <a:cubicBezTo>
                                    <a:pt x="9716" y="65151"/>
                                    <a:pt x="7715" y="64008"/>
                                    <a:pt x="5906" y="62579"/>
                                  </a:cubicBezTo>
                                  <a:cubicBezTo>
                                    <a:pt x="4096" y="61150"/>
                                    <a:pt x="2667" y="59246"/>
                                    <a:pt x="1619" y="56864"/>
                                  </a:cubicBezTo>
                                  <a:cubicBezTo>
                                    <a:pt x="571" y="54578"/>
                                    <a:pt x="0" y="51816"/>
                                    <a:pt x="0" y="48577"/>
                                  </a:cubicBezTo>
                                  <a:close/>
                                  <a:moveTo>
                                    <a:pt x="24384" y="58198"/>
                                  </a:moveTo>
                                  <a:cubicBezTo>
                                    <a:pt x="25146" y="58198"/>
                                    <a:pt x="26098" y="58102"/>
                                    <a:pt x="27242" y="57912"/>
                                  </a:cubicBezTo>
                                  <a:cubicBezTo>
                                    <a:pt x="28289" y="57722"/>
                                    <a:pt x="29432" y="57436"/>
                                    <a:pt x="30671" y="57055"/>
                                  </a:cubicBezTo>
                                  <a:cubicBezTo>
                                    <a:pt x="31909" y="56674"/>
                                    <a:pt x="32956" y="56198"/>
                                    <a:pt x="34195" y="55626"/>
                                  </a:cubicBezTo>
                                  <a:cubicBezTo>
                                    <a:pt x="35338" y="55054"/>
                                    <a:pt x="36385" y="54483"/>
                                    <a:pt x="37338" y="53721"/>
                                  </a:cubicBezTo>
                                  <a:lnTo>
                                    <a:pt x="37338" y="32956"/>
                                  </a:lnTo>
                                  <a:cubicBezTo>
                                    <a:pt x="32861" y="32956"/>
                                    <a:pt x="29051" y="33338"/>
                                    <a:pt x="26003" y="34099"/>
                                  </a:cubicBezTo>
                                  <a:cubicBezTo>
                                    <a:pt x="22955" y="34862"/>
                                    <a:pt x="20574" y="35909"/>
                                    <a:pt x="18764" y="37243"/>
                                  </a:cubicBezTo>
                                  <a:cubicBezTo>
                                    <a:pt x="16954" y="38576"/>
                                    <a:pt x="15716" y="40005"/>
                                    <a:pt x="14954" y="41720"/>
                                  </a:cubicBezTo>
                                  <a:cubicBezTo>
                                    <a:pt x="14192" y="43339"/>
                                    <a:pt x="13811" y="45149"/>
                                    <a:pt x="13811" y="46958"/>
                                  </a:cubicBezTo>
                                  <a:cubicBezTo>
                                    <a:pt x="13811" y="49054"/>
                                    <a:pt x="14097" y="50768"/>
                                    <a:pt x="14669" y="52197"/>
                                  </a:cubicBezTo>
                                  <a:cubicBezTo>
                                    <a:pt x="15240" y="53626"/>
                                    <a:pt x="16002" y="54769"/>
                                    <a:pt x="16954" y="55721"/>
                                  </a:cubicBezTo>
                                  <a:cubicBezTo>
                                    <a:pt x="17907" y="56578"/>
                                    <a:pt x="19050" y="57245"/>
                                    <a:pt x="20383" y="57626"/>
                                  </a:cubicBezTo>
                                  <a:cubicBezTo>
                                    <a:pt x="21527" y="58007"/>
                                    <a:pt x="22955" y="58198"/>
                                    <a:pt x="24384" y="58198"/>
                                  </a:cubicBez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373384413" name="Freeform: Shape 1373384413"/>
                          <wps:cNvSpPr/>
                          <wps:spPr>
                            <a:xfrm>
                              <a:off x="791908" y="284226"/>
                              <a:ext cx="41529" cy="111442"/>
                            </a:xfrm>
                            <a:custGeom>
                              <a:avLst/>
                              <a:gdLst>
                                <a:gd name="connsiteX0" fmla="*/ 8192 w 41529"/>
                                <a:gd name="connsiteY0" fmla="*/ 67818 h 111442"/>
                                <a:gd name="connsiteX1" fmla="*/ 8192 w 41529"/>
                                <a:gd name="connsiteY1" fmla="*/ 23717 h 111442"/>
                                <a:gd name="connsiteX2" fmla="*/ 0 w 41529"/>
                                <a:gd name="connsiteY2" fmla="*/ 23717 h 111442"/>
                                <a:gd name="connsiteX3" fmla="*/ 0 w 41529"/>
                                <a:gd name="connsiteY3" fmla="*/ 18383 h 111442"/>
                                <a:gd name="connsiteX4" fmla="*/ 3524 w 41529"/>
                                <a:gd name="connsiteY4" fmla="*/ 17240 h 111442"/>
                                <a:gd name="connsiteX5" fmla="*/ 6001 w 41529"/>
                                <a:gd name="connsiteY5" fmla="*/ 16097 h 111442"/>
                                <a:gd name="connsiteX6" fmla="*/ 9144 w 41529"/>
                                <a:gd name="connsiteY6" fmla="*/ 11906 h 111442"/>
                                <a:gd name="connsiteX7" fmla="*/ 10287 w 41529"/>
                                <a:gd name="connsiteY7" fmla="*/ 9239 h 111442"/>
                                <a:gd name="connsiteX8" fmla="*/ 11621 w 41529"/>
                                <a:gd name="connsiteY8" fmla="*/ 5810 h 111442"/>
                                <a:gd name="connsiteX9" fmla="*/ 12764 w 41529"/>
                                <a:gd name="connsiteY9" fmla="*/ 2477 h 111442"/>
                                <a:gd name="connsiteX10" fmla="*/ 13525 w 41529"/>
                                <a:gd name="connsiteY10" fmla="*/ 0 h 111442"/>
                                <a:gd name="connsiteX11" fmla="*/ 20765 w 41529"/>
                                <a:gd name="connsiteY11" fmla="*/ 0 h 111442"/>
                                <a:gd name="connsiteX12" fmla="*/ 20765 w 41529"/>
                                <a:gd name="connsiteY12" fmla="*/ 15621 h 111442"/>
                                <a:gd name="connsiteX13" fmla="*/ 39719 w 41529"/>
                                <a:gd name="connsiteY13" fmla="*/ 15621 h 111442"/>
                                <a:gd name="connsiteX14" fmla="*/ 39719 w 41529"/>
                                <a:gd name="connsiteY14" fmla="*/ 23813 h 111442"/>
                                <a:gd name="connsiteX15" fmla="*/ 20765 w 41529"/>
                                <a:gd name="connsiteY15" fmla="*/ 23813 h 111442"/>
                                <a:gd name="connsiteX16" fmla="*/ 20765 w 41529"/>
                                <a:gd name="connsiteY16" fmla="*/ 57626 h 111442"/>
                                <a:gd name="connsiteX17" fmla="*/ 20860 w 41529"/>
                                <a:gd name="connsiteY17" fmla="*/ 65437 h 111442"/>
                                <a:gd name="connsiteX18" fmla="*/ 21622 w 41529"/>
                                <a:gd name="connsiteY18" fmla="*/ 69628 h 111442"/>
                                <a:gd name="connsiteX19" fmla="*/ 23527 w 41529"/>
                                <a:gd name="connsiteY19" fmla="*/ 71247 h 111442"/>
                                <a:gd name="connsiteX20" fmla="*/ 27051 w 41529"/>
                                <a:gd name="connsiteY20" fmla="*/ 71533 h 111442"/>
                                <a:gd name="connsiteX21" fmla="*/ 27146 w 41529"/>
                                <a:gd name="connsiteY21" fmla="*/ 71533 h 111442"/>
                                <a:gd name="connsiteX22" fmla="*/ 30575 w 41529"/>
                                <a:gd name="connsiteY22" fmla="*/ 71342 h 111442"/>
                                <a:gd name="connsiteX23" fmla="*/ 34100 w 41529"/>
                                <a:gd name="connsiteY23" fmla="*/ 70771 h 111442"/>
                                <a:gd name="connsiteX24" fmla="*/ 37243 w 41529"/>
                                <a:gd name="connsiteY24" fmla="*/ 70104 h 111442"/>
                                <a:gd name="connsiteX25" fmla="*/ 39529 w 41529"/>
                                <a:gd name="connsiteY25" fmla="*/ 69437 h 111442"/>
                                <a:gd name="connsiteX26" fmla="*/ 39624 w 41529"/>
                                <a:gd name="connsiteY26" fmla="*/ 69437 h 111442"/>
                                <a:gd name="connsiteX27" fmla="*/ 41529 w 41529"/>
                                <a:gd name="connsiteY27" fmla="*/ 74962 h 111442"/>
                                <a:gd name="connsiteX28" fmla="*/ 37814 w 41529"/>
                                <a:gd name="connsiteY28" fmla="*/ 77057 h 111442"/>
                                <a:gd name="connsiteX29" fmla="*/ 32671 w 41529"/>
                                <a:gd name="connsiteY29" fmla="*/ 79057 h 111442"/>
                                <a:gd name="connsiteX30" fmla="*/ 26860 w 41529"/>
                                <a:gd name="connsiteY30" fmla="*/ 80581 h 111442"/>
                                <a:gd name="connsiteX31" fmla="*/ 21241 w 41529"/>
                                <a:gd name="connsiteY31" fmla="*/ 81153 h 111442"/>
                                <a:gd name="connsiteX32" fmla="*/ 21146 w 41529"/>
                                <a:gd name="connsiteY32" fmla="*/ 81153 h 111442"/>
                                <a:gd name="connsiteX33" fmla="*/ 15812 w 41529"/>
                                <a:gd name="connsiteY33" fmla="*/ 80486 h 111442"/>
                                <a:gd name="connsiteX34" fmla="*/ 11811 w 41529"/>
                                <a:gd name="connsiteY34" fmla="*/ 78296 h 111442"/>
                                <a:gd name="connsiteX35" fmla="*/ 9239 w 41529"/>
                                <a:gd name="connsiteY35" fmla="*/ 74200 h 111442"/>
                                <a:gd name="connsiteX36" fmla="*/ 8192 w 41529"/>
                                <a:gd name="connsiteY36" fmla="*/ 67818 h 111442"/>
                                <a:gd name="connsiteX37" fmla="*/ 21717 w 41529"/>
                                <a:gd name="connsiteY37" fmla="*/ 111443 h 111442"/>
                                <a:gd name="connsiteX38" fmla="*/ 18002 w 41529"/>
                                <a:gd name="connsiteY38" fmla="*/ 108585 h 111442"/>
                                <a:gd name="connsiteX39" fmla="*/ 18002 w 41529"/>
                                <a:gd name="connsiteY39" fmla="*/ 107918 h 111442"/>
                                <a:gd name="connsiteX40" fmla="*/ 19431 w 41529"/>
                                <a:gd name="connsiteY40" fmla="*/ 106775 h 111442"/>
                                <a:gd name="connsiteX41" fmla="*/ 20479 w 41529"/>
                                <a:gd name="connsiteY41" fmla="*/ 104966 h 111442"/>
                                <a:gd name="connsiteX42" fmla="*/ 21146 w 41529"/>
                                <a:gd name="connsiteY42" fmla="*/ 102775 h 111442"/>
                                <a:gd name="connsiteX43" fmla="*/ 21336 w 41529"/>
                                <a:gd name="connsiteY43" fmla="*/ 100679 h 111442"/>
                                <a:gd name="connsiteX44" fmla="*/ 20574 w 41529"/>
                                <a:gd name="connsiteY44" fmla="*/ 98584 h 111442"/>
                                <a:gd name="connsiteX45" fmla="*/ 18860 w 41529"/>
                                <a:gd name="connsiteY45" fmla="*/ 97441 h 111442"/>
                                <a:gd name="connsiteX46" fmla="*/ 17050 w 41529"/>
                                <a:gd name="connsiteY46" fmla="*/ 95726 h 111442"/>
                                <a:gd name="connsiteX47" fmla="*/ 16192 w 41529"/>
                                <a:gd name="connsiteY47" fmla="*/ 92393 h 111442"/>
                                <a:gd name="connsiteX48" fmla="*/ 16859 w 41529"/>
                                <a:gd name="connsiteY48" fmla="*/ 89154 h 111442"/>
                                <a:gd name="connsiteX49" fmla="*/ 18574 w 41529"/>
                                <a:gd name="connsiteY49" fmla="*/ 87249 h 111442"/>
                                <a:gd name="connsiteX50" fmla="*/ 20669 w 41529"/>
                                <a:gd name="connsiteY50" fmla="*/ 86297 h 111442"/>
                                <a:gd name="connsiteX51" fmla="*/ 22479 w 41529"/>
                                <a:gd name="connsiteY51" fmla="*/ 86011 h 111442"/>
                                <a:gd name="connsiteX52" fmla="*/ 23050 w 41529"/>
                                <a:gd name="connsiteY52" fmla="*/ 86011 h 111442"/>
                                <a:gd name="connsiteX53" fmla="*/ 29051 w 41529"/>
                                <a:gd name="connsiteY53" fmla="*/ 88678 h 111442"/>
                                <a:gd name="connsiteX54" fmla="*/ 31242 w 41529"/>
                                <a:gd name="connsiteY54" fmla="*/ 95536 h 111442"/>
                                <a:gd name="connsiteX55" fmla="*/ 29813 w 41529"/>
                                <a:gd name="connsiteY55" fmla="*/ 102489 h 111442"/>
                                <a:gd name="connsiteX56" fmla="*/ 26575 w 41529"/>
                                <a:gd name="connsiteY56" fmla="*/ 107442 h 111442"/>
                                <a:gd name="connsiteX57" fmla="*/ 23336 w 41529"/>
                                <a:gd name="connsiteY57" fmla="*/ 110395 h 111442"/>
                                <a:gd name="connsiteX58" fmla="*/ 21717 w 41529"/>
                                <a:gd name="connsiteY58" fmla="*/ 111347 h 111442"/>
                                <a:gd name="connsiteX59" fmla="*/ 21717 w 41529"/>
                                <a:gd name="connsiteY59" fmla="*/ 111347 h 11144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Lst>
                              <a:rect l="l" t="t" r="r" b="b"/>
                              <a:pathLst>
                                <a:path w="41529" h="111442">
                                  <a:moveTo>
                                    <a:pt x="8192" y="67818"/>
                                  </a:moveTo>
                                  <a:lnTo>
                                    <a:pt x="8192" y="23717"/>
                                  </a:lnTo>
                                  <a:lnTo>
                                    <a:pt x="0" y="23717"/>
                                  </a:lnTo>
                                  <a:lnTo>
                                    <a:pt x="0" y="18383"/>
                                  </a:lnTo>
                                  <a:cubicBezTo>
                                    <a:pt x="1143" y="18002"/>
                                    <a:pt x="2286" y="17621"/>
                                    <a:pt x="3524" y="17240"/>
                                  </a:cubicBezTo>
                                  <a:cubicBezTo>
                                    <a:pt x="4667" y="16859"/>
                                    <a:pt x="5525" y="16478"/>
                                    <a:pt x="6001" y="16097"/>
                                  </a:cubicBezTo>
                                  <a:cubicBezTo>
                                    <a:pt x="7239" y="15240"/>
                                    <a:pt x="8287" y="13811"/>
                                    <a:pt x="9144" y="11906"/>
                                  </a:cubicBezTo>
                                  <a:cubicBezTo>
                                    <a:pt x="9430" y="11240"/>
                                    <a:pt x="9811" y="10382"/>
                                    <a:pt x="10287" y="9239"/>
                                  </a:cubicBezTo>
                                  <a:cubicBezTo>
                                    <a:pt x="10763" y="8096"/>
                                    <a:pt x="11144" y="6953"/>
                                    <a:pt x="11621" y="5810"/>
                                  </a:cubicBezTo>
                                  <a:cubicBezTo>
                                    <a:pt x="12097" y="4667"/>
                                    <a:pt x="12478" y="3524"/>
                                    <a:pt x="12764" y="2477"/>
                                  </a:cubicBezTo>
                                  <a:cubicBezTo>
                                    <a:pt x="13144" y="1429"/>
                                    <a:pt x="13335" y="571"/>
                                    <a:pt x="13525" y="0"/>
                                  </a:cubicBezTo>
                                  <a:lnTo>
                                    <a:pt x="20765" y="0"/>
                                  </a:lnTo>
                                  <a:lnTo>
                                    <a:pt x="20765" y="15621"/>
                                  </a:lnTo>
                                  <a:lnTo>
                                    <a:pt x="39719" y="15621"/>
                                  </a:lnTo>
                                  <a:lnTo>
                                    <a:pt x="39719" y="23813"/>
                                  </a:lnTo>
                                  <a:lnTo>
                                    <a:pt x="20765" y="23813"/>
                                  </a:lnTo>
                                  <a:lnTo>
                                    <a:pt x="20765" y="57626"/>
                                  </a:lnTo>
                                  <a:cubicBezTo>
                                    <a:pt x="20765" y="60960"/>
                                    <a:pt x="20765" y="63627"/>
                                    <a:pt x="20860" y="65437"/>
                                  </a:cubicBezTo>
                                  <a:cubicBezTo>
                                    <a:pt x="20955" y="67342"/>
                                    <a:pt x="21241" y="68675"/>
                                    <a:pt x="21622" y="69628"/>
                                  </a:cubicBezTo>
                                  <a:cubicBezTo>
                                    <a:pt x="22098" y="70485"/>
                                    <a:pt x="22669" y="71056"/>
                                    <a:pt x="23527" y="71247"/>
                                  </a:cubicBezTo>
                                  <a:cubicBezTo>
                                    <a:pt x="24384" y="71438"/>
                                    <a:pt x="25622" y="71533"/>
                                    <a:pt x="27051" y="71533"/>
                                  </a:cubicBezTo>
                                  <a:lnTo>
                                    <a:pt x="27146" y="71533"/>
                                  </a:lnTo>
                                  <a:cubicBezTo>
                                    <a:pt x="28194" y="71533"/>
                                    <a:pt x="29337" y="71438"/>
                                    <a:pt x="30575" y="71342"/>
                                  </a:cubicBezTo>
                                  <a:cubicBezTo>
                                    <a:pt x="31814" y="71247"/>
                                    <a:pt x="32956" y="71056"/>
                                    <a:pt x="34100" y="70771"/>
                                  </a:cubicBezTo>
                                  <a:cubicBezTo>
                                    <a:pt x="35242" y="70580"/>
                                    <a:pt x="36290" y="70295"/>
                                    <a:pt x="37243" y="70104"/>
                                  </a:cubicBezTo>
                                  <a:cubicBezTo>
                                    <a:pt x="38195" y="69818"/>
                                    <a:pt x="38957" y="69628"/>
                                    <a:pt x="39529" y="69437"/>
                                  </a:cubicBezTo>
                                  <a:lnTo>
                                    <a:pt x="39624" y="69437"/>
                                  </a:lnTo>
                                  <a:lnTo>
                                    <a:pt x="41529" y="74962"/>
                                  </a:lnTo>
                                  <a:cubicBezTo>
                                    <a:pt x="40577" y="75628"/>
                                    <a:pt x="39338" y="76391"/>
                                    <a:pt x="37814" y="77057"/>
                                  </a:cubicBezTo>
                                  <a:cubicBezTo>
                                    <a:pt x="36195" y="77819"/>
                                    <a:pt x="34481" y="78486"/>
                                    <a:pt x="32671" y="79057"/>
                                  </a:cubicBezTo>
                                  <a:cubicBezTo>
                                    <a:pt x="30766" y="79629"/>
                                    <a:pt x="28861" y="80200"/>
                                    <a:pt x="26860" y="80581"/>
                                  </a:cubicBezTo>
                                  <a:cubicBezTo>
                                    <a:pt x="24860" y="80963"/>
                                    <a:pt x="22955" y="81153"/>
                                    <a:pt x="21241" y="81153"/>
                                  </a:cubicBezTo>
                                  <a:lnTo>
                                    <a:pt x="21146" y="81153"/>
                                  </a:lnTo>
                                  <a:cubicBezTo>
                                    <a:pt x="19145" y="81153"/>
                                    <a:pt x="17335" y="80963"/>
                                    <a:pt x="15812" y="80486"/>
                                  </a:cubicBezTo>
                                  <a:cubicBezTo>
                                    <a:pt x="14192" y="80010"/>
                                    <a:pt x="12859" y="79248"/>
                                    <a:pt x="11811" y="78296"/>
                                  </a:cubicBezTo>
                                  <a:cubicBezTo>
                                    <a:pt x="10668" y="77248"/>
                                    <a:pt x="9811" y="75914"/>
                                    <a:pt x="9239" y="74200"/>
                                  </a:cubicBezTo>
                                  <a:cubicBezTo>
                                    <a:pt x="8477" y="72390"/>
                                    <a:pt x="8192" y="70295"/>
                                    <a:pt x="8192" y="67818"/>
                                  </a:cubicBezTo>
                                  <a:close/>
                                  <a:moveTo>
                                    <a:pt x="21717" y="111443"/>
                                  </a:moveTo>
                                  <a:lnTo>
                                    <a:pt x="18002" y="108585"/>
                                  </a:lnTo>
                                  <a:lnTo>
                                    <a:pt x="18002" y="107918"/>
                                  </a:lnTo>
                                  <a:cubicBezTo>
                                    <a:pt x="18574" y="107632"/>
                                    <a:pt x="19050" y="107251"/>
                                    <a:pt x="19431" y="106775"/>
                                  </a:cubicBezTo>
                                  <a:cubicBezTo>
                                    <a:pt x="19812" y="106204"/>
                                    <a:pt x="20193" y="105632"/>
                                    <a:pt x="20479" y="104966"/>
                                  </a:cubicBezTo>
                                  <a:cubicBezTo>
                                    <a:pt x="20765" y="104299"/>
                                    <a:pt x="20955" y="103537"/>
                                    <a:pt x="21146" y="102775"/>
                                  </a:cubicBezTo>
                                  <a:cubicBezTo>
                                    <a:pt x="21336" y="102013"/>
                                    <a:pt x="21336" y="101346"/>
                                    <a:pt x="21336" y="100679"/>
                                  </a:cubicBezTo>
                                  <a:cubicBezTo>
                                    <a:pt x="21336" y="99727"/>
                                    <a:pt x="21050" y="98965"/>
                                    <a:pt x="20574" y="98584"/>
                                  </a:cubicBezTo>
                                  <a:cubicBezTo>
                                    <a:pt x="20098" y="98203"/>
                                    <a:pt x="19526" y="97726"/>
                                    <a:pt x="18860" y="97441"/>
                                  </a:cubicBezTo>
                                  <a:cubicBezTo>
                                    <a:pt x="18193" y="97060"/>
                                    <a:pt x="17526" y="96488"/>
                                    <a:pt x="17050" y="95726"/>
                                  </a:cubicBezTo>
                                  <a:cubicBezTo>
                                    <a:pt x="16478" y="94964"/>
                                    <a:pt x="16192" y="93917"/>
                                    <a:pt x="16192" y="92393"/>
                                  </a:cubicBezTo>
                                  <a:cubicBezTo>
                                    <a:pt x="16192" y="91059"/>
                                    <a:pt x="16383" y="90011"/>
                                    <a:pt x="16859" y="89154"/>
                                  </a:cubicBezTo>
                                  <a:cubicBezTo>
                                    <a:pt x="17335" y="88297"/>
                                    <a:pt x="17907" y="87725"/>
                                    <a:pt x="18574" y="87249"/>
                                  </a:cubicBezTo>
                                  <a:cubicBezTo>
                                    <a:pt x="19241" y="86773"/>
                                    <a:pt x="20002" y="86487"/>
                                    <a:pt x="20669" y="86297"/>
                                  </a:cubicBezTo>
                                  <a:cubicBezTo>
                                    <a:pt x="21431" y="86106"/>
                                    <a:pt x="22003" y="86011"/>
                                    <a:pt x="22479" y="86011"/>
                                  </a:cubicBezTo>
                                  <a:lnTo>
                                    <a:pt x="23050" y="86011"/>
                                  </a:lnTo>
                                  <a:cubicBezTo>
                                    <a:pt x="25622" y="86011"/>
                                    <a:pt x="27623" y="86868"/>
                                    <a:pt x="29051" y="88678"/>
                                  </a:cubicBezTo>
                                  <a:cubicBezTo>
                                    <a:pt x="30480" y="90392"/>
                                    <a:pt x="31242" y="92678"/>
                                    <a:pt x="31242" y="95536"/>
                                  </a:cubicBezTo>
                                  <a:cubicBezTo>
                                    <a:pt x="31242" y="98203"/>
                                    <a:pt x="30766" y="100489"/>
                                    <a:pt x="29813" y="102489"/>
                                  </a:cubicBezTo>
                                  <a:cubicBezTo>
                                    <a:pt x="28861" y="104489"/>
                                    <a:pt x="27718" y="106108"/>
                                    <a:pt x="26575" y="107442"/>
                                  </a:cubicBezTo>
                                  <a:cubicBezTo>
                                    <a:pt x="25432" y="108775"/>
                                    <a:pt x="24289" y="109823"/>
                                    <a:pt x="23336" y="110395"/>
                                  </a:cubicBezTo>
                                  <a:cubicBezTo>
                                    <a:pt x="22289" y="111062"/>
                                    <a:pt x="21812" y="111347"/>
                                    <a:pt x="21717" y="111347"/>
                                  </a:cubicBezTo>
                                  <a:lnTo>
                                    <a:pt x="21717" y="111347"/>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895671526" name="Freeform: Shape 895671526"/>
                          <wps:cNvSpPr/>
                          <wps:spPr>
                            <a:xfrm>
                              <a:off x="839438" y="270795"/>
                              <a:ext cx="31146" cy="93249"/>
                            </a:xfrm>
                            <a:custGeom>
                              <a:avLst/>
                              <a:gdLst>
                                <a:gd name="connsiteX0" fmla="*/ 0 w 31146"/>
                                <a:gd name="connsiteY0" fmla="*/ 93250 h 93249"/>
                                <a:gd name="connsiteX1" fmla="*/ 0 w 31146"/>
                                <a:gd name="connsiteY1" fmla="*/ 87058 h 93249"/>
                                <a:gd name="connsiteX2" fmla="*/ 9335 w 31146"/>
                                <a:gd name="connsiteY2" fmla="*/ 86106 h 93249"/>
                                <a:gd name="connsiteX3" fmla="*/ 9335 w 31146"/>
                                <a:gd name="connsiteY3" fmla="*/ 39052 h 93249"/>
                                <a:gd name="connsiteX4" fmla="*/ 1429 w 31146"/>
                                <a:gd name="connsiteY4" fmla="*/ 36576 h 93249"/>
                                <a:gd name="connsiteX5" fmla="*/ 1429 w 31146"/>
                                <a:gd name="connsiteY5" fmla="*/ 29813 h 93249"/>
                                <a:gd name="connsiteX6" fmla="*/ 18669 w 31146"/>
                                <a:gd name="connsiteY6" fmla="*/ 27527 h 93249"/>
                                <a:gd name="connsiteX7" fmla="*/ 18955 w 31146"/>
                                <a:gd name="connsiteY7" fmla="*/ 27527 h 93249"/>
                                <a:gd name="connsiteX8" fmla="*/ 22003 w 31146"/>
                                <a:gd name="connsiteY8" fmla="*/ 29813 h 93249"/>
                                <a:gd name="connsiteX9" fmla="*/ 22003 w 31146"/>
                                <a:gd name="connsiteY9" fmla="*/ 86201 h 93249"/>
                                <a:gd name="connsiteX10" fmla="*/ 31147 w 31146"/>
                                <a:gd name="connsiteY10" fmla="*/ 87058 h 93249"/>
                                <a:gd name="connsiteX11" fmla="*/ 31147 w 31146"/>
                                <a:gd name="connsiteY11" fmla="*/ 93250 h 93249"/>
                                <a:gd name="connsiteX12" fmla="*/ 0 w 31146"/>
                                <a:gd name="connsiteY12" fmla="*/ 93250 h 93249"/>
                                <a:gd name="connsiteX13" fmla="*/ 13811 w 31146"/>
                                <a:gd name="connsiteY13" fmla="*/ 16859 h 93249"/>
                                <a:gd name="connsiteX14" fmla="*/ 10858 w 31146"/>
                                <a:gd name="connsiteY14" fmla="*/ 16288 h 93249"/>
                                <a:gd name="connsiteX15" fmla="*/ 8573 w 31146"/>
                                <a:gd name="connsiteY15" fmla="*/ 14668 h 93249"/>
                                <a:gd name="connsiteX16" fmla="*/ 7144 w 31146"/>
                                <a:gd name="connsiteY16" fmla="*/ 12192 h 93249"/>
                                <a:gd name="connsiteX17" fmla="*/ 6668 w 31146"/>
                                <a:gd name="connsiteY17" fmla="*/ 9144 h 93249"/>
                                <a:gd name="connsiteX18" fmla="*/ 7239 w 31146"/>
                                <a:gd name="connsiteY18" fmla="*/ 5715 h 93249"/>
                                <a:gd name="connsiteX19" fmla="*/ 8858 w 31146"/>
                                <a:gd name="connsiteY19" fmla="*/ 2762 h 93249"/>
                                <a:gd name="connsiteX20" fmla="*/ 11525 w 31146"/>
                                <a:gd name="connsiteY20" fmla="*/ 762 h 93249"/>
                                <a:gd name="connsiteX21" fmla="*/ 15145 w 31146"/>
                                <a:gd name="connsiteY21" fmla="*/ 0 h 93249"/>
                                <a:gd name="connsiteX22" fmla="*/ 15240 w 31146"/>
                                <a:gd name="connsiteY22" fmla="*/ 0 h 93249"/>
                                <a:gd name="connsiteX23" fmla="*/ 18479 w 31146"/>
                                <a:gd name="connsiteY23" fmla="*/ 667 h 93249"/>
                                <a:gd name="connsiteX24" fmla="*/ 20860 w 31146"/>
                                <a:gd name="connsiteY24" fmla="*/ 2477 h 93249"/>
                                <a:gd name="connsiteX25" fmla="*/ 22289 w 31146"/>
                                <a:gd name="connsiteY25" fmla="*/ 4953 h 93249"/>
                                <a:gd name="connsiteX26" fmla="*/ 22765 w 31146"/>
                                <a:gd name="connsiteY26" fmla="*/ 7906 h 93249"/>
                                <a:gd name="connsiteX27" fmla="*/ 22193 w 31146"/>
                                <a:gd name="connsiteY27" fmla="*/ 11430 h 93249"/>
                                <a:gd name="connsiteX28" fmla="*/ 20574 w 31146"/>
                                <a:gd name="connsiteY28" fmla="*/ 14288 h 93249"/>
                                <a:gd name="connsiteX29" fmla="*/ 17812 w 31146"/>
                                <a:gd name="connsiteY29" fmla="*/ 16192 h 93249"/>
                                <a:gd name="connsiteX30" fmla="*/ 13811 w 31146"/>
                                <a:gd name="connsiteY30" fmla="*/ 16859 h 93249"/>
                                <a:gd name="connsiteX31" fmla="*/ 13811 w 31146"/>
                                <a:gd name="connsiteY31" fmla="*/ 16859 h 9324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Lst>
                              <a:rect l="l" t="t" r="r" b="b"/>
                              <a:pathLst>
                                <a:path w="31146" h="93249">
                                  <a:moveTo>
                                    <a:pt x="0" y="93250"/>
                                  </a:moveTo>
                                  <a:lnTo>
                                    <a:pt x="0" y="87058"/>
                                  </a:lnTo>
                                  <a:lnTo>
                                    <a:pt x="9335" y="86106"/>
                                  </a:lnTo>
                                  <a:lnTo>
                                    <a:pt x="9335" y="39052"/>
                                  </a:lnTo>
                                  <a:lnTo>
                                    <a:pt x="1429" y="36576"/>
                                  </a:lnTo>
                                  <a:lnTo>
                                    <a:pt x="1429" y="29813"/>
                                  </a:lnTo>
                                  <a:lnTo>
                                    <a:pt x="18669" y="27527"/>
                                  </a:lnTo>
                                  <a:lnTo>
                                    <a:pt x="18955" y="27527"/>
                                  </a:lnTo>
                                  <a:lnTo>
                                    <a:pt x="22003" y="29813"/>
                                  </a:lnTo>
                                  <a:lnTo>
                                    <a:pt x="22003" y="86201"/>
                                  </a:lnTo>
                                  <a:lnTo>
                                    <a:pt x="31147" y="87058"/>
                                  </a:lnTo>
                                  <a:lnTo>
                                    <a:pt x="31147" y="93250"/>
                                  </a:lnTo>
                                  <a:lnTo>
                                    <a:pt x="0" y="93250"/>
                                  </a:lnTo>
                                  <a:close/>
                                  <a:moveTo>
                                    <a:pt x="13811" y="16859"/>
                                  </a:moveTo>
                                  <a:cubicBezTo>
                                    <a:pt x="12764" y="16859"/>
                                    <a:pt x="11716" y="16669"/>
                                    <a:pt x="10858" y="16288"/>
                                  </a:cubicBezTo>
                                  <a:cubicBezTo>
                                    <a:pt x="9906" y="15907"/>
                                    <a:pt x="9144" y="15335"/>
                                    <a:pt x="8573" y="14668"/>
                                  </a:cubicBezTo>
                                  <a:cubicBezTo>
                                    <a:pt x="7906" y="14002"/>
                                    <a:pt x="7430" y="13144"/>
                                    <a:pt x="7144" y="12192"/>
                                  </a:cubicBezTo>
                                  <a:cubicBezTo>
                                    <a:pt x="6763" y="11240"/>
                                    <a:pt x="6668" y="10192"/>
                                    <a:pt x="6668" y="9144"/>
                                  </a:cubicBezTo>
                                  <a:cubicBezTo>
                                    <a:pt x="6668" y="7906"/>
                                    <a:pt x="6858" y="6763"/>
                                    <a:pt x="7239" y="5715"/>
                                  </a:cubicBezTo>
                                  <a:cubicBezTo>
                                    <a:pt x="7620" y="4667"/>
                                    <a:pt x="8096" y="3619"/>
                                    <a:pt x="8858" y="2762"/>
                                  </a:cubicBezTo>
                                  <a:cubicBezTo>
                                    <a:pt x="9525" y="1905"/>
                                    <a:pt x="10382" y="1238"/>
                                    <a:pt x="11525" y="762"/>
                                  </a:cubicBezTo>
                                  <a:cubicBezTo>
                                    <a:pt x="12573" y="286"/>
                                    <a:pt x="13811" y="0"/>
                                    <a:pt x="15145" y="0"/>
                                  </a:cubicBezTo>
                                  <a:lnTo>
                                    <a:pt x="15240" y="0"/>
                                  </a:lnTo>
                                  <a:cubicBezTo>
                                    <a:pt x="16478" y="0"/>
                                    <a:pt x="17621" y="191"/>
                                    <a:pt x="18479" y="667"/>
                                  </a:cubicBezTo>
                                  <a:cubicBezTo>
                                    <a:pt x="19431" y="1143"/>
                                    <a:pt x="20193" y="1715"/>
                                    <a:pt x="20860" y="2477"/>
                                  </a:cubicBezTo>
                                  <a:cubicBezTo>
                                    <a:pt x="21527" y="3239"/>
                                    <a:pt x="22003" y="4096"/>
                                    <a:pt x="22289" y="4953"/>
                                  </a:cubicBezTo>
                                  <a:cubicBezTo>
                                    <a:pt x="22670" y="5905"/>
                                    <a:pt x="22765" y="6858"/>
                                    <a:pt x="22765" y="7906"/>
                                  </a:cubicBezTo>
                                  <a:cubicBezTo>
                                    <a:pt x="22765" y="9144"/>
                                    <a:pt x="22574" y="10382"/>
                                    <a:pt x="22193" y="11430"/>
                                  </a:cubicBezTo>
                                  <a:cubicBezTo>
                                    <a:pt x="21812" y="12478"/>
                                    <a:pt x="21241" y="13430"/>
                                    <a:pt x="20574" y="14288"/>
                                  </a:cubicBezTo>
                                  <a:cubicBezTo>
                                    <a:pt x="19812" y="15145"/>
                                    <a:pt x="18955" y="15716"/>
                                    <a:pt x="17812" y="16192"/>
                                  </a:cubicBezTo>
                                  <a:cubicBezTo>
                                    <a:pt x="16574" y="16573"/>
                                    <a:pt x="15335" y="16859"/>
                                    <a:pt x="13811" y="16859"/>
                                  </a:cubicBezTo>
                                  <a:lnTo>
                                    <a:pt x="13811" y="16859"/>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361457784" name="Freeform: Shape 361457784"/>
                          <wps:cNvSpPr/>
                          <wps:spPr>
                            <a:xfrm>
                              <a:off x="878395" y="298037"/>
                              <a:ext cx="59531" cy="67436"/>
                            </a:xfrm>
                            <a:custGeom>
                              <a:avLst/>
                              <a:gdLst>
                                <a:gd name="connsiteX0" fmla="*/ 0 w 59531"/>
                                <a:gd name="connsiteY0" fmla="*/ 33623 h 67436"/>
                                <a:gd name="connsiteX1" fmla="*/ 2667 w 59531"/>
                                <a:gd name="connsiteY1" fmla="*/ 19336 h 67436"/>
                                <a:gd name="connsiteX2" fmla="*/ 9620 w 59531"/>
                                <a:gd name="connsiteY2" fmla="*/ 8763 h 67436"/>
                                <a:gd name="connsiteX3" fmla="*/ 19431 w 59531"/>
                                <a:gd name="connsiteY3" fmla="*/ 2191 h 67436"/>
                                <a:gd name="connsiteX4" fmla="*/ 30575 w 59531"/>
                                <a:gd name="connsiteY4" fmla="*/ 0 h 67436"/>
                                <a:gd name="connsiteX5" fmla="*/ 43815 w 59531"/>
                                <a:gd name="connsiteY5" fmla="*/ 2667 h 67436"/>
                                <a:gd name="connsiteX6" fmla="*/ 52769 w 59531"/>
                                <a:gd name="connsiteY6" fmla="*/ 9906 h 67436"/>
                                <a:gd name="connsiteX7" fmla="*/ 57912 w 59531"/>
                                <a:gd name="connsiteY7" fmla="*/ 20669 h 67436"/>
                                <a:gd name="connsiteX8" fmla="*/ 59531 w 59531"/>
                                <a:gd name="connsiteY8" fmla="*/ 33814 h 67436"/>
                                <a:gd name="connsiteX9" fmla="*/ 56864 w 59531"/>
                                <a:gd name="connsiteY9" fmla="*/ 48196 h 67436"/>
                                <a:gd name="connsiteX10" fmla="*/ 50006 w 59531"/>
                                <a:gd name="connsiteY10" fmla="*/ 58769 h 67436"/>
                                <a:gd name="connsiteX11" fmla="*/ 40291 w 59531"/>
                                <a:gd name="connsiteY11" fmla="*/ 65246 h 67436"/>
                                <a:gd name="connsiteX12" fmla="*/ 29146 w 59531"/>
                                <a:gd name="connsiteY12" fmla="*/ 67437 h 67436"/>
                                <a:gd name="connsiteX13" fmla="*/ 16002 w 59531"/>
                                <a:gd name="connsiteY13" fmla="*/ 64770 h 67436"/>
                                <a:gd name="connsiteX14" fmla="*/ 6953 w 59531"/>
                                <a:gd name="connsiteY14" fmla="*/ 57531 h 67436"/>
                                <a:gd name="connsiteX15" fmla="*/ 1810 w 59531"/>
                                <a:gd name="connsiteY15" fmla="*/ 46768 h 67436"/>
                                <a:gd name="connsiteX16" fmla="*/ 0 w 59531"/>
                                <a:gd name="connsiteY16" fmla="*/ 33623 h 67436"/>
                                <a:gd name="connsiteX17" fmla="*/ 29718 w 59531"/>
                                <a:gd name="connsiteY17" fmla="*/ 60389 h 67436"/>
                                <a:gd name="connsiteX18" fmla="*/ 41624 w 59531"/>
                                <a:gd name="connsiteY18" fmla="*/ 54007 h 67436"/>
                                <a:gd name="connsiteX19" fmla="*/ 45434 w 59531"/>
                                <a:gd name="connsiteY19" fmla="*/ 34862 h 67436"/>
                                <a:gd name="connsiteX20" fmla="*/ 44577 w 59531"/>
                                <a:gd name="connsiteY20" fmla="*/ 24003 h 67436"/>
                                <a:gd name="connsiteX21" fmla="*/ 41910 w 59531"/>
                                <a:gd name="connsiteY21" fmla="*/ 15145 h 67436"/>
                                <a:gd name="connsiteX22" fmla="*/ 37052 w 59531"/>
                                <a:gd name="connsiteY22" fmla="*/ 9239 h 67436"/>
                                <a:gd name="connsiteX23" fmla="*/ 29813 w 59531"/>
                                <a:gd name="connsiteY23" fmla="*/ 7048 h 67436"/>
                                <a:gd name="connsiteX24" fmla="*/ 17907 w 59531"/>
                                <a:gd name="connsiteY24" fmla="*/ 13430 h 67436"/>
                                <a:gd name="connsiteX25" fmla="*/ 14097 w 59531"/>
                                <a:gd name="connsiteY25" fmla="*/ 32575 h 67436"/>
                                <a:gd name="connsiteX26" fmla="*/ 14954 w 59531"/>
                                <a:gd name="connsiteY26" fmla="*/ 43434 h 67436"/>
                                <a:gd name="connsiteX27" fmla="*/ 17717 w 59531"/>
                                <a:gd name="connsiteY27" fmla="*/ 52292 h 67436"/>
                                <a:gd name="connsiteX28" fmla="*/ 22574 w 59531"/>
                                <a:gd name="connsiteY28" fmla="*/ 58293 h 67436"/>
                                <a:gd name="connsiteX29" fmla="*/ 29718 w 59531"/>
                                <a:gd name="connsiteY29" fmla="*/ 60389 h 6743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Lst>
                              <a:rect l="l" t="t" r="r" b="b"/>
                              <a:pathLst>
                                <a:path w="59531" h="67436">
                                  <a:moveTo>
                                    <a:pt x="0" y="33623"/>
                                  </a:moveTo>
                                  <a:cubicBezTo>
                                    <a:pt x="0" y="28289"/>
                                    <a:pt x="857" y="23527"/>
                                    <a:pt x="2667" y="19336"/>
                                  </a:cubicBezTo>
                                  <a:cubicBezTo>
                                    <a:pt x="4381" y="15145"/>
                                    <a:pt x="6763" y="11620"/>
                                    <a:pt x="9620" y="8763"/>
                                  </a:cubicBezTo>
                                  <a:cubicBezTo>
                                    <a:pt x="12478" y="5905"/>
                                    <a:pt x="15716" y="3715"/>
                                    <a:pt x="19431" y="2191"/>
                                  </a:cubicBezTo>
                                  <a:cubicBezTo>
                                    <a:pt x="23050" y="667"/>
                                    <a:pt x="26765" y="0"/>
                                    <a:pt x="30575" y="0"/>
                                  </a:cubicBezTo>
                                  <a:cubicBezTo>
                                    <a:pt x="35719" y="0"/>
                                    <a:pt x="40196" y="857"/>
                                    <a:pt x="43815" y="2667"/>
                                  </a:cubicBezTo>
                                  <a:cubicBezTo>
                                    <a:pt x="47434" y="4381"/>
                                    <a:pt x="50482" y="6858"/>
                                    <a:pt x="52769" y="9906"/>
                                  </a:cubicBezTo>
                                  <a:cubicBezTo>
                                    <a:pt x="55150" y="12954"/>
                                    <a:pt x="56864" y="16573"/>
                                    <a:pt x="57912" y="20669"/>
                                  </a:cubicBezTo>
                                  <a:cubicBezTo>
                                    <a:pt x="58960" y="24765"/>
                                    <a:pt x="59531" y="29146"/>
                                    <a:pt x="59531" y="33814"/>
                                  </a:cubicBezTo>
                                  <a:cubicBezTo>
                                    <a:pt x="59531" y="39243"/>
                                    <a:pt x="58674" y="44005"/>
                                    <a:pt x="56864" y="48196"/>
                                  </a:cubicBezTo>
                                  <a:cubicBezTo>
                                    <a:pt x="55150" y="52388"/>
                                    <a:pt x="52769" y="55912"/>
                                    <a:pt x="50006" y="58769"/>
                                  </a:cubicBezTo>
                                  <a:cubicBezTo>
                                    <a:pt x="47149" y="61627"/>
                                    <a:pt x="43910" y="63818"/>
                                    <a:pt x="40291" y="65246"/>
                                  </a:cubicBezTo>
                                  <a:cubicBezTo>
                                    <a:pt x="36671" y="66675"/>
                                    <a:pt x="32861" y="67437"/>
                                    <a:pt x="29146" y="67437"/>
                                  </a:cubicBezTo>
                                  <a:cubicBezTo>
                                    <a:pt x="24003" y="67437"/>
                                    <a:pt x="19621" y="66580"/>
                                    <a:pt x="16002" y="64770"/>
                                  </a:cubicBezTo>
                                  <a:cubicBezTo>
                                    <a:pt x="12382" y="63055"/>
                                    <a:pt x="9334" y="60579"/>
                                    <a:pt x="6953" y="57531"/>
                                  </a:cubicBezTo>
                                  <a:cubicBezTo>
                                    <a:pt x="4572" y="54483"/>
                                    <a:pt x="2857" y="50864"/>
                                    <a:pt x="1810" y="46768"/>
                                  </a:cubicBezTo>
                                  <a:cubicBezTo>
                                    <a:pt x="571" y="42672"/>
                                    <a:pt x="0" y="38291"/>
                                    <a:pt x="0" y="33623"/>
                                  </a:cubicBezTo>
                                  <a:close/>
                                  <a:moveTo>
                                    <a:pt x="29718" y="60389"/>
                                  </a:moveTo>
                                  <a:cubicBezTo>
                                    <a:pt x="35147" y="60389"/>
                                    <a:pt x="39052" y="58293"/>
                                    <a:pt x="41624" y="54007"/>
                                  </a:cubicBezTo>
                                  <a:cubicBezTo>
                                    <a:pt x="44196" y="49720"/>
                                    <a:pt x="45434" y="43339"/>
                                    <a:pt x="45434" y="34862"/>
                                  </a:cubicBezTo>
                                  <a:cubicBezTo>
                                    <a:pt x="45434" y="30956"/>
                                    <a:pt x="45148" y="27337"/>
                                    <a:pt x="44577" y="24003"/>
                                  </a:cubicBezTo>
                                  <a:cubicBezTo>
                                    <a:pt x="44005" y="20574"/>
                                    <a:pt x="43148" y="17621"/>
                                    <a:pt x="41910" y="15145"/>
                                  </a:cubicBezTo>
                                  <a:cubicBezTo>
                                    <a:pt x="40672" y="12668"/>
                                    <a:pt x="39052" y="10668"/>
                                    <a:pt x="37052" y="9239"/>
                                  </a:cubicBezTo>
                                  <a:cubicBezTo>
                                    <a:pt x="35052" y="7810"/>
                                    <a:pt x="32671" y="7048"/>
                                    <a:pt x="29813" y="7048"/>
                                  </a:cubicBezTo>
                                  <a:cubicBezTo>
                                    <a:pt x="24384" y="7048"/>
                                    <a:pt x="20479" y="9144"/>
                                    <a:pt x="17907" y="13430"/>
                                  </a:cubicBezTo>
                                  <a:cubicBezTo>
                                    <a:pt x="15335" y="17717"/>
                                    <a:pt x="14097" y="24098"/>
                                    <a:pt x="14097" y="32575"/>
                                  </a:cubicBezTo>
                                  <a:cubicBezTo>
                                    <a:pt x="14097" y="36481"/>
                                    <a:pt x="14383" y="40100"/>
                                    <a:pt x="14954" y="43434"/>
                                  </a:cubicBezTo>
                                  <a:cubicBezTo>
                                    <a:pt x="15526" y="46768"/>
                                    <a:pt x="16478" y="49720"/>
                                    <a:pt x="17717" y="52292"/>
                                  </a:cubicBezTo>
                                  <a:cubicBezTo>
                                    <a:pt x="18955" y="54769"/>
                                    <a:pt x="20574" y="56769"/>
                                    <a:pt x="22574" y="58293"/>
                                  </a:cubicBezTo>
                                  <a:cubicBezTo>
                                    <a:pt x="24479" y="59626"/>
                                    <a:pt x="26860" y="60389"/>
                                    <a:pt x="29718" y="60389"/>
                                  </a:cubicBez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881051036" name="Freeform: Shape 1881051036"/>
                          <wps:cNvSpPr/>
                          <wps:spPr>
                            <a:xfrm>
                              <a:off x="948213" y="298322"/>
                              <a:ext cx="69056" cy="65722"/>
                            </a:xfrm>
                            <a:custGeom>
                              <a:avLst/>
                              <a:gdLst>
                                <a:gd name="connsiteX0" fmla="*/ 381 w 69056"/>
                                <a:gd name="connsiteY0" fmla="*/ 65723 h 65722"/>
                                <a:gd name="connsiteX1" fmla="*/ 381 w 69056"/>
                                <a:gd name="connsiteY1" fmla="*/ 59531 h 65722"/>
                                <a:gd name="connsiteX2" fmla="*/ 7906 w 69056"/>
                                <a:gd name="connsiteY2" fmla="*/ 58579 h 65722"/>
                                <a:gd name="connsiteX3" fmla="*/ 7906 w 69056"/>
                                <a:gd name="connsiteY3" fmla="*/ 11525 h 65722"/>
                                <a:gd name="connsiteX4" fmla="*/ 0 w 69056"/>
                                <a:gd name="connsiteY4" fmla="*/ 9049 h 65722"/>
                                <a:gd name="connsiteX5" fmla="*/ 0 w 69056"/>
                                <a:gd name="connsiteY5" fmla="*/ 2286 h 65722"/>
                                <a:gd name="connsiteX6" fmla="*/ 16097 w 69056"/>
                                <a:gd name="connsiteY6" fmla="*/ 0 h 65722"/>
                                <a:gd name="connsiteX7" fmla="*/ 16383 w 69056"/>
                                <a:gd name="connsiteY7" fmla="*/ 0 h 65722"/>
                                <a:gd name="connsiteX8" fmla="*/ 19145 w 69056"/>
                                <a:gd name="connsiteY8" fmla="*/ 2286 h 65722"/>
                                <a:gd name="connsiteX9" fmla="*/ 19145 w 69056"/>
                                <a:gd name="connsiteY9" fmla="*/ 6668 h 65722"/>
                                <a:gd name="connsiteX10" fmla="*/ 19050 w 69056"/>
                                <a:gd name="connsiteY10" fmla="*/ 9049 h 65722"/>
                                <a:gd name="connsiteX11" fmla="*/ 23622 w 69056"/>
                                <a:gd name="connsiteY11" fmla="*/ 5715 h 65722"/>
                                <a:gd name="connsiteX12" fmla="*/ 29432 w 69056"/>
                                <a:gd name="connsiteY12" fmla="*/ 2858 h 65722"/>
                                <a:gd name="connsiteX13" fmla="*/ 35814 w 69056"/>
                                <a:gd name="connsiteY13" fmla="*/ 762 h 65722"/>
                                <a:gd name="connsiteX14" fmla="*/ 42100 w 69056"/>
                                <a:gd name="connsiteY14" fmla="*/ 0 h 65722"/>
                                <a:gd name="connsiteX15" fmla="*/ 51340 w 69056"/>
                                <a:gd name="connsiteY15" fmla="*/ 1524 h 65722"/>
                                <a:gd name="connsiteX16" fmla="*/ 57055 w 69056"/>
                                <a:gd name="connsiteY16" fmla="*/ 6286 h 65722"/>
                                <a:gd name="connsiteX17" fmla="*/ 59912 w 69056"/>
                                <a:gd name="connsiteY17" fmla="*/ 14669 h 65722"/>
                                <a:gd name="connsiteX18" fmla="*/ 60674 w 69056"/>
                                <a:gd name="connsiteY18" fmla="*/ 26860 h 65722"/>
                                <a:gd name="connsiteX19" fmla="*/ 60674 w 69056"/>
                                <a:gd name="connsiteY19" fmla="*/ 58579 h 65722"/>
                                <a:gd name="connsiteX20" fmla="*/ 69056 w 69056"/>
                                <a:gd name="connsiteY20" fmla="*/ 59531 h 65722"/>
                                <a:gd name="connsiteX21" fmla="*/ 69056 w 69056"/>
                                <a:gd name="connsiteY21" fmla="*/ 65723 h 65722"/>
                                <a:gd name="connsiteX22" fmla="*/ 40672 w 69056"/>
                                <a:gd name="connsiteY22" fmla="*/ 65723 h 65722"/>
                                <a:gd name="connsiteX23" fmla="*/ 40672 w 69056"/>
                                <a:gd name="connsiteY23" fmla="*/ 59531 h 65722"/>
                                <a:gd name="connsiteX24" fmla="*/ 48101 w 69056"/>
                                <a:gd name="connsiteY24" fmla="*/ 58579 h 65722"/>
                                <a:gd name="connsiteX25" fmla="*/ 48101 w 69056"/>
                                <a:gd name="connsiteY25" fmla="*/ 26860 h 65722"/>
                                <a:gd name="connsiteX26" fmla="*/ 47720 w 69056"/>
                                <a:gd name="connsiteY26" fmla="*/ 18955 h 65722"/>
                                <a:gd name="connsiteX27" fmla="*/ 46101 w 69056"/>
                                <a:gd name="connsiteY27" fmla="*/ 13335 h 65722"/>
                                <a:gd name="connsiteX28" fmla="*/ 42577 w 69056"/>
                                <a:gd name="connsiteY28" fmla="*/ 9906 h 65722"/>
                                <a:gd name="connsiteX29" fmla="*/ 36671 w 69056"/>
                                <a:gd name="connsiteY29" fmla="*/ 8763 h 65722"/>
                                <a:gd name="connsiteX30" fmla="*/ 28099 w 69056"/>
                                <a:gd name="connsiteY30" fmla="*/ 10287 h 65722"/>
                                <a:gd name="connsiteX31" fmla="*/ 20574 w 69056"/>
                                <a:gd name="connsiteY31" fmla="*/ 14192 h 65722"/>
                                <a:gd name="connsiteX32" fmla="*/ 20574 w 69056"/>
                                <a:gd name="connsiteY32" fmla="*/ 58579 h 65722"/>
                                <a:gd name="connsiteX33" fmla="*/ 28575 w 69056"/>
                                <a:gd name="connsiteY33" fmla="*/ 59531 h 65722"/>
                                <a:gd name="connsiteX34" fmla="*/ 28575 w 69056"/>
                                <a:gd name="connsiteY34" fmla="*/ 65723 h 65722"/>
                                <a:gd name="connsiteX35" fmla="*/ 381 w 69056"/>
                                <a:gd name="connsiteY35" fmla="*/ 65723 h 6572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Lst>
                              <a:rect l="l" t="t" r="r" b="b"/>
                              <a:pathLst>
                                <a:path w="69056" h="65722">
                                  <a:moveTo>
                                    <a:pt x="381" y="65723"/>
                                  </a:moveTo>
                                  <a:lnTo>
                                    <a:pt x="381" y="59531"/>
                                  </a:lnTo>
                                  <a:lnTo>
                                    <a:pt x="7906" y="58579"/>
                                  </a:lnTo>
                                  <a:lnTo>
                                    <a:pt x="7906" y="11525"/>
                                  </a:lnTo>
                                  <a:lnTo>
                                    <a:pt x="0" y="9049"/>
                                  </a:lnTo>
                                  <a:lnTo>
                                    <a:pt x="0" y="2286"/>
                                  </a:lnTo>
                                  <a:lnTo>
                                    <a:pt x="16097" y="0"/>
                                  </a:lnTo>
                                  <a:lnTo>
                                    <a:pt x="16383" y="0"/>
                                  </a:lnTo>
                                  <a:lnTo>
                                    <a:pt x="19145" y="2286"/>
                                  </a:lnTo>
                                  <a:lnTo>
                                    <a:pt x="19145" y="6668"/>
                                  </a:lnTo>
                                  <a:lnTo>
                                    <a:pt x="19050" y="9049"/>
                                  </a:lnTo>
                                  <a:cubicBezTo>
                                    <a:pt x="20288" y="7906"/>
                                    <a:pt x="21812" y="6858"/>
                                    <a:pt x="23622" y="5715"/>
                                  </a:cubicBezTo>
                                  <a:cubicBezTo>
                                    <a:pt x="25432" y="4667"/>
                                    <a:pt x="27432" y="3715"/>
                                    <a:pt x="29432" y="2858"/>
                                  </a:cubicBezTo>
                                  <a:cubicBezTo>
                                    <a:pt x="31528" y="2000"/>
                                    <a:pt x="33623" y="1333"/>
                                    <a:pt x="35814" y="762"/>
                                  </a:cubicBezTo>
                                  <a:cubicBezTo>
                                    <a:pt x="38005" y="191"/>
                                    <a:pt x="40100" y="0"/>
                                    <a:pt x="42100" y="0"/>
                                  </a:cubicBezTo>
                                  <a:cubicBezTo>
                                    <a:pt x="45815" y="0"/>
                                    <a:pt x="48863" y="476"/>
                                    <a:pt x="51340" y="1524"/>
                                  </a:cubicBezTo>
                                  <a:cubicBezTo>
                                    <a:pt x="53721" y="2572"/>
                                    <a:pt x="55626" y="4096"/>
                                    <a:pt x="57055" y="6286"/>
                                  </a:cubicBezTo>
                                  <a:cubicBezTo>
                                    <a:pt x="58388" y="8477"/>
                                    <a:pt x="59341" y="11240"/>
                                    <a:pt x="59912" y="14669"/>
                                  </a:cubicBezTo>
                                  <a:cubicBezTo>
                                    <a:pt x="60388" y="18002"/>
                                    <a:pt x="60674" y="22098"/>
                                    <a:pt x="60674" y="26860"/>
                                  </a:cubicBezTo>
                                  <a:lnTo>
                                    <a:pt x="60674" y="58579"/>
                                  </a:lnTo>
                                  <a:lnTo>
                                    <a:pt x="69056" y="59531"/>
                                  </a:lnTo>
                                  <a:lnTo>
                                    <a:pt x="69056" y="65723"/>
                                  </a:lnTo>
                                  <a:lnTo>
                                    <a:pt x="40672" y="65723"/>
                                  </a:lnTo>
                                  <a:lnTo>
                                    <a:pt x="40672" y="59531"/>
                                  </a:lnTo>
                                  <a:lnTo>
                                    <a:pt x="48101" y="58579"/>
                                  </a:lnTo>
                                  <a:lnTo>
                                    <a:pt x="48101" y="26860"/>
                                  </a:lnTo>
                                  <a:cubicBezTo>
                                    <a:pt x="48101" y="23813"/>
                                    <a:pt x="48006" y="21241"/>
                                    <a:pt x="47720" y="18955"/>
                                  </a:cubicBezTo>
                                  <a:cubicBezTo>
                                    <a:pt x="47434" y="16669"/>
                                    <a:pt x="46958" y="14764"/>
                                    <a:pt x="46101" y="13335"/>
                                  </a:cubicBezTo>
                                  <a:cubicBezTo>
                                    <a:pt x="45244" y="11811"/>
                                    <a:pt x="44101" y="10668"/>
                                    <a:pt x="42577" y="9906"/>
                                  </a:cubicBezTo>
                                  <a:cubicBezTo>
                                    <a:pt x="41053" y="9144"/>
                                    <a:pt x="39052" y="8763"/>
                                    <a:pt x="36671" y="8763"/>
                                  </a:cubicBezTo>
                                  <a:cubicBezTo>
                                    <a:pt x="33814" y="8763"/>
                                    <a:pt x="30956" y="9239"/>
                                    <a:pt x="28099" y="10287"/>
                                  </a:cubicBezTo>
                                  <a:cubicBezTo>
                                    <a:pt x="25241" y="11335"/>
                                    <a:pt x="22669" y="12668"/>
                                    <a:pt x="20574" y="14192"/>
                                  </a:cubicBezTo>
                                  <a:lnTo>
                                    <a:pt x="20574" y="58579"/>
                                  </a:lnTo>
                                  <a:lnTo>
                                    <a:pt x="28575" y="59531"/>
                                  </a:lnTo>
                                  <a:lnTo>
                                    <a:pt x="28575" y="65723"/>
                                  </a:lnTo>
                                  <a:lnTo>
                                    <a:pt x="381" y="65723"/>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051109488" name="Freeform: Shape 1051109488"/>
                          <wps:cNvSpPr/>
                          <wps:spPr>
                            <a:xfrm>
                              <a:off x="1025175" y="298513"/>
                              <a:ext cx="56673" cy="66960"/>
                            </a:xfrm>
                            <a:custGeom>
                              <a:avLst/>
                              <a:gdLst>
                                <a:gd name="connsiteX0" fmla="*/ 0 w 56673"/>
                                <a:gd name="connsiteY0" fmla="*/ 48577 h 66960"/>
                                <a:gd name="connsiteX1" fmla="*/ 1524 w 56673"/>
                                <a:gd name="connsiteY1" fmla="*/ 41339 h 66960"/>
                                <a:gd name="connsiteX2" fmla="*/ 5715 w 56673"/>
                                <a:gd name="connsiteY2" fmla="*/ 35719 h 66960"/>
                                <a:gd name="connsiteX3" fmla="*/ 12002 w 56673"/>
                                <a:gd name="connsiteY3" fmla="*/ 31623 h 66960"/>
                                <a:gd name="connsiteX4" fmla="*/ 19717 w 56673"/>
                                <a:gd name="connsiteY4" fmla="*/ 28861 h 66960"/>
                                <a:gd name="connsiteX5" fmla="*/ 28385 w 56673"/>
                                <a:gd name="connsiteY5" fmla="*/ 27242 h 66960"/>
                                <a:gd name="connsiteX6" fmla="*/ 37243 w 56673"/>
                                <a:gd name="connsiteY6" fmla="*/ 26575 h 66960"/>
                                <a:gd name="connsiteX7" fmla="*/ 37243 w 56673"/>
                                <a:gd name="connsiteY7" fmla="*/ 23622 h 66960"/>
                                <a:gd name="connsiteX8" fmla="*/ 36671 w 56673"/>
                                <a:gd name="connsiteY8" fmla="*/ 16954 h 66960"/>
                                <a:gd name="connsiteX9" fmla="*/ 34766 w 56673"/>
                                <a:gd name="connsiteY9" fmla="*/ 12478 h 66960"/>
                                <a:gd name="connsiteX10" fmla="*/ 31052 w 56673"/>
                                <a:gd name="connsiteY10" fmla="*/ 10001 h 66960"/>
                                <a:gd name="connsiteX11" fmla="*/ 25146 w 56673"/>
                                <a:gd name="connsiteY11" fmla="*/ 9239 h 66960"/>
                                <a:gd name="connsiteX12" fmla="*/ 19050 w 56673"/>
                                <a:gd name="connsiteY12" fmla="*/ 9811 h 66960"/>
                                <a:gd name="connsiteX13" fmla="*/ 13240 w 56673"/>
                                <a:gd name="connsiteY13" fmla="*/ 11240 h 66960"/>
                                <a:gd name="connsiteX14" fmla="*/ 8096 w 56673"/>
                                <a:gd name="connsiteY14" fmla="*/ 12954 h 66960"/>
                                <a:gd name="connsiteX15" fmla="*/ 4191 w 56673"/>
                                <a:gd name="connsiteY15" fmla="*/ 14669 h 66960"/>
                                <a:gd name="connsiteX16" fmla="*/ 4096 w 56673"/>
                                <a:gd name="connsiteY16" fmla="*/ 14669 h 66960"/>
                                <a:gd name="connsiteX17" fmla="*/ 1524 w 56673"/>
                                <a:gd name="connsiteY17" fmla="*/ 9239 h 66960"/>
                                <a:gd name="connsiteX18" fmla="*/ 5334 w 56673"/>
                                <a:gd name="connsiteY18" fmla="*/ 6668 h 66960"/>
                                <a:gd name="connsiteX19" fmla="*/ 11716 w 56673"/>
                                <a:gd name="connsiteY19" fmla="*/ 3619 h 66960"/>
                                <a:gd name="connsiteX20" fmla="*/ 19717 w 56673"/>
                                <a:gd name="connsiteY20" fmla="*/ 1048 h 66960"/>
                                <a:gd name="connsiteX21" fmla="*/ 28194 w 56673"/>
                                <a:gd name="connsiteY21" fmla="*/ 0 h 66960"/>
                                <a:gd name="connsiteX22" fmla="*/ 38195 w 56673"/>
                                <a:gd name="connsiteY22" fmla="*/ 1238 h 66960"/>
                                <a:gd name="connsiteX23" fmla="*/ 44863 w 56673"/>
                                <a:gd name="connsiteY23" fmla="*/ 5143 h 66960"/>
                                <a:gd name="connsiteX24" fmla="*/ 48482 w 56673"/>
                                <a:gd name="connsiteY24" fmla="*/ 12097 h 66960"/>
                                <a:gd name="connsiteX25" fmla="*/ 49625 w 56673"/>
                                <a:gd name="connsiteY25" fmla="*/ 22479 h 66960"/>
                                <a:gd name="connsiteX26" fmla="*/ 49625 w 56673"/>
                                <a:gd name="connsiteY26" fmla="*/ 59341 h 66960"/>
                                <a:gd name="connsiteX27" fmla="*/ 56674 w 56673"/>
                                <a:gd name="connsiteY27" fmla="*/ 59341 h 66960"/>
                                <a:gd name="connsiteX28" fmla="*/ 56674 w 56673"/>
                                <a:gd name="connsiteY28" fmla="*/ 64865 h 66960"/>
                                <a:gd name="connsiteX29" fmla="*/ 54102 w 56673"/>
                                <a:gd name="connsiteY29" fmla="*/ 65532 h 66960"/>
                                <a:gd name="connsiteX30" fmla="*/ 50959 w 56673"/>
                                <a:gd name="connsiteY30" fmla="*/ 66199 h 66960"/>
                                <a:gd name="connsiteX31" fmla="*/ 47625 w 56673"/>
                                <a:gd name="connsiteY31" fmla="*/ 66770 h 66960"/>
                                <a:gd name="connsiteX32" fmla="*/ 44387 w 56673"/>
                                <a:gd name="connsiteY32" fmla="*/ 66961 h 66960"/>
                                <a:gd name="connsiteX33" fmla="*/ 41624 w 56673"/>
                                <a:gd name="connsiteY33" fmla="*/ 66866 h 66960"/>
                                <a:gd name="connsiteX34" fmla="*/ 39719 w 56673"/>
                                <a:gd name="connsiteY34" fmla="*/ 66103 h 66960"/>
                                <a:gd name="connsiteX35" fmla="*/ 38672 w 56673"/>
                                <a:gd name="connsiteY35" fmla="*/ 64294 h 66960"/>
                                <a:gd name="connsiteX36" fmla="*/ 38291 w 56673"/>
                                <a:gd name="connsiteY36" fmla="*/ 61055 h 66960"/>
                                <a:gd name="connsiteX37" fmla="*/ 38291 w 56673"/>
                                <a:gd name="connsiteY37" fmla="*/ 58960 h 66960"/>
                                <a:gd name="connsiteX38" fmla="*/ 35909 w 56673"/>
                                <a:gd name="connsiteY38" fmla="*/ 60960 h 66960"/>
                                <a:gd name="connsiteX39" fmla="*/ 31814 w 56673"/>
                                <a:gd name="connsiteY39" fmla="*/ 63627 h 66960"/>
                                <a:gd name="connsiteX40" fmla="*/ 26289 w 56673"/>
                                <a:gd name="connsiteY40" fmla="*/ 65913 h 66960"/>
                                <a:gd name="connsiteX41" fmla="*/ 19622 w 56673"/>
                                <a:gd name="connsiteY41" fmla="*/ 66866 h 66960"/>
                                <a:gd name="connsiteX42" fmla="*/ 12192 w 56673"/>
                                <a:gd name="connsiteY42" fmla="*/ 65818 h 66960"/>
                                <a:gd name="connsiteX43" fmla="*/ 6001 w 56673"/>
                                <a:gd name="connsiteY43" fmla="*/ 62579 h 66960"/>
                                <a:gd name="connsiteX44" fmla="*/ 1715 w 56673"/>
                                <a:gd name="connsiteY44" fmla="*/ 56864 h 66960"/>
                                <a:gd name="connsiteX45" fmla="*/ 0 w 56673"/>
                                <a:gd name="connsiteY45" fmla="*/ 48577 h 66960"/>
                                <a:gd name="connsiteX46" fmla="*/ 24384 w 56673"/>
                                <a:gd name="connsiteY46" fmla="*/ 58198 h 66960"/>
                                <a:gd name="connsiteX47" fmla="*/ 27242 w 56673"/>
                                <a:gd name="connsiteY47" fmla="*/ 57912 h 66960"/>
                                <a:gd name="connsiteX48" fmla="*/ 30671 w 56673"/>
                                <a:gd name="connsiteY48" fmla="*/ 57055 h 66960"/>
                                <a:gd name="connsiteX49" fmla="*/ 34195 w 56673"/>
                                <a:gd name="connsiteY49" fmla="*/ 55626 h 66960"/>
                                <a:gd name="connsiteX50" fmla="*/ 37338 w 56673"/>
                                <a:gd name="connsiteY50" fmla="*/ 53721 h 66960"/>
                                <a:gd name="connsiteX51" fmla="*/ 37338 w 56673"/>
                                <a:gd name="connsiteY51" fmla="*/ 32956 h 66960"/>
                                <a:gd name="connsiteX52" fmla="*/ 26003 w 56673"/>
                                <a:gd name="connsiteY52" fmla="*/ 34099 h 66960"/>
                                <a:gd name="connsiteX53" fmla="*/ 18764 w 56673"/>
                                <a:gd name="connsiteY53" fmla="*/ 37243 h 66960"/>
                                <a:gd name="connsiteX54" fmla="*/ 14954 w 56673"/>
                                <a:gd name="connsiteY54" fmla="*/ 41720 h 66960"/>
                                <a:gd name="connsiteX55" fmla="*/ 13811 w 56673"/>
                                <a:gd name="connsiteY55" fmla="*/ 46958 h 66960"/>
                                <a:gd name="connsiteX56" fmla="*/ 14669 w 56673"/>
                                <a:gd name="connsiteY56" fmla="*/ 52197 h 66960"/>
                                <a:gd name="connsiteX57" fmla="*/ 16955 w 56673"/>
                                <a:gd name="connsiteY57" fmla="*/ 55721 h 66960"/>
                                <a:gd name="connsiteX58" fmla="*/ 20383 w 56673"/>
                                <a:gd name="connsiteY58" fmla="*/ 57626 h 66960"/>
                                <a:gd name="connsiteX59" fmla="*/ 24384 w 56673"/>
                                <a:gd name="connsiteY59" fmla="*/ 58198 h 6696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Lst>
                              <a:rect l="l" t="t" r="r" b="b"/>
                              <a:pathLst>
                                <a:path w="56673" h="66960">
                                  <a:moveTo>
                                    <a:pt x="0" y="48577"/>
                                  </a:moveTo>
                                  <a:cubicBezTo>
                                    <a:pt x="0" y="45910"/>
                                    <a:pt x="476" y="43434"/>
                                    <a:pt x="1524" y="41339"/>
                                  </a:cubicBezTo>
                                  <a:cubicBezTo>
                                    <a:pt x="2572" y="39243"/>
                                    <a:pt x="3905" y="37338"/>
                                    <a:pt x="5715" y="35719"/>
                                  </a:cubicBezTo>
                                  <a:cubicBezTo>
                                    <a:pt x="7525" y="34099"/>
                                    <a:pt x="9525" y="32766"/>
                                    <a:pt x="12002" y="31623"/>
                                  </a:cubicBezTo>
                                  <a:cubicBezTo>
                                    <a:pt x="14383" y="30480"/>
                                    <a:pt x="16955" y="29527"/>
                                    <a:pt x="19717" y="28861"/>
                                  </a:cubicBezTo>
                                  <a:cubicBezTo>
                                    <a:pt x="22479" y="28099"/>
                                    <a:pt x="25337" y="27623"/>
                                    <a:pt x="28385" y="27242"/>
                                  </a:cubicBezTo>
                                  <a:cubicBezTo>
                                    <a:pt x="31337" y="26860"/>
                                    <a:pt x="34385" y="26670"/>
                                    <a:pt x="37243" y="26575"/>
                                  </a:cubicBezTo>
                                  <a:lnTo>
                                    <a:pt x="37243" y="23622"/>
                                  </a:lnTo>
                                  <a:cubicBezTo>
                                    <a:pt x="37243" y="20955"/>
                                    <a:pt x="37052" y="18764"/>
                                    <a:pt x="36671" y="16954"/>
                                  </a:cubicBezTo>
                                  <a:cubicBezTo>
                                    <a:pt x="36290" y="15145"/>
                                    <a:pt x="35624" y="13621"/>
                                    <a:pt x="34766" y="12478"/>
                                  </a:cubicBezTo>
                                  <a:cubicBezTo>
                                    <a:pt x="33814" y="11335"/>
                                    <a:pt x="32576" y="10477"/>
                                    <a:pt x="31052" y="10001"/>
                                  </a:cubicBezTo>
                                  <a:cubicBezTo>
                                    <a:pt x="29528" y="9525"/>
                                    <a:pt x="27527" y="9239"/>
                                    <a:pt x="25146" y="9239"/>
                                  </a:cubicBezTo>
                                  <a:cubicBezTo>
                                    <a:pt x="23146" y="9239"/>
                                    <a:pt x="21050" y="9430"/>
                                    <a:pt x="19050" y="9811"/>
                                  </a:cubicBezTo>
                                  <a:cubicBezTo>
                                    <a:pt x="17050" y="10192"/>
                                    <a:pt x="15050" y="10668"/>
                                    <a:pt x="13240" y="11240"/>
                                  </a:cubicBezTo>
                                  <a:cubicBezTo>
                                    <a:pt x="11335" y="11811"/>
                                    <a:pt x="9620" y="12382"/>
                                    <a:pt x="8096" y="12954"/>
                                  </a:cubicBezTo>
                                  <a:cubicBezTo>
                                    <a:pt x="6572" y="13621"/>
                                    <a:pt x="5239" y="14192"/>
                                    <a:pt x="4191" y="14669"/>
                                  </a:cubicBezTo>
                                  <a:lnTo>
                                    <a:pt x="4096" y="14669"/>
                                  </a:lnTo>
                                  <a:lnTo>
                                    <a:pt x="1524" y="9239"/>
                                  </a:lnTo>
                                  <a:cubicBezTo>
                                    <a:pt x="2191" y="8573"/>
                                    <a:pt x="3524" y="7715"/>
                                    <a:pt x="5334" y="6668"/>
                                  </a:cubicBezTo>
                                  <a:cubicBezTo>
                                    <a:pt x="7144" y="5620"/>
                                    <a:pt x="9239" y="4572"/>
                                    <a:pt x="11716" y="3619"/>
                                  </a:cubicBezTo>
                                  <a:cubicBezTo>
                                    <a:pt x="14192" y="2667"/>
                                    <a:pt x="16859" y="1810"/>
                                    <a:pt x="19717" y="1048"/>
                                  </a:cubicBezTo>
                                  <a:cubicBezTo>
                                    <a:pt x="22574" y="286"/>
                                    <a:pt x="25432" y="0"/>
                                    <a:pt x="28194" y="0"/>
                                  </a:cubicBezTo>
                                  <a:cubicBezTo>
                                    <a:pt x="32195" y="0"/>
                                    <a:pt x="35528" y="381"/>
                                    <a:pt x="38195" y="1238"/>
                                  </a:cubicBezTo>
                                  <a:cubicBezTo>
                                    <a:pt x="40958" y="2095"/>
                                    <a:pt x="43148" y="3334"/>
                                    <a:pt x="44863" y="5143"/>
                                  </a:cubicBezTo>
                                  <a:cubicBezTo>
                                    <a:pt x="46577" y="6953"/>
                                    <a:pt x="47816" y="9239"/>
                                    <a:pt x="48482" y="12097"/>
                                  </a:cubicBezTo>
                                  <a:cubicBezTo>
                                    <a:pt x="49244" y="14954"/>
                                    <a:pt x="49625" y="18383"/>
                                    <a:pt x="49625" y="22479"/>
                                  </a:cubicBezTo>
                                  <a:lnTo>
                                    <a:pt x="49625" y="59341"/>
                                  </a:lnTo>
                                  <a:lnTo>
                                    <a:pt x="56674" y="59341"/>
                                  </a:lnTo>
                                  <a:lnTo>
                                    <a:pt x="56674" y="64865"/>
                                  </a:lnTo>
                                  <a:cubicBezTo>
                                    <a:pt x="55912" y="65056"/>
                                    <a:pt x="55055" y="65246"/>
                                    <a:pt x="54102" y="65532"/>
                                  </a:cubicBezTo>
                                  <a:cubicBezTo>
                                    <a:pt x="53054" y="65818"/>
                                    <a:pt x="52102" y="66008"/>
                                    <a:pt x="50959" y="66199"/>
                                  </a:cubicBezTo>
                                  <a:cubicBezTo>
                                    <a:pt x="49911" y="66389"/>
                                    <a:pt x="48768" y="66580"/>
                                    <a:pt x="47625" y="66770"/>
                                  </a:cubicBezTo>
                                  <a:cubicBezTo>
                                    <a:pt x="46482" y="66961"/>
                                    <a:pt x="45434" y="66961"/>
                                    <a:pt x="44387" y="66961"/>
                                  </a:cubicBezTo>
                                  <a:cubicBezTo>
                                    <a:pt x="43339" y="66961"/>
                                    <a:pt x="42386" y="66961"/>
                                    <a:pt x="41624" y="66866"/>
                                  </a:cubicBezTo>
                                  <a:cubicBezTo>
                                    <a:pt x="40862" y="66770"/>
                                    <a:pt x="40196" y="66484"/>
                                    <a:pt x="39719" y="66103"/>
                                  </a:cubicBezTo>
                                  <a:cubicBezTo>
                                    <a:pt x="39243" y="65723"/>
                                    <a:pt x="38862" y="65151"/>
                                    <a:pt x="38672" y="64294"/>
                                  </a:cubicBezTo>
                                  <a:cubicBezTo>
                                    <a:pt x="38386" y="63532"/>
                                    <a:pt x="38291" y="62389"/>
                                    <a:pt x="38291" y="61055"/>
                                  </a:cubicBezTo>
                                  <a:lnTo>
                                    <a:pt x="38291" y="58960"/>
                                  </a:lnTo>
                                  <a:cubicBezTo>
                                    <a:pt x="37814" y="59436"/>
                                    <a:pt x="36957" y="60103"/>
                                    <a:pt x="35909" y="60960"/>
                                  </a:cubicBezTo>
                                  <a:cubicBezTo>
                                    <a:pt x="34766" y="61817"/>
                                    <a:pt x="33433" y="62770"/>
                                    <a:pt x="31814" y="63627"/>
                                  </a:cubicBezTo>
                                  <a:cubicBezTo>
                                    <a:pt x="30194" y="64484"/>
                                    <a:pt x="28385" y="65246"/>
                                    <a:pt x="26289" y="65913"/>
                                  </a:cubicBezTo>
                                  <a:cubicBezTo>
                                    <a:pt x="24194" y="66580"/>
                                    <a:pt x="22003" y="66866"/>
                                    <a:pt x="19622" y="66866"/>
                                  </a:cubicBezTo>
                                  <a:cubicBezTo>
                                    <a:pt x="17050" y="66866"/>
                                    <a:pt x="14573" y="66484"/>
                                    <a:pt x="12192" y="65818"/>
                                  </a:cubicBezTo>
                                  <a:cubicBezTo>
                                    <a:pt x="9811" y="65151"/>
                                    <a:pt x="7810" y="64008"/>
                                    <a:pt x="6001" y="62579"/>
                                  </a:cubicBezTo>
                                  <a:cubicBezTo>
                                    <a:pt x="4191" y="61150"/>
                                    <a:pt x="2762" y="59246"/>
                                    <a:pt x="1715" y="56864"/>
                                  </a:cubicBezTo>
                                  <a:cubicBezTo>
                                    <a:pt x="572" y="54578"/>
                                    <a:pt x="0" y="51816"/>
                                    <a:pt x="0" y="48577"/>
                                  </a:cubicBezTo>
                                  <a:close/>
                                  <a:moveTo>
                                    <a:pt x="24384" y="58198"/>
                                  </a:moveTo>
                                  <a:cubicBezTo>
                                    <a:pt x="25146" y="58198"/>
                                    <a:pt x="26099" y="58102"/>
                                    <a:pt x="27242" y="57912"/>
                                  </a:cubicBezTo>
                                  <a:cubicBezTo>
                                    <a:pt x="28289" y="57722"/>
                                    <a:pt x="29432" y="57436"/>
                                    <a:pt x="30671" y="57055"/>
                                  </a:cubicBezTo>
                                  <a:cubicBezTo>
                                    <a:pt x="31814" y="56674"/>
                                    <a:pt x="32956" y="56198"/>
                                    <a:pt x="34195" y="55626"/>
                                  </a:cubicBezTo>
                                  <a:cubicBezTo>
                                    <a:pt x="35433" y="55054"/>
                                    <a:pt x="36385" y="54483"/>
                                    <a:pt x="37338" y="53721"/>
                                  </a:cubicBezTo>
                                  <a:lnTo>
                                    <a:pt x="37338" y="32956"/>
                                  </a:lnTo>
                                  <a:cubicBezTo>
                                    <a:pt x="32861" y="32956"/>
                                    <a:pt x="29051" y="33338"/>
                                    <a:pt x="26003" y="34099"/>
                                  </a:cubicBezTo>
                                  <a:cubicBezTo>
                                    <a:pt x="22955" y="34862"/>
                                    <a:pt x="20574" y="35909"/>
                                    <a:pt x="18764" y="37243"/>
                                  </a:cubicBezTo>
                                  <a:cubicBezTo>
                                    <a:pt x="16955" y="38576"/>
                                    <a:pt x="15716" y="40005"/>
                                    <a:pt x="14954" y="41720"/>
                                  </a:cubicBezTo>
                                  <a:cubicBezTo>
                                    <a:pt x="14192" y="43339"/>
                                    <a:pt x="13811" y="45149"/>
                                    <a:pt x="13811" y="46958"/>
                                  </a:cubicBezTo>
                                  <a:cubicBezTo>
                                    <a:pt x="13811" y="49054"/>
                                    <a:pt x="14097" y="50768"/>
                                    <a:pt x="14669" y="52197"/>
                                  </a:cubicBezTo>
                                  <a:cubicBezTo>
                                    <a:pt x="15240" y="53626"/>
                                    <a:pt x="16002" y="54769"/>
                                    <a:pt x="16955" y="55721"/>
                                  </a:cubicBezTo>
                                  <a:cubicBezTo>
                                    <a:pt x="17907" y="56578"/>
                                    <a:pt x="19050" y="57245"/>
                                    <a:pt x="20383" y="57626"/>
                                  </a:cubicBezTo>
                                  <a:cubicBezTo>
                                    <a:pt x="21527" y="58007"/>
                                    <a:pt x="22860" y="58198"/>
                                    <a:pt x="24384" y="58198"/>
                                  </a:cubicBez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42886979" name="Freeform: Shape 142886979"/>
                          <wps:cNvSpPr/>
                          <wps:spPr>
                            <a:xfrm>
                              <a:off x="1089088" y="269176"/>
                              <a:ext cx="31718" cy="94869"/>
                            </a:xfrm>
                            <a:custGeom>
                              <a:avLst/>
                              <a:gdLst>
                                <a:gd name="connsiteX0" fmla="*/ 0 w 31718"/>
                                <a:gd name="connsiteY0" fmla="*/ 94869 h 94869"/>
                                <a:gd name="connsiteX1" fmla="*/ 0 w 31718"/>
                                <a:gd name="connsiteY1" fmla="*/ 88678 h 94869"/>
                                <a:gd name="connsiteX2" fmla="*/ 9335 w 31718"/>
                                <a:gd name="connsiteY2" fmla="*/ 87725 h 94869"/>
                                <a:gd name="connsiteX3" fmla="*/ 9335 w 31718"/>
                                <a:gd name="connsiteY3" fmla="*/ 8954 h 94869"/>
                                <a:gd name="connsiteX4" fmla="*/ 0 w 31718"/>
                                <a:gd name="connsiteY4" fmla="*/ 7906 h 94869"/>
                                <a:gd name="connsiteX5" fmla="*/ 0 w 31718"/>
                                <a:gd name="connsiteY5" fmla="*/ 2572 h 94869"/>
                                <a:gd name="connsiteX6" fmla="*/ 18955 w 31718"/>
                                <a:gd name="connsiteY6" fmla="*/ 0 h 94869"/>
                                <a:gd name="connsiteX7" fmla="*/ 19050 w 31718"/>
                                <a:gd name="connsiteY7" fmla="*/ 0 h 94869"/>
                                <a:gd name="connsiteX8" fmla="*/ 21908 w 31718"/>
                                <a:gd name="connsiteY8" fmla="*/ 2000 h 94869"/>
                                <a:gd name="connsiteX9" fmla="*/ 21908 w 31718"/>
                                <a:gd name="connsiteY9" fmla="*/ 87725 h 94869"/>
                                <a:gd name="connsiteX10" fmla="*/ 31718 w 31718"/>
                                <a:gd name="connsiteY10" fmla="*/ 88678 h 94869"/>
                                <a:gd name="connsiteX11" fmla="*/ 31718 w 31718"/>
                                <a:gd name="connsiteY11" fmla="*/ 94869 h 94869"/>
                                <a:gd name="connsiteX12" fmla="*/ 0 w 31718"/>
                                <a:gd name="connsiteY12" fmla="*/ 94869 h 9486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31718" h="94869">
                                  <a:moveTo>
                                    <a:pt x="0" y="94869"/>
                                  </a:moveTo>
                                  <a:lnTo>
                                    <a:pt x="0" y="88678"/>
                                  </a:lnTo>
                                  <a:lnTo>
                                    <a:pt x="9335" y="87725"/>
                                  </a:lnTo>
                                  <a:lnTo>
                                    <a:pt x="9335" y="8954"/>
                                  </a:lnTo>
                                  <a:lnTo>
                                    <a:pt x="0" y="7906"/>
                                  </a:lnTo>
                                  <a:lnTo>
                                    <a:pt x="0" y="2572"/>
                                  </a:lnTo>
                                  <a:lnTo>
                                    <a:pt x="18955" y="0"/>
                                  </a:lnTo>
                                  <a:lnTo>
                                    <a:pt x="19050" y="0"/>
                                  </a:lnTo>
                                  <a:lnTo>
                                    <a:pt x="21908" y="2000"/>
                                  </a:lnTo>
                                  <a:lnTo>
                                    <a:pt x="21908" y="87725"/>
                                  </a:lnTo>
                                  <a:lnTo>
                                    <a:pt x="31718" y="88678"/>
                                  </a:lnTo>
                                  <a:lnTo>
                                    <a:pt x="31718" y="94869"/>
                                  </a:lnTo>
                                  <a:lnTo>
                                    <a:pt x="0" y="94869"/>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09324080" name="Freeform: Shape 109324080"/>
                          <wps:cNvSpPr/>
                          <wps:spPr>
                            <a:xfrm>
                              <a:off x="1166145" y="269367"/>
                              <a:ext cx="62864" cy="96297"/>
                            </a:xfrm>
                            <a:custGeom>
                              <a:avLst/>
                              <a:gdLst>
                                <a:gd name="connsiteX0" fmla="*/ 25336 w 62864"/>
                                <a:gd name="connsiteY0" fmla="*/ 96012 h 96297"/>
                                <a:gd name="connsiteX1" fmla="*/ 15716 w 62864"/>
                                <a:gd name="connsiteY1" fmla="*/ 94107 h 96297"/>
                                <a:gd name="connsiteX2" fmla="*/ 7620 w 62864"/>
                                <a:gd name="connsiteY2" fmla="*/ 88202 h 96297"/>
                                <a:gd name="connsiteX3" fmla="*/ 2096 w 62864"/>
                                <a:gd name="connsiteY3" fmla="*/ 78295 h 96297"/>
                                <a:gd name="connsiteX4" fmla="*/ 0 w 62864"/>
                                <a:gd name="connsiteY4" fmla="*/ 64198 h 96297"/>
                                <a:gd name="connsiteX5" fmla="*/ 2286 w 62864"/>
                                <a:gd name="connsiteY5" fmla="*/ 50292 h 96297"/>
                                <a:gd name="connsiteX6" fmla="*/ 8858 w 62864"/>
                                <a:gd name="connsiteY6" fmla="*/ 39053 h 96297"/>
                                <a:gd name="connsiteX7" fmla="*/ 19240 w 62864"/>
                                <a:gd name="connsiteY7" fmla="*/ 31528 h 96297"/>
                                <a:gd name="connsiteX8" fmla="*/ 33052 w 62864"/>
                                <a:gd name="connsiteY8" fmla="*/ 28861 h 96297"/>
                                <a:gd name="connsiteX9" fmla="*/ 38386 w 62864"/>
                                <a:gd name="connsiteY9" fmla="*/ 29146 h 96297"/>
                                <a:gd name="connsiteX10" fmla="*/ 43434 w 62864"/>
                                <a:gd name="connsiteY10" fmla="*/ 29908 h 96297"/>
                                <a:gd name="connsiteX11" fmla="*/ 43434 w 62864"/>
                                <a:gd name="connsiteY11" fmla="*/ 8858 h 96297"/>
                                <a:gd name="connsiteX12" fmla="*/ 32290 w 62864"/>
                                <a:gd name="connsiteY12" fmla="*/ 7810 h 96297"/>
                                <a:gd name="connsiteX13" fmla="*/ 32290 w 62864"/>
                                <a:gd name="connsiteY13" fmla="*/ 2477 h 96297"/>
                                <a:gd name="connsiteX14" fmla="*/ 52959 w 62864"/>
                                <a:gd name="connsiteY14" fmla="*/ 0 h 96297"/>
                                <a:gd name="connsiteX15" fmla="*/ 53245 w 62864"/>
                                <a:gd name="connsiteY15" fmla="*/ 0 h 96297"/>
                                <a:gd name="connsiteX16" fmla="*/ 56102 w 62864"/>
                                <a:gd name="connsiteY16" fmla="*/ 2000 h 96297"/>
                                <a:gd name="connsiteX17" fmla="*/ 56102 w 62864"/>
                                <a:gd name="connsiteY17" fmla="*/ 88202 h 96297"/>
                                <a:gd name="connsiteX18" fmla="*/ 62865 w 62864"/>
                                <a:gd name="connsiteY18" fmla="*/ 88202 h 96297"/>
                                <a:gd name="connsiteX19" fmla="*/ 62865 w 62864"/>
                                <a:gd name="connsiteY19" fmla="*/ 94202 h 96297"/>
                                <a:gd name="connsiteX20" fmla="*/ 57340 w 62864"/>
                                <a:gd name="connsiteY20" fmla="*/ 95536 h 96297"/>
                                <a:gd name="connsiteX21" fmla="*/ 50578 w 62864"/>
                                <a:gd name="connsiteY21" fmla="*/ 96298 h 96297"/>
                                <a:gd name="connsiteX22" fmla="*/ 47911 w 62864"/>
                                <a:gd name="connsiteY22" fmla="*/ 96107 h 96297"/>
                                <a:gd name="connsiteX23" fmla="*/ 46006 w 62864"/>
                                <a:gd name="connsiteY23" fmla="*/ 95250 h 96297"/>
                                <a:gd name="connsiteX24" fmla="*/ 44863 w 62864"/>
                                <a:gd name="connsiteY24" fmla="*/ 93440 h 96297"/>
                                <a:gd name="connsiteX25" fmla="*/ 44482 w 62864"/>
                                <a:gd name="connsiteY25" fmla="*/ 90297 h 96297"/>
                                <a:gd name="connsiteX26" fmla="*/ 44482 w 62864"/>
                                <a:gd name="connsiteY26" fmla="*/ 87820 h 96297"/>
                                <a:gd name="connsiteX27" fmla="*/ 41053 w 62864"/>
                                <a:gd name="connsiteY27" fmla="*/ 90868 h 96297"/>
                                <a:gd name="connsiteX28" fmla="*/ 36767 w 62864"/>
                                <a:gd name="connsiteY28" fmla="*/ 93535 h 96297"/>
                                <a:gd name="connsiteX29" fmla="*/ 31528 w 62864"/>
                                <a:gd name="connsiteY29" fmla="*/ 95440 h 96297"/>
                                <a:gd name="connsiteX30" fmla="*/ 25336 w 62864"/>
                                <a:gd name="connsiteY30" fmla="*/ 96012 h 96297"/>
                                <a:gd name="connsiteX31" fmla="*/ 30575 w 62864"/>
                                <a:gd name="connsiteY31" fmla="*/ 87344 h 96297"/>
                                <a:gd name="connsiteX32" fmla="*/ 34766 w 62864"/>
                                <a:gd name="connsiteY32" fmla="*/ 86773 h 96297"/>
                                <a:gd name="connsiteX33" fmla="*/ 38386 w 62864"/>
                                <a:gd name="connsiteY33" fmla="*/ 85344 h 96297"/>
                                <a:gd name="connsiteX34" fmla="*/ 41338 w 62864"/>
                                <a:gd name="connsiteY34" fmla="*/ 83439 h 96297"/>
                                <a:gd name="connsiteX35" fmla="*/ 43529 w 62864"/>
                                <a:gd name="connsiteY35" fmla="*/ 81534 h 96297"/>
                                <a:gd name="connsiteX36" fmla="*/ 43529 w 62864"/>
                                <a:gd name="connsiteY36" fmla="*/ 38671 h 96297"/>
                                <a:gd name="connsiteX37" fmla="*/ 42100 w 62864"/>
                                <a:gd name="connsiteY37" fmla="*/ 37338 h 96297"/>
                                <a:gd name="connsiteX38" fmla="*/ 39529 w 62864"/>
                                <a:gd name="connsiteY38" fmla="*/ 36195 h 96297"/>
                                <a:gd name="connsiteX39" fmla="*/ 36195 w 62864"/>
                                <a:gd name="connsiteY39" fmla="*/ 35433 h 96297"/>
                                <a:gd name="connsiteX40" fmla="*/ 32385 w 62864"/>
                                <a:gd name="connsiteY40" fmla="*/ 35147 h 96297"/>
                                <a:gd name="connsiteX41" fmla="*/ 25241 w 62864"/>
                                <a:gd name="connsiteY41" fmla="*/ 36576 h 96297"/>
                                <a:gd name="connsiteX42" fmla="*/ 19431 w 62864"/>
                                <a:gd name="connsiteY42" fmla="*/ 41243 h 96297"/>
                                <a:gd name="connsiteX43" fmla="*/ 15431 w 62864"/>
                                <a:gd name="connsiteY43" fmla="*/ 49530 h 96297"/>
                                <a:gd name="connsiteX44" fmla="*/ 13811 w 62864"/>
                                <a:gd name="connsiteY44" fmla="*/ 62008 h 96297"/>
                                <a:gd name="connsiteX45" fmla="*/ 14954 w 62864"/>
                                <a:gd name="connsiteY45" fmla="*/ 73438 h 96297"/>
                                <a:gd name="connsiteX46" fmla="*/ 18479 w 62864"/>
                                <a:gd name="connsiteY46" fmla="*/ 81343 h 96297"/>
                                <a:gd name="connsiteX47" fmla="*/ 23908 w 62864"/>
                                <a:gd name="connsiteY47" fmla="*/ 85915 h 96297"/>
                                <a:gd name="connsiteX48" fmla="*/ 30575 w 62864"/>
                                <a:gd name="connsiteY48" fmla="*/ 87344 h 9629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Lst>
                              <a:rect l="l" t="t" r="r" b="b"/>
                              <a:pathLst>
                                <a:path w="62864" h="96297">
                                  <a:moveTo>
                                    <a:pt x="25336" y="96012"/>
                                  </a:moveTo>
                                  <a:cubicBezTo>
                                    <a:pt x="22003" y="96012"/>
                                    <a:pt x="18764" y="95345"/>
                                    <a:pt x="15716" y="94107"/>
                                  </a:cubicBezTo>
                                  <a:cubicBezTo>
                                    <a:pt x="12668" y="92774"/>
                                    <a:pt x="10001" y="90868"/>
                                    <a:pt x="7620" y="88202"/>
                                  </a:cubicBezTo>
                                  <a:cubicBezTo>
                                    <a:pt x="5334" y="85534"/>
                                    <a:pt x="3429" y="82296"/>
                                    <a:pt x="2096" y="78295"/>
                                  </a:cubicBezTo>
                                  <a:cubicBezTo>
                                    <a:pt x="762" y="74295"/>
                                    <a:pt x="0" y="69628"/>
                                    <a:pt x="0" y="64198"/>
                                  </a:cubicBezTo>
                                  <a:cubicBezTo>
                                    <a:pt x="0" y="59245"/>
                                    <a:pt x="762" y="54578"/>
                                    <a:pt x="2286" y="50292"/>
                                  </a:cubicBezTo>
                                  <a:cubicBezTo>
                                    <a:pt x="3810" y="46006"/>
                                    <a:pt x="6001" y="42196"/>
                                    <a:pt x="8858" y="39053"/>
                                  </a:cubicBezTo>
                                  <a:cubicBezTo>
                                    <a:pt x="11716" y="35909"/>
                                    <a:pt x="15240" y="33338"/>
                                    <a:pt x="19240" y="31528"/>
                                  </a:cubicBezTo>
                                  <a:cubicBezTo>
                                    <a:pt x="23336" y="29718"/>
                                    <a:pt x="27908" y="28861"/>
                                    <a:pt x="33052" y="28861"/>
                                  </a:cubicBezTo>
                                  <a:cubicBezTo>
                                    <a:pt x="34861" y="28861"/>
                                    <a:pt x="36671" y="28956"/>
                                    <a:pt x="38386" y="29146"/>
                                  </a:cubicBezTo>
                                  <a:cubicBezTo>
                                    <a:pt x="40100" y="29337"/>
                                    <a:pt x="41815" y="29623"/>
                                    <a:pt x="43434" y="29908"/>
                                  </a:cubicBezTo>
                                  <a:lnTo>
                                    <a:pt x="43434" y="8858"/>
                                  </a:lnTo>
                                  <a:lnTo>
                                    <a:pt x="32290" y="7810"/>
                                  </a:lnTo>
                                  <a:lnTo>
                                    <a:pt x="32290" y="2477"/>
                                  </a:lnTo>
                                  <a:lnTo>
                                    <a:pt x="52959" y="0"/>
                                  </a:lnTo>
                                  <a:lnTo>
                                    <a:pt x="53245" y="0"/>
                                  </a:lnTo>
                                  <a:lnTo>
                                    <a:pt x="56102" y="2000"/>
                                  </a:lnTo>
                                  <a:lnTo>
                                    <a:pt x="56102" y="88202"/>
                                  </a:lnTo>
                                  <a:lnTo>
                                    <a:pt x="62865" y="88202"/>
                                  </a:lnTo>
                                  <a:lnTo>
                                    <a:pt x="62865" y="94202"/>
                                  </a:lnTo>
                                  <a:cubicBezTo>
                                    <a:pt x="61246" y="94583"/>
                                    <a:pt x="59436" y="95059"/>
                                    <a:pt x="57340" y="95536"/>
                                  </a:cubicBezTo>
                                  <a:cubicBezTo>
                                    <a:pt x="55245" y="96012"/>
                                    <a:pt x="52959" y="96298"/>
                                    <a:pt x="50578" y="96298"/>
                                  </a:cubicBezTo>
                                  <a:cubicBezTo>
                                    <a:pt x="49530" y="96298"/>
                                    <a:pt x="48673" y="96203"/>
                                    <a:pt x="47911" y="96107"/>
                                  </a:cubicBezTo>
                                  <a:cubicBezTo>
                                    <a:pt x="47149" y="96012"/>
                                    <a:pt x="46482" y="95726"/>
                                    <a:pt x="46006" y="95250"/>
                                  </a:cubicBezTo>
                                  <a:cubicBezTo>
                                    <a:pt x="45434" y="94774"/>
                                    <a:pt x="45053" y="94202"/>
                                    <a:pt x="44863" y="93440"/>
                                  </a:cubicBezTo>
                                  <a:cubicBezTo>
                                    <a:pt x="44577" y="92678"/>
                                    <a:pt x="44482" y="91631"/>
                                    <a:pt x="44482" y="90297"/>
                                  </a:cubicBezTo>
                                  <a:lnTo>
                                    <a:pt x="44482" y="87820"/>
                                  </a:lnTo>
                                  <a:cubicBezTo>
                                    <a:pt x="43529" y="88868"/>
                                    <a:pt x="42386" y="89821"/>
                                    <a:pt x="41053" y="90868"/>
                                  </a:cubicBezTo>
                                  <a:cubicBezTo>
                                    <a:pt x="39815" y="91916"/>
                                    <a:pt x="38386" y="92774"/>
                                    <a:pt x="36767" y="93535"/>
                                  </a:cubicBezTo>
                                  <a:cubicBezTo>
                                    <a:pt x="35147" y="94298"/>
                                    <a:pt x="33433" y="94964"/>
                                    <a:pt x="31528" y="95440"/>
                                  </a:cubicBezTo>
                                  <a:cubicBezTo>
                                    <a:pt x="29527" y="95726"/>
                                    <a:pt x="27527" y="96012"/>
                                    <a:pt x="25336" y="96012"/>
                                  </a:cubicBezTo>
                                  <a:close/>
                                  <a:moveTo>
                                    <a:pt x="30575" y="87344"/>
                                  </a:moveTo>
                                  <a:cubicBezTo>
                                    <a:pt x="32099" y="87344"/>
                                    <a:pt x="33528" y="87154"/>
                                    <a:pt x="34766" y="86773"/>
                                  </a:cubicBezTo>
                                  <a:cubicBezTo>
                                    <a:pt x="36100" y="86392"/>
                                    <a:pt x="37243" y="85915"/>
                                    <a:pt x="38386" y="85344"/>
                                  </a:cubicBezTo>
                                  <a:cubicBezTo>
                                    <a:pt x="39433" y="84773"/>
                                    <a:pt x="40481" y="84201"/>
                                    <a:pt x="41338" y="83439"/>
                                  </a:cubicBezTo>
                                  <a:cubicBezTo>
                                    <a:pt x="42196" y="82772"/>
                                    <a:pt x="42958" y="82106"/>
                                    <a:pt x="43529" y="81534"/>
                                  </a:cubicBezTo>
                                  <a:lnTo>
                                    <a:pt x="43529" y="38671"/>
                                  </a:lnTo>
                                  <a:cubicBezTo>
                                    <a:pt x="43244" y="38195"/>
                                    <a:pt x="42767" y="37814"/>
                                    <a:pt x="42100" y="37338"/>
                                  </a:cubicBezTo>
                                  <a:cubicBezTo>
                                    <a:pt x="41434" y="36862"/>
                                    <a:pt x="40577" y="36481"/>
                                    <a:pt x="39529" y="36195"/>
                                  </a:cubicBezTo>
                                  <a:cubicBezTo>
                                    <a:pt x="38481" y="35814"/>
                                    <a:pt x="37433" y="35623"/>
                                    <a:pt x="36195" y="35433"/>
                                  </a:cubicBezTo>
                                  <a:cubicBezTo>
                                    <a:pt x="34957" y="35242"/>
                                    <a:pt x="33719" y="35147"/>
                                    <a:pt x="32385" y="35147"/>
                                  </a:cubicBezTo>
                                  <a:cubicBezTo>
                                    <a:pt x="29813" y="35147"/>
                                    <a:pt x="27527" y="35623"/>
                                    <a:pt x="25241" y="36576"/>
                                  </a:cubicBezTo>
                                  <a:cubicBezTo>
                                    <a:pt x="22955" y="37529"/>
                                    <a:pt x="21050" y="39053"/>
                                    <a:pt x="19431" y="41243"/>
                                  </a:cubicBezTo>
                                  <a:cubicBezTo>
                                    <a:pt x="17717" y="43339"/>
                                    <a:pt x="16383" y="46101"/>
                                    <a:pt x="15431" y="49530"/>
                                  </a:cubicBezTo>
                                  <a:cubicBezTo>
                                    <a:pt x="14478" y="52959"/>
                                    <a:pt x="13906" y="57055"/>
                                    <a:pt x="13811" y="62008"/>
                                  </a:cubicBezTo>
                                  <a:cubicBezTo>
                                    <a:pt x="13716" y="66389"/>
                                    <a:pt x="14097" y="70199"/>
                                    <a:pt x="14954" y="73438"/>
                                  </a:cubicBezTo>
                                  <a:cubicBezTo>
                                    <a:pt x="15811" y="76581"/>
                                    <a:pt x="16954" y="79248"/>
                                    <a:pt x="18479" y="81343"/>
                                  </a:cubicBezTo>
                                  <a:cubicBezTo>
                                    <a:pt x="20002" y="83439"/>
                                    <a:pt x="21812" y="84963"/>
                                    <a:pt x="23908" y="85915"/>
                                  </a:cubicBezTo>
                                  <a:cubicBezTo>
                                    <a:pt x="26003" y="86868"/>
                                    <a:pt x="28194" y="87344"/>
                                    <a:pt x="30575" y="87344"/>
                                  </a:cubicBez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090113306" name="Freeform: Shape 1090113306"/>
                          <wps:cNvSpPr/>
                          <wps:spPr>
                            <a:xfrm>
                              <a:off x="1237869" y="297942"/>
                              <a:ext cx="53244" cy="67436"/>
                            </a:xfrm>
                            <a:custGeom>
                              <a:avLst/>
                              <a:gdLst>
                                <a:gd name="connsiteX0" fmla="*/ 28861 w 53244"/>
                                <a:gd name="connsiteY0" fmla="*/ 67437 h 67436"/>
                                <a:gd name="connsiteX1" fmla="*/ 16288 w 53244"/>
                                <a:gd name="connsiteY1" fmla="*/ 64960 h 67436"/>
                                <a:gd name="connsiteX2" fmla="*/ 7239 w 53244"/>
                                <a:gd name="connsiteY2" fmla="*/ 58007 h 67436"/>
                                <a:gd name="connsiteX3" fmla="*/ 1810 w 53244"/>
                                <a:gd name="connsiteY3" fmla="*/ 47339 h 67436"/>
                                <a:gd name="connsiteX4" fmla="*/ 0 w 53244"/>
                                <a:gd name="connsiteY4" fmla="*/ 33718 h 67436"/>
                                <a:gd name="connsiteX5" fmla="*/ 2286 w 53244"/>
                                <a:gd name="connsiteY5" fmla="*/ 20003 h 67436"/>
                                <a:gd name="connsiteX6" fmla="*/ 8572 w 53244"/>
                                <a:gd name="connsiteY6" fmla="*/ 9334 h 67436"/>
                                <a:gd name="connsiteX7" fmla="*/ 18193 w 53244"/>
                                <a:gd name="connsiteY7" fmla="*/ 2477 h 67436"/>
                                <a:gd name="connsiteX8" fmla="*/ 30289 w 53244"/>
                                <a:gd name="connsiteY8" fmla="*/ 0 h 67436"/>
                                <a:gd name="connsiteX9" fmla="*/ 46863 w 53244"/>
                                <a:gd name="connsiteY9" fmla="*/ 5810 h 67436"/>
                                <a:gd name="connsiteX10" fmla="*/ 53245 w 53244"/>
                                <a:gd name="connsiteY10" fmla="*/ 22955 h 67436"/>
                                <a:gd name="connsiteX11" fmla="*/ 53149 w 53244"/>
                                <a:gd name="connsiteY11" fmla="*/ 29337 h 67436"/>
                                <a:gd name="connsiteX12" fmla="*/ 52578 w 53244"/>
                                <a:gd name="connsiteY12" fmla="*/ 34195 h 67436"/>
                                <a:gd name="connsiteX13" fmla="*/ 13430 w 53244"/>
                                <a:gd name="connsiteY13" fmla="*/ 34195 h 67436"/>
                                <a:gd name="connsiteX14" fmla="*/ 13430 w 53244"/>
                                <a:gd name="connsiteY14" fmla="*/ 34576 h 67436"/>
                                <a:gd name="connsiteX15" fmla="*/ 15335 w 53244"/>
                                <a:gd name="connsiteY15" fmla="*/ 45625 h 67436"/>
                                <a:gd name="connsiteX16" fmla="*/ 19621 w 53244"/>
                                <a:gd name="connsiteY16" fmla="*/ 53150 h 67436"/>
                                <a:gd name="connsiteX17" fmla="*/ 25622 w 53244"/>
                                <a:gd name="connsiteY17" fmla="*/ 57340 h 67436"/>
                                <a:gd name="connsiteX18" fmla="*/ 32671 w 53244"/>
                                <a:gd name="connsiteY18" fmla="*/ 58674 h 67436"/>
                                <a:gd name="connsiteX19" fmla="*/ 37624 w 53244"/>
                                <a:gd name="connsiteY19" fmla="*/ 58198 h 67436"/>
                                <a:gd name="connsiteX20" fmla="*/ 42386 w 53244"/>
                                <a:gd name="connsiteY20" fmla="*/ 57055 h 67436"/>
                                <a:gd name="connsiteX21" fmla="*/ 46577 w 53244"/>
                                <a:gd name="connsiteY21" fmla="*/ 55340 h 67436"/>
                                <a:gd name="connsiteX22" fmla="*/ 49720 w 53244"/>
                                <a:gd name="connsiteY22" fmla="*/ 53435 h 67436"/>
                                <a:gd name="connsiteX23" fmla="*/ 52102 w 53244"/>
                                <a:gd name="connsiteY23" fmla="*/ 58960 h 67436"/>
                                <a:gd name="connsiteX24" fmla="*/ 47911 w 53244"/>
                                <a:gd name="connsiteY24" fmla="*/ 62103 h 67436"/>
                                <a:gd name="connsiteX25" fmla="*/ 42291 w 53244"/>
                                <a:gd name="connsiteY25" fmla="*/ 64770 h 67436"/>
                                <a:gd name="connsiteX26" fmla="*/ 35719 w 53244"/>
                                <a:gd name="connsiteY26" fmla="*/ 66675 h 67436"/>
                                <a:gd name="connsiteX27" fmla="*/ 28861 w 53244"/>
                                <a:gd name="connsiteY27" fmla="*/ 67437 h 67436"/>
                                <a:gd name="connsiteX28" fmla="*/ 27527 w 53244"/>
                                <a:gd name="connsiteY28" fmla="*/ 6953 h 67436"/>
                                <a:gd name="connsiteX29" fmla="*/ 22288 w 53244"/>
                                <a:gd name="connsiteY29" fmla="*/ 7906 h 67436"/>
                                <a:gd name="connsiteX30" fmla="*/ 18002 w 53244"/>
                                <a:gd name="connsiteY30" fmla="*/ 11239 h 67436"/>
                                <a:gd name="connsiteX31" fmla="*/ 15049 w 53244"/>
                                <a:gd name="connsiteY31" fmla="*/ 17526 h 67436"/>
                                <a:gd name="connsiteX32" fmla="*/ 13621 w 53244"/>
                                <a:gd name="connsiteY32" fmla="*/ 27432 h 67436"/>
                                <a:gd name="connsiteX33" fmla="*/ 39814 w 53244"/>
                                <a:gd name="connsiteY33" fmla="*/ 27432 h 67436"/>
                                <a:gd name="connsiteX34" fmla="*/ 39910 w 53244"/>
                                <a:gd name="connsiteY34" fmla="*/ 25051 h 67436"/>
                                <a:gd name="connsiteX35" fmla="*/ 39910 w 53244"/>
                                <a:gd name="connsiteY35" fmla="*/ 22765 h 67436"/>
                                <a:gd name="connsiteX36" fmla="*/ 39243 w 53244"/>
                                <a:gd name="connsiteY36" fmla="*/ 16764 h 67436"/>
                                <a:gd name="connsiteX37" fmla="*/ 37147 w 53244"/>
                                <a:gd name="connsiteY37" fmla="*/ 11716 h 67436"/>
                                <a:gd name="connsiteX38" fmla="*/ 33338 w 53244"/>
                                <a:gd name="connsiteY38" fmla="*/ 8191 h 67436"/>
                                <a:gd name="connsiteX39" fmla="*/ 27527 w 53244"/>
                                <a:gd name="connsiteY39" fmla="*/ 6953 h 6743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Lst>
                              <a:rect l="l" t="t" r="r" b="b"/>
                              <a:pathLst>
                                <a:path w="53244" h="67436">
                                  <a:moveTo>
                                    <a:pt x="28861" y="67437"/>
                                  </a:moveTo>
                                  <a:cubicBezTo>
                                    <a:pt x="24098" y="67437"/>
                                    <a:pt x="19907" y="66580"/>
                                    <a:pt x="16288" y="64960"/>
                                  </a:cubicBezTo>
                                  <a:cubicBezTo>
                                    <a:pt x="12668" y="63341"/>
                                    <a:pt x="9715" y="60960"/>
                                    <a:pt x="7239" y="58007"/>
                                  </a:cubicBezTo>
                                  <a:cubicBezTo>
                                    <a:pt x="4858" y="55055"/>
                                    <a:pt x="3048" y="51435"/>
                                    <a:pt x="1810" y="47339"/>
                                  </a:cubicBezTo>
                                  <a:cubicBezTo>
                                    <a:pt x="571" y="43243"/>
                                    <a:pt x="0" y="38671"/>
                                    <a:pt x="0" y="33718"/>
                                  </a:cubicBezTo>
                                  <a:cubicBezTo>
                                    <a:pt x="0" y="28670"/>
                                    <a:pt x="762" y="24098"/>
                                    <a:pt x="2286" y="20003"/>
                                  </a:cubicBezTo>
                                  <a:cubicBezTo>
                                    <a:pt x="3810" y="15907"/>
                                    <a:pt x="5905" y="12383"/>
                                    <a:pt x="8572" y="9334"/>
                                  </a:cubicBezTo>
                                  <a:cubicBezTo>
                                    <a:pt x="11239" y="6382"/>
                                    <a:pt x="14478" y="4096"/>
                                    <a:pt x="18193" y="2477"/>
                                  </a:cubicBezTo>
                                  <a:cubicBezTo>
                                    <a:pt x="21907" y="857"/>
                                    <a:pt x="25908" y="0"/>
                                    <a:pt x="30289" y="0"/>
                                  </a:cubicBezTo>
                                  <a:cubicBezTo>
                                    <a:pt x="37433" y="0"/>
                                    <a:pt x="42958" y="1905"/>
                                    <a:pt x="46863" y="5810"/>
                                  </a:cubicBezTo>
                                  <a:cubicBezTo>
                                    <a:pt x="50768" y="9715"/>
                                    <a:pt x="52959" y="15431"/>
                                    <a:pt x="53245" y="22955"/>
                                  </a:cubicBezTo>
                                  <a:cubicBezTo>
                                    <a:pt x="53245" y="25432"/>
                                    <a:pt x="53245" y="27527"/>
                                    <a:pt x="53149" y="29337"/>
                                  </a:cubicBezTo>
                                  <a:cubicBezTo>
                                    <a:pt x="53054" y="31147"/>
                                    <a:pt x="52864" y="32766"/>
                                    <a:pt x="52578" y="34195"/>
                                  </a:cubicBezTo>
                                  <a:lnTo>
                                    <a:pt x="13430" y="34195"/>
                                  </a:lnTo>
                                  <a:lnTo>
                                    <a:pt x="13430" y="34576"/>
                                  </a:lnTo>
                                  <a:cubicBezTo>
                                    <a:pt x="13621" y="38862"/>
                                    <a:pt x="14192" y="42577"/>
                                    <a:pt x="15335" y="45625"/>
                                  </a:cubicBezTo>
                                  <a:cubicBezTo>
                                    <a:pt x="16383" y="48673"/>
                                    <a:pt x="17812" y="51149"/>
                                    <a:pt x="19621" y="53150"/>
                                  </a:cubicBezTo>
                                  <a:cubicBezTo>
                                    <a:pt x="21431" y="55150"/>
                                    <a:pt x="23336" y="56483"/>
                                    <a:pt x="25622" y="57340"/>
                                  </a:cubicBezTo>
                                  <a:cubicBezTo>
                                    <a:pt x="27908" y="58198"/>
                                    <a:pt x="30194" y="58674"/>
                                    <a:pt x="32671" y="58674"/>
                                  </a:cubicBezTo>
                                  <a:cubicBezTo>
                                    <a:pt x="34290" y="58674"/>
                                    <a:pt x="35909" y="58483"/>
                                    <a:pt x="37624" y="58198"/>
                                  </a:cubicBezTo>
                                  <a:cubicBezTo>
                                    <a:pt x="39243" y="57912"/>
                                    <a:pt x="40862" y="57531"/>
                                    <a:pt x="42386" y="57055"/>
                                  </a:cubicBezTo>
                                  <a:cubicBezTo>
                                    <a:pt x="43910" y="56579"/>
                                    <a:pt x="45339" y="56007"/>
                                    <a:pt x="46577" y="55340"/>
                                  </a:cubicBezTo>
                                  <a:cubicBezTo>
                                    <a:pt x="47815" y="54673"/>
                                    <a:pt x="48863" y="54102"/>
                                    <a:pt x="49720" y="53435"/>
                                  </a:cubicBezTo>
                                  <a:lnTo>
                                    <a:pt x="52102" y="58960"/>
                                  </a:lnTo>
                                  <a:cubicBezTo>
                                    <a:pt x="51054" y="60008"/>
                                    <a:pt x="49625" y="61151"/>
                                    <a:pt x="47911" y="62103"/>
                                  </a:cubicBezTo>
                                  <a:cubicBezTo>
                                    <a:pt x="46196" y="63151"/>
                                    <a:pt x="44386" y="64008"/>
                                    <a:pt x="42291" y="64770"/>
                                  </a:cubicBezTo>
                                  <a:cubicBezTo>
                                    <a:pt x="40195" y="65532"/>
                                    <a:pt x="38100" y="66199"/>
                                    <a:pt x="35719" y="66675"/>
                                  </a:cubicBezTo>
                                  <a:cubicBezTo>
                                    <a:pt x="33528" y="67151"/>
                                    <a:pt x="31242" y="67437"/>
                                    <a:pt x="28861" y="67437"/>
                                  </a:cubicBezTo>
                                  <a:close/>
                                  <a:moveTo>
                                    <a:pt x="27527" y="6953"/>
                                  </a:moveTo>
                                  <a:cubicBezTo>
                                    <a:pt x="25622" y="6953"/>
                                    <a:pt x="23908" y="7239"/>
                                    <a:pt x="22288" y="7906"/>
                                  </a:cubicBezTo>
                                  <a:cubicBezTo>
                                    <a:pt x="20669" y="8572"/>
                                    <a:pt x="19240" y="9715"/>
                                    <a:pt x="18002" y="11239"/>
                                  </a:cubicBezTo>
                                  <a:cubicBezTo>
                                    <a:pt x="16764" y="12859"/>
                                    <a:pt x="15811" y="14954"/>
                                    <a:pt x="15049" y="17526"/>
                                  </a:cubicBezTo>
                                  <a:cubicBezTo>
                                    <a:pt x="14288" y="20193"/>
                                    <a:pt x="13811" y="23432"/>
                                    <a:pt x="13621" y="27432"/>
                                  </a:cubicBezTo>
                                  <a:lnTo>
                                    <a:pt x="39814" y="27432"/>
                                  </a:lnTo>
                                  <a:cubicBezTo>
                                    <a:pt x="39910" y="26670"/>
                                    <a:pt x="39910" y="25908"/>
                                    <a:pt x="39910" y="25051"/>
                                  </a:cubicBezTo>
                                  <a:cubicBezTo>
                                    <a:pt x="39910" y="24193"/>
                                    <a:pt x="39910" y="23432"/>
                                    <a:pt x="39910" y="22765"/>
                                  </a:cubicBezTo>
                                  <a:cubicBezTo>
                                    <a:pt x="39910" y="20669"/>
                                    <a:pt x="39719" y="18669"/>
                                    <a:pt x="39243" y="16764"/>
                                  </a:cubicBezTo>
                                  <a:cubicBezTo>
                                    <a:pt x="38767" y="14859"/>
                                    <a:pt x="38100" y="13144"/>
                                    <a:pt x="37147" y="11716"/>
                                  </a:cubicBezTo>
                                  <a:cubicBezTo>
                                    <a:pt x="36195" y="10287"/>
                                    <a:pt x="34861" y="9049"/>
                                    <a:pt x="33338" y="8191"/>
                                  </a:cubicBezTo>
                                  <a:cubicBezTo>
                                    <a:pt x="31718" y="7334"/>
                                    <a:pt x="29813" y="6953"/>
                                    <a:pt x="27527" y="6953"/>
                                  </a:cubicBez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323629489" name="Freeform: Shape 1323629489"/>
                          <wps:cNvSpPr/>
                          <wps:spPr>
                            <a:xfrm>
                              <a:off x="637603" y="408146"/>
                              <a:ext cx="56959" cy="88201"/>
                            </a:xfrm>
                            <a:custGeom>
                              <a:avLst/>
                              <a:gdLst>
                                <a:gd name="connsiteX0" fmla="*/ 26194 w 56959"/>
                                <a:gd name="connsiteY0" fmla="*/ 88202 h 88201"/>
                                <a:gd name="connsiteX1" fmla="*/ 16954 w 56959"/>
                                <a:gd name="connsiteY1" fmla="*/ 87440 h 88201"/>
                                <a:gd name="connsiteX2" fmla="*/ 9430 w 56959"/>
                                <a:gd name="connsiteY2" fmla="*/ 85725 h 88201"/>
                                <a:gd name="connsiteX3" fmla="*/ 3715 w 56959"/>
                                <a:gd name="connsiteY3" fmla="*/ 83915 h 88201"/>
                                <a:gd name="connsiteX4" fmla="*/ 0 w 56959"/>
                                <a:gd name="connsiteY4" fmla="*/ 82963 h 88201"/>
                                <a:gd name="connsiteX5" fmla="*/ 952 w 56959"/>
                                <a:gd name="connsiteY5" fmla="*/ 62103 h 88201"/>
                                <a:gd name="connsiteX6" fmla="*/ 8763 w 56959"/>
                                <a:gd name="connsiteY6" fmla="*/ 62103 h 88201"/>
                                <a:gd name="connsiteX7" fmla="*/ 11144 w 56959"/>
                                <a:gd name="connsiteY7" fmla="*/ 76105 h 88201"/>
                                <a:gd name="connsiteX8" fmla="*/ 13716 w 56959"/>
                                <a:gd name="connsiteY8" fmla="*/ 78105 h 88201"/>
                                <a:gd name="connsiteX9" fmla="*/ 17335 w 56959"/>
                                <a:gd name="connsiteY9" fmla="*/ 79724 h 88201"/>
                                <a:gd name="connsiteX10" fmla="*/ 21717 w 56959"/>
                                <a:gd name="connsiteY10" fmla="*/ 80867 h 88201"/>
                                <a:gd name="connsiteX11" fmla="*/ 26670 w 56959"/>
                                <a:gd name="connsiteY11" fmla="*/ 81248 h 88201"/>
                                <a:gd name="connsiteX12" fmla="*/ 39243 w 56959"/>
                                <a:gd name="connsiteY12" fmla="*/ 77534 h 88201"/>
                                <a:gd name="connsiteX13" fmla="*/ 43244 w 56959"/>
                                <a:gd name="connsiteY13" fmla="*/ 67247 h 88201"/>
                                <a:gd name="connsiteX14" fmla="*/ 41910 w 56959"/>
                                <a:gd name="connsiteY14" fmla="*/ 61246 h 88201"/>
                                <a:gd name="connsiteX15" fmla="*/ 38100 w 56959"/>
                                <a:gd name="connsiteY15" fmla="*/ 56483 h 88201"/>
                                <a:gd name="connsiteX16" fmla="*/ 32004 w 56959"/>
                                <a:gd name="connsiteY16" fmla="*/ 52483 h 88201"/>
                                <a:gd name="connsiteX17" fmla="*/ 24003 w 56959"/>
                                <a:gd name="connsiteY17" fmla="*/ 48578 h 88201"/>
                                <a:gd name="connsiteX18" fmla="*/ 16478 w 56959"/>
                                <a:gd name="connsiteY18" fmla="*/ 44768 h 88201"/>
                                <a:gd name="connsiteX19" fmla="*/ 9144 w 56959"/>
                                <a:gd name="connsiteY19" fmla="*/ 39338 h 88201"/>
                                <a:gd name="connsiteX20" fmla="*/ 3524 w 56959"/>
                                <a:gd name="connsiteY20" fmla="*/ 31909 h 88201"/>
                                <a:gd name="connsiteX21" fmla="*/ 1238 w 56959"/>
                                <a:gd name="connsiteY21" fmla="*/ 22003 h 88201"/>
                                <a:gd name="connsiteX22" fmla="*/ 3238 w 56959"/>
                                <a:gd name="connsiteY22" fmla="*/ 13145 h 88201"/>
                                <a:gd name="connsiteX23" fmla="*/ 8858 w 56959"/>
                                <a:gd name="connsiteY23" fmla="*/ 6191 h 88201"/>
                                <a:gd name="connsiteX24" fmla="*/ 17621 w 56959"/>
                                <a:gd name="connsiteY24" fmla="*/ 1619 h 88201"/>
                                <a:gd name="connsiteX25" fmla="*/ 28956 w 56959"/>
                                <a:gd name="connsiteY25" fmla="*/ 0 h 88201"/>
                                <a:gd name="connsiteX26" fmla="*/ 36385 w 56959"/>
                                <a:gd name="connsiteY26" fmla="*/ 572 h 88201"/>
                                <a:gd name="connsiteX27" fmla="*/ 42767 w 56959"/>
                                <a:gd name="connsiteY27" fmla="*/ 1810 h 88201"/>
                                <a:gd name="connsiteX28" fmla="*/ 47911 w 56959"/>
                                <a:gd name="connsiteY28" fmla="*/ 3239 h 88201"/>
                                <a:gd name="connsiteX29" fmla="*/ 51435 w 56959"/>
                                <a:gd name="connsiteY29" fmla="*/ 4191 h 88201"/>
                                <a:gd name="connsiteX30" fmla="*/ 50673 w 56959"/>
                                <a:gd name="connsiteY30" fmla="*/ 23336 h 88201"/>
                                <a:gd name="connsiteX31" fmla="*/ 43148 w 56959"/>
                                <a:gd name="connsiteY31" fmla="*/ 23336 h 88201"/>
                                <a:gd name="connsiteX32" fmla="*/ 40386 w 56959"/>
                                <a:gd name="connsiteY32" fmla="*/ 10097 h 88201"/>
                                <a:gd name="connsiteX33" fmla="*/ 38767 w 56959"/>
                                <a:gd name="connsiteY33" fmla="*/ 8954 h 88201"/>
                                <a:gd name="connsiteX34" fmla="*/ 36100 w 56959"/>
                                <a:gd name="connsiteY34" fmla="*/ 7906 h 88201"/>
                                <a:gd name="connsiteX35" fmla="*/ 32671 w 56959"/>
                                <a:gd name="connsiteY35" fmla="*/ 7144 h 88201"/>
                                <a:gd name="connsiteX36" fmla="*/ 28670 w 56959"/>
                                <a:gd name="connsiteY36" fmla="*/ 6858 h 88201"/>
                                <a:gd name="connsiteX37" fmla="*/ 17335 w 56959"/>
                                <a:gd name="connsiteY37" fmla="*/ 9811 h 88201"/>
                                <a:gd name="connsiteX38" fmla="*/ 13716 w 56959"/>
                                <a:gd name="connsiteY38" fmla="*/ 18860 h 88201"/>
                                <a:gd name="connsiteX39" fmla="*/ 14954 w 56959"/>
                                <a:gd name="connsiteY39" fmla="*/ 24575 h 88201"/>
                                <a:gd name="connsiteX40" fmla="*/ 18669 w 56959"/>
                                <a:gd name="connsiteY40" fmla="*/ 29051 h 88201"/>
                                <a:gd name="connsiteX41" fmla="*/ 24670 w 56959"/>
                                <a:gd name="connsiteY41" fmla="*/ 33052 h 88201"/>
                                <a:gd name="connsiteX42" fmla="*/ 32956 w 56959"/>
                                <a:gd name="connsiteY42" fmla="*/ 37338 h 88201"/>
                                <a:gd name="connsiteX43" fmla="*/ 41434 w 56959"/>
                                <a:gd name="connsiteY43" fmla="*/ 41815 h 88201"/>
                                <a:gd name="connsiteX44" fmla="*/ 49149 w 56959"/>
                                <a:gd name="connsiteY44" fmla="*/ 47244 h 88201"/>
                                <a:gd name="connsiteX45" fmla="*/ 54769 w 56959"/>
                                <a:gd name="connsiteY45" fmla="*/ 54197 h 88201"/>
                                <a:gd name="connsiteX46" fmla="*/ 56959 w 56959"/>
                                <a:gd name="connsiteY46" fmla="*/ 63341 h 88201"/>
                                <a:gd name="connsiteX47" fmla="*/ 54959 w 56959"/>
                                <a:gd name="connsiteY47" fmla="*/ 72200 h 88201"/>
                                <a:gd name="connsiteX48" fmla="*/ 49149 w 56959"/>
                                <a:gd name="connsiteY48" fmla="*/ 80201 h 88201"/>
                                <a:gd name="connsiteX49" fmla="*/ 39529 w 56959"/>
                                <a:gd name="connsiteY49" fmla="*/ 85916 h 88201"/>
                                <a:gd name="connsiteX50" fmla="*/ 26194 w 56959"/>
                                <a:gd name="connsiteY50" fmla="*/ 88202 h 8820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Lst>
                              <a:rect l="l" t="t" r="r" b="b"/>
                              <a:pathLst>
                                <a:path w="56959" h="88201">
                                  <a:moveTo>
                                    <a:pt x="26194" y="88202"/>
                                  </a:moveTo>
                                  <a:cubicBezTo>
                                    <a:pt x="22860" y="88202"/>
                                    <a:pt x="19717" y="87916"/>
                                    <a:pt x="16954" y="87440"/>
                                  </a:cubicBezTo>
                                  <a:cubicBezTo>
                                    <a:pt x="14192" y="86963"/>
                                    <a:pt x="11621" y="86392"/>
                                    <a:pt x="9430" y="85725"/>
                                  </a:cubicBezTo>
                                  <a:cubicBezTo>
                                    <a:pt x="7239" y="85058"/>
                                    <a:pt x="5334" y="84487"/>
                                    <a:pt x="3715" y="83915"/>
                                  </a:cubicBezTo>
                                  <a:cubicBezTo>
                                    <a:pt x="2096" y="83344"/>
                                    <a:pt x="857" y="83058"/>
                                    <a:pt x="0" y="82963"/>
                                  </a:cubicBezTo>
                                  <a:lnTo>
                                    <a:pt x="952" y="62103"/>
                                  </a:lnTo>
                                  <a:lnTo>
                                    <a:pt x="8763" y="62103"/>
                                  </a:lnTo>
                                  <a:lnTo>
                                    <a:pt x="11144" y="76105"/>
                                  </a:lnTo>
                                  <a:cubicBezTo>
                                    <a:pt x="11811" y="76867"/>
                                    <a:pt x="12668" y="77534"/>
                                    <a:pt x="13716" y="78105"/>
                                  </a:cubicBezTo>
                                  <a:cubicBezTo>
                                    <a:pt x="14764" y="78772"/>
                                    <a:pt x="16002" y="79343"/>
                                    <a:pt x="17335" y="79724"/>
                                  </a:cubicBezTo>
                                  <a:cubicBezTo>
                                    <a:pt x="18669" y="80201"/>
                                    <a:pt x="20193" y="80582"/>
                                    <a:pt x="21717" y="80867"/>
                                  </a:cubicBezTo>
                                  <a:cubicBezTo>
                                    <a:pt x="23336" y="81153"/>
                                    <a:pt x="24955" y="81248"/>
                                    <a:pt x="26670" y="81248"/>
                                  </a:cubicBezTo>
                                  <a:cubicBezTo>
                                    <a:pt x="32385" y="81248"/>
                                    <a:pt x="36576" y="80010"/>
                                    <a:pt x="39243" y="77534"/>
                                  </a:cubicBezTo>
                                  <a:cubicBezTo>
                                    <a:pt x="41910" y="75057"/>
                                    <a:pt x="43244" y="71628"/>
                                    <a:pt x="43244" y="67247"/>
                                  </a:cubicBezTo>
                                  <a:cubicBezTo>
                                    <a:pt x="43244" y="64960"/>
                                    <a:pt x="42767" y="62960"/>
                                    <a:pt x="41910" y="61246"/>
                                  </a:cubicBezTo>
                                  <a:cubicBezTo>
                                    <a:pt x="41053" y="59531"/>
                                    <a:pt x="39719" y="57912"/>
                                    <a:pt x="38100" y="56483"/>
                                  </a:cubicBezTo>
                                  <a:cubicBezTo>
                                    <a:pt x="36385" y="55055"/>
                                    <a:pt x="34385" y="53721"/>
                                    <a:pt x="32004" y="52483"/>
                                  </a:cubicBezTo>
                                  <a:cubicBezTo>
                                    <a:pt x="29623" y="51245"/>
                                    <a:pt x="26956" y="49911"/>
                                    <a:pt x="24003" y="48578"/>
                                  </a:cubicBezTo>
                                  <a:cubicBezTo>
                                    <a:pt x="21622" y="47530"/>
                                    <a:pt x="19145" y="46292"/>
                                    <a:pt x="16478" y="44768"/>
                                  </a:cubicBezTo>
                                  <a:cubicBezTo>
                                    <a:pt x="13811" y="43339"/>
                                    <a:pt x="11335" y="41529"/>
                                    <a:pt x="9144" y="39338"/>
                                  </a:cubicBezTo>
                                  <a:cubicBezTo>
                                    <a:pt x="6858" y="37243"/>
                                    <a:pt x="5048" y="34766"/>
                                    <a:pt x="3524" y="31909"/>
                                  </a:cubicBezTo>
                                  <a:cubicBezTo>
                                    <a:pt x="2000" y="29051"/>
                                    <a:pt x="1238" y="25813"/>
                                    <a:pt x="1238" y="22003"/>
                                  </a:cubicBezTo>
                                  <a:cubicBezTo>
                                    <a:pt x="1238" y="18764"/>
                                    <a:pt x="1905" y="15811"/>
                                    <a:pt x="3238" y="13145"/>
                                  </a:cubicBezTo>
                                  <a:cubicBezTo>
                                    <a:pt x="4572" y="10478"/>
                                    <a:pt x="6477" y="8096"/>
                                    <a:pt x="8858" y="6191"/>
                                  </a:cubicBezTo>
                                  <a:cubicBezTo>
                                    <a:pt x="11335" y="4191"/>
                                    <a:pt x="14192" y="2762"/>
                                    <a:pt x="17621" y="1619"/>
                                  </a:cubicBezTo>
                                  <a:cubicBezTo>
                                    <a:pt x="21050" y="572"/>
                                    <a:pt x="24860" y="0"/>
                                    <a:pt x="28956" y="0"/>
                                  </a:cubicBezTo>
                                  <a:cubicBezTo>
                                    <a:pt x="31528" y="0"/>
                                    <a:pt x="34004" y="191"/>
                                    <a:pt x="36385" y="572"/>
                                  </a:cubicBezTo>
                                  <a:cubicBezTo>
                                    <a:pt x="38767" y="953"/>
                                    <a:pt x="40862" y="1334"/>
                                    <a:pt x="42767" y="1810"/>
                                  </a:cubicBezTo>
                                  <a:cubicBezTo>
                                    <a:pt x="44672" y="2286"/>
                                    <a:pt x="46387" y="2762"/>
                                    <a:pt x="47911" y="3239"/>
                                  </a:cubicBezTo>
                                  <a:cubicBezTo>
                                    <a:pt x="49340" y="3715"/>
                                    <a:pt x="50578" y="4001"/>
                                    <a:pt x="51435" y="4191"/>
                                  </a:cubicBezTo>
                                  <a:lnTo>
                                    <a:pt x="50673" y="23336"/>
                                  </a:lnTo>
                                  <a:lnTo>
                                    <a:pt x="43148" y="23336"/>
                                  </a:lnTo>
                                  <a:lnTo>
                                    <a:pt x="40386" y="10097"/>
                                  </a:lnTo>
                                  <a:cubicBezTo>
                                    <a:pt x="40005" y="9716"/>
                                    <a:pt x="39529" y="9335"/>
                                    <a:pt x="38767" y="8954"/>
                                  </a:cubicBezTo>
                                  <a:cubicBezTo>
                                    <a:pt x="38005" y="8573"/>
                                    <a:pt x="37052" y="8192"/>
                                    <a:pt x="36100" y="7906"/>
                                  </a:cubicBezTo>
                                  <a:cubicBezTo>
                                    <a:pt x="35052" y="7620"/>
                                    <a:pt x="33909" y="7334"/>
                                    <a:pt x="32671" y="7144"/>
                                  </a:cubicBezTo>
                                  <a:cubicBezTo>
                                    <a:pt x="31432" y="6953"/>
                                    <a:pt x="30099" y="6858"/>
                                    <a:pt x="28670" y="6858"/>
                                  </a:cubicBezTo>
                                  <a:cubicBezTo>
                                    <a:pt x="23527" y="6858"/>
                                    <a:pt x="19717" y="7810"/>
                                    <a:pt x="17335" y="9811"/>
                                  </a:cubicBezTo>
                                  <a:cubicBezTo>
                                    <a:pt x="14954" y="11811"/>
                                    <a:pt x="13716" y="14859"/>
                                    <a:pt x="13716" y="18860"/>
                                  </a:cubicBezTo>
                                  <a:cubicBezTo>
                                    <a:pt x="13716" y="21050"/>
                                    <a:pt x="14192" y="22955"/>
                                    <a:pt x="14954" y="24575"/>
                                  </a:cubicBezTo>
                                  <a:cubicBezTo>
                                    <a:pt x="15811" y="26194"/>
                                    <a:pt x="17050" y="27718"/>
                                    <a:pt x="18669" y="29051"/>
                                  </a:cubicBezTo>
                                  <a:cubicBezTo>
                                    <a:pt x="20288" y="30385"/>
                                    <a:pt x="22288" y="31814"/>
                                    <a:pt x="24670" y="33052"/>
                                  </a:cubicBezTo>
                                  <a:cubicBezTo>
                                    <a:pt x="27051" y="34385"/>
                                    <a:pt x="29813" y="35814"/>
                                    <a:pt x="32956" y="37338"/>
                                  </a:cubicBezTo>
                                  <a:cubicBezTo>
                                    <a:pt x="35719" y="38767"/>
                                    <a:pt x="38576" y="40196"/>
                                    <a:pt x="41434" y="41815"/>
                                  </a:cubicBezTo>
                                  <a:cubicBezTo>
                                    <a:pt x="44291" y="43434"/>
                                    <a:pt x="46863" y="45244"/>
                                    <a:pt x="49149" y="47244"/>
                                  </a:cubicBezTo>
                                  <a:cubicBezTo>
                                    <a:pt x="51435" y="49244"/>
                                    <a:pt x="53245" y="51626"/>
                                    <a:pt x="54769" y="54197"/>
                                  </a:cubicBezTo>
                                  <a:cubicBezTo>
                                    <a:pt x="56197" y="56769"/>
                                    <a:pt x="56959" y="59817"/>
                                    <a:pt x="56959" y="63341"/>
                                  </a:cubicBezTo>
                                  <a:cubicBezTo>
                                    <a:pt x="56959" y="66294"/>
                                    <a:pt x="56293" y="69247"/>
                                    <a:pt x="54959" y="72200"/>
                                  </a:cubicBezTo>
                                  <a:cubicBezTo>
                                    <a:pt x="53626" y="75152"/>
                                    <a:pt x="51721" y="77819"/>
                                    <a:pt x="49149" y="80201"/>
                                  </a:cubicBezTo>
                                  <a:cubicBezTo>
                                    <a:pt x="46577" y="82582"/>
                                    <a:pt x="43434" y="84487"/>
                                    <a:pt x="39529" y="85916"/>
                                  </a:cubicBezTo>
                                  <a:cubicBezTo>
                                    <a:pt x="35623" y="87440"/>
                                    <a:pt x="31147" y="88202"/>
                                    <a:pt x="26194" y="88202"/>
                                  </a:cubicBez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334018740" name="Freeform: Shape 1334018740"/>
                          <wps:cNvSpPr/>
                          <wps:spPr>
                            <a:xfrm>
                              <a:off x="703516" y="396144"/>
                              <a:ext cx="56673" cy="100298"/>
                            </a:xfrm>
                            <a:custGeom>
                              <a:avLst/>
                              <a:gdLst>
                                <a:gd name="connsiteX0" fmla="*/ 0 w 56673"/>
                                <a:gd name="connsiteY0" fmla="*/ 81915 h 100298"/>
                                <a:gd name="connsiteX1" fmla="*/ 1524 w 56673"/>
                                <a:gd name="connsiteY1" fmla="*/ 74676 h 100298"/>
                                <a:gd name="connsiteX2" fmla="*/ 5715 w 56673"/>
                                <a:gd name="connsiteY2" fmla="*/ 69056 h 100298"/>
                                <a:gd name="connsiteX3" fmla="*/ 12002 w 56673"/>
                                <a:gd name="connsiteY3" fmla="*/ 64960 h 100298"/>
                                <a:gd name="connsiteX4" fmla="*/ 19717 w 56673"/>
                                <a:gd name="connsiteY4" fmla="*/ 62198 h 100298"/>
                                <a:gd name="connsiteX5" fmla="*/ 28384 w 56673"/>
                                <a:gd name="connsiteY5" fmla="*/ 60579 h 100298"/>
                                <a:gd name="connsiteX6" fmla="*/ 37243 w 56673"/>
                                <a:gd name="connsiteY6" fmla="*/ 59912 h 100298"/>
                                <a:gd name="connsiteX7" fmla="*/ 37243 w 56673"/>
                                <a:gd name="connsiteY7" fmla="*/ 56959 h 100298"/>
                                <a:gd name="connsiteX8" fmla="*/ 36671 w 56673"/>
                                <a:gd name="connsiteY8" fmla="*/ 50292 h 100298"/>
                                <a:gd name="connsiteX9" fmla="*/ 34766 w 56673"/>
                                <a:gd name="connsiteY9" fmla="*/ 45815 h 100298"/>
                                <a:gd name="connsiteX10" fmla="*/ 31052 w 56673"/>
                                <a:gd name="connsiteY10" fmla="*/ 43339 h 100298"/>
                                <a:gd name="connsiteX11" fmla="*/ 25146 w 56673"/>
                                <a:gd name="connsiteY11" fmla="*/ 42577 h 100298"/>
                                <a:gd name="connsiteX12" fmla="*/ 19050 w 56673"/>
                                <a:gd name="connsiteY12" fmla="*/ 43148 h 100298"/>
                                <a:gd name="connsiteX13" fmla="*/ 13240 w 56673"/>
                                <a:gd name="connsiteY13" fmla="*/ 44577 h 100298"/>
                                <a:gd name="connsiteX14" fmla="*/ 8096 w 56673"/>
                                <a:gd name="connsiteY14" fmla="*/ 46292 h 100298"/>
                                <a:gd name="connsiteX15" fmla="*/ 4191 w 56673"/>
                                <a:gd name="connsiteY15" fmla="*/ 48006 h 100298"/>
                                <a:gd name="connsiteX16" fmla="*/ 4096 w 56673"/>
                                <a:gd name="connsiteY16" fmla="*/ 48006 h 100298"/>
                                <a:gd name="connsiteX17" fmla="*/ 1524 w 56673"/>
                                <a:gd name="connsiteY17" fmla="*/ 42577 h 100298"/>
                                <a:gd name="connsiteX18" fmla="*/ 5334 w 56673"/>
                                <a:gd name="connsiteY18" fmla="*/ 40005 h 100298"/>
                                <a:gd name="connsiteX19" fmla="*/ 11716 w 56673"/>
                                <a:gd name="connsiteY19" fmla="*/ 36957 h 100298"/>
                                <a:gd name="connsiteX20" fmla="*/ 19717 w 56673"/>
                                <a:gd name="connsiteY20" fmla="*/ 34385 h 100298"/>
                                <a:gd name="connsiteX21" fmla="*/ 28194 w 56673"/>
                                <a:gd name="connsiteY21" fmla="*/ 33338 h 100298"/>
                                <a:gd name="connsiteX22" fmla="*/ 38195 w 56673"/>
                                <a:gd name="connsiteY22" fmla="*/ 34576 h 100298"/>
                                <a:gd name="connsiteX23" fmla="*/ 44863 w 56673"/>
                                <a:gd name="connsiteY23" fmla="*/ 38481 h 100298"/>
                                <a:gd name="connsiteX24" fmla="*/ 48482 w 56673"/>
                                <a:gd name="connsiteY24" fmla="*/ 45434 h 100298"/>
                                <a:gd name="connsiteX25" fmla="*/ 49625 w 56673"/>
                                <a:gd name="connsiteY25" fmla="*/ 55817 h 100298"/>
                                <a:gd name="connsiteX26" fmla="*/ 49625 w 56673"/>
                                <a:gd name="connsiteY26" fmla="*/ 92678 h 100298"/>
                                <a:gd name="connsiteX27" fmla="*/ 56674 w 56673"/>
                                <a:gd name="connsiteY27" fmla="*/ 92678 h 100298"/>
                                <a:gd name="connsiteX28" fmla="*/ 56674 w 56673"/>
                                <a:gd name="connsiteY28" fmla="*/ 98203 h 100298"/>
                                <a:gd name="connsiteX29" fmla="*/ 54102 w 56673"/>
                                <a:gd name="connsiteY29" fmla="*/ 98870 h 100298"/>
                                <a:gd name="connsiteX30" fmla="*/ 50959 w 56673"/>
                                <a:gd name="connsiteY30" fmla="*/ 99536 h 100298"/>
                                <a:gd name="connsiteX31" fmla="*/ 47625 w 56673"/>
                                <a:gd name="connsiteY31" fmla="*/ 100108 h 100298"/>
                                <a:gd name="connsiteX32" fmla="*/ 44386 w 56673"/>
                                <a:gd name="connsiteY32" fmla="*/ 100298 h 100298"/>
                                <a:gd name="connsiteX33" fmla="*/ 41624 w 56673"/>
                                <a:gd name="connsiteY33" fmla="*/ 100203 h 100298"/>
                                <a:gd name="connsiteX34" fmla="*/ 39719 w 56673"/>
                                <a:gd name="connsiteY34" fmla="*/ 99441 h 100298"/>
                                <a:gd name="connsiteX35" fmla="*/ 38576 w 56673"/>
                                <a:gd name="connsiteY35" fmla="*/ 97631 h 100298"/>
                                <a:gd name="connsiteX36" fmla="*/ 38195 w 56673"/>
                                <a:gd name="connsiteY36" fmla="*/ 94393 h 100298"/>
                                <a:gd name="connsiteX37" fmla="*/ 38195 w 56673"/>
                                <a:gd name="connsiteY37" fmla="*/ 92297 h 100298"/>
                                <a:gd name="connsiteX38" fmla="*/ 35814 w 56673"/>
                                <a:gd name="connsiteY38" fmla="*/ 94298 h 100298"/>
                                <a:gd name="connsiteX39" fmla="*/ 31718 w 56673"/>
                                <a:gd name="connsiteY39" fmla="*/ 96965 h 100298"/>
                                <a:gd name="connsiteX40" fmla="*/ 26194 w 56673"/>
                                <a:gd name="connsiteY40" fmla="*/ 99250 h 100298"/>
                                <a:gd name="connsiteX41" fmla="*/ 19526 w 56673"/>
                                <a:gd name="connsiteY41" fmla="*/ 100203 h 100298"/>
                                <a:gd name="connsiteX42" fmla="*/ 12097 w 56673"/>
                                <a:gd name="connsiteY42" fmla="*/ 99155 h 100298"/>
                                <a:gd name="connsiteX43" fmla="*/ 5906 w 56673"/>
                                <a:gd name="connsiteY43" fmla="*/ 95917 h 100298"/>
                                <a:gd name="connsiteX44" fmla="*/ 1619 w 56673"/>
                                <a:gd name="connsiteY44" fmla="*/ 90202 h 100298"/>
                                <a:gd name="connsiteX45" fmla="*/ 0 w 56673"/>
                                <a:gd name="connsiteY45" fmla="*/ 81915 h 100298"/>
                                <a:gd name="connsiteX46" fmla="*/ 27242 w 56673"/>
                                <a:gd name="connsiteY46" fmla="*/ 22479 h 100298"/>
                                <a:gd name="connsiteX47" fmla="*/ 19240 w 56673"/>
                                <a:gd name="connsiteY47" fmla="*/ 20860 h 100298"/>
                                <a:gd name="connsiteX48" fmla="*/ 13240 w 56673"/>
                                <a:gd name="connsiteY48" fmla="*/ 16574 h 100298"/>
                                <a:gd name="connsiteX49" fmla="*/ 9525 w 56673"/>
                                <a:gd name="connsiteY49" fmla="*/ 10382 h 100298"/>
                                <a:gd name="connsiteX50" fmla="*/ 8192 w 56673"/>
                                <a:gd name="connsiteY50" fmla="*/ 3048 h 100298"/>
                                <a:gd name="connsiteX51" fmla="*/ 8192 w 56673"/>
                                <a:gd name="connsiteY51" fmla="*/ 1429 h 100298"/>
                                <a:gd name="connsiteX52" fmla="*/ 8287 w 56673"/>
                                <a:gd name="connsiteY52" fmla="*/ 0 h 100298"/>
                                <a:gd name="connsiteX53" fmla="*/ 15050 w 56673"/>
                                <a:gd name="connsiteY53" fmla="*/ 0 h 100298"/>
                                <a:gd name="connsiteX54" fmla="*/ 15050 w 56673"/>
                                <a:gd name="connsiteY54" fmla="*/ 857 h 100298"/>
                                <a:gd name="connsiteX55" fmla="*/ 15145 w 56673"/>
                                <a:gd name="connsiteY55" fmla="*/ 2096 h 100298"/>
                                <a:gd name="connsiteX56" fmla="*/ 16002 w 56673"/>
                                <a:gd name="connsiteY56" fmla="*/ 5239 h 100298"/>
                                <a:gd name="connsiteX57" fmla="*/ 18002 w 56673"/>
                                <a:gd name="connsiteY57" fmla="*/ 8573 h 100298"/>
                                <a:gd name="connsiteX58" fmla="*/ 21622 w 56673"/>
                                <a:gd name="connsiteY58" fmla="*/ 11240 h 100298"/>
                                <a:gd name="connsiteX59" fmla="*/ 27242 w 56673"/>
                                <a:gd name="connsiteY59" fmla="*/ 12287 h 100298"/>
                                <a:gd name="connsiteX60" fmla="*/ 32766 w 56673"/>
                                <a:gd name="connsiteY60" fmla="*/ 11240 h 100298"/>
                                <a:gd name="connsiteX61" fmla="*/ 36290 w 56673"/>
                                <a:gd name="connsiteY61" fmla="*/ 8573 h 100298"/>
                                <a:gd name="connsiteX62" fmla="*/ 38195 w 56673"/>
                                <a:gd name="connsiteY62" fmla="*/ 5239 h 100298"/>
                                <a:gd name="connsiteX63" fmla="*/ 39052 w 56673"/>
                                <a:gd name="connsiteY63" fmla="*/ 2096 h 100298"/>
                                <a:gd name="connsiteX64" fmla="*/ 39243 w 56673"/>
                                <a:gd name="connsiteY64" fmla="*/ 95 h 100298"/>
                                <a:gd name="connsiteX65" fmla="*/ 45720 w 56673"/>
                                <a:gd name="connsiteY65" fmla="*/ 95 h 100298"/>
                                <a:gd name="connsiteX66" fmla="*/ 45815 w 56673"/>
                                <a:gd name="connsiteY66" fmla="*/ 1524 h 100298"/>
                                <a:gd name="connsiteX67" fmla="*/ 45910 w 56673"/>
                                <a:gd name="connsiteY67" fmla="*/ 3143 h 100298"/>
                                <a:gd name="connsiteX68" fmla="*/ 44577 w 56673"/>
                                <a:gd name="connsiteY68" fmla="*/ 10477 h 100298"/>
                                <a:gd name="connsiteX69" fmla="*/ 40862 w 56673"/>
                                <a:gd name="connsiteY69" fmla="*/ 16669 h 100298"/>
                                <a:gd name="connsiteX70" fmla="*/ 34957 w 56673"/>
                                <a:gd name="connsiteY70" fmla="*/ 20955 h 100298"/>
                                <a:gd name="connsiteX71" fmla="*/ 27242 w 56673"/>
                                <a:gd name="connsiteY71" fmla="*/ 22479 h 100298"/>
                                <a:gd name="connsiteX72" fmla="*/ 24479 w 56673"/>
                                <a:gd name="connsiteY72" fmla="*/ 91535 h 100298"/>
                                <a:gd name="connsiteX73" fmla="*/ 27337 w 56673"/>
                                <a:gd name="connsiteY73" fmla="*/ 91249 h 100298"/>
                                <a:gd name="connsiteX74" fmla="*/ 30766 w 56673"/>
                                <a:gd name="connsiteY74" fmla="*/ 90392 h 100298"/>
                                <a:gd name="connsiteX75" fmla="*/ 34290 w 56673"/>
                                <a:gd name="connsiteY75" fmla="*/ 88964 h 100298"/>
                                <a:gd name="connsiteX76" fmla="*/ 37433 w 56673"/>
                                <a:gd name="connsiteY76" fmla="*/ 87058 h 100298"/>
                                <a:gd name="connsiteX77" fmla="*/ 37433 w 56673"/>
                                <a:gd name="connsiteY77" fmla="*/ 66294 h 100298"/>
                                <a:gd name="connsiteX78" fmla="*/ 26098 w 56673"/>
                                <a:gd name="connsiteY78" fmla="*/ 67437 h 100298"/>
                                <a:gd name="connsiteX79" fmla="*/ 18859 w 56673"/>
                                <a:gd name="connsiteY79" fmla="*/ 70580 h 100298"/>
                                <a:gd name="connsiteX80" fmla="*/ 15050 w 56673"/>
                                <a:gd name="connsiteY80" fmla="*/ 75057 h 100298"/>
                                <a:gd name="connsiteX81" fmla="*/ 13906 w 56673"/>
                                <a:gd name="connsiteY81" fmla="*/ 80296 h 100298"/>
                                <a:gd name="connsiteX82" fmla="*/ 14764 w 56673"/>
                                <a:gd name="connsiteY82" fmla="*/ 85534 h 100298"/>
                                <a:gd name="connsiteX83" fmla="*/ 17050 w 56673"/>
                                <a:gd name="connsiteY83" fmla="*/ 89059 h 100298"/>
                                <a:gd name="connsiteX84" fmla="*/ 20479 w 56673"/>
                                <a:gd name="connsiteY84" fmla="*/ 90964 h 100298"/>
                                <a:gd name="connsiteX85" fmla="*/ 24479 w 56673"/>
                                <a:gd name="connsiteY85" fmla="*/ 91535 h 10029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Lst>
                              <a:rect l="l" t="t" r="r" b="b"/>
                              <a:pathLst>
                                <a:path w="56673" h="100298">
                                  <a:moveTo>
                                    <a:pt x="0" y="81915"/>
                                  </a:moveTo>
                                  <a:cubicBezTo>
                                    <a:pt x="0" y="79248"/>
                                    <a:pt x="476" y="76772"/>
                                    <a:pt x="1524" y="74676"/>
                                  </a:cubicBezTo>
                                  <a:cubicBezTo>
                                    <a:pt x="2572" y="72580"/>
                                    <a:pt x="3905" y="70675"/>
                                    <a:pt x="5715" y="69056"/>
                                  </a:cubicBezTo>
                                  <a:cubicBezTo>
                                    <a:pt x="7525" y="67437"/>
                                    <a:pt x="9525" y="66103"/>
                                    <a:pt x="12002" y="64960"/>
                                  </a:cubicBezTo>
                                  <a:cubicBezTo>
                                    <a:pt x="14383" y="63818"/>
                                    <a:pt x="16954" y="62865"/>
                                    <a:pt x="19717" y="62198"/>
                                  </a:cubicBezTo>
                                  <a:cubicBezTo>
                                    <a:pt x="22479" y="61436"/>
                                    <a:pt x="25336" y="60960"/>
                                    <a:pt x="28384" y="60579"/>
                                  </a:cubicBezTo>
                                  <a:cubicBezTo>
                                    <a:pt x="31433" y="60198"/>
                                    <a:pt x="34385" y="60007"/>
                                    <a:pt x="37243" y="59912"/>
                                  </a:cubicBezTo>
                                  <a:lnTo>
                                    <a:pt x="37243" y="56959"/>
                                  </a:lnTo>
                                  <a:cubicBezTo>
                                    <a:pt x="37243" y="54293"/>
                                    <a:pt x="37052" y="52102"/>
                                    <a:pt x="36671" y="50292"/>
                                  </a:cubicBezTo>
                                  <a:cubicBezTo>
                                    <a:pt x="36290" y="48482"/>
                                    <a:pt x="35623" y="46958"/>
                                    <a:pt x="34766" y="45815"/>
                                  </a:cubicBezTo>
                                  <a:cubicBezTo>
                                    <a:pt x="33814" y="44672"/>
                                    <a:pt x="32575" y="43815"/>
                                    <a:pt x="31052" y="43339"/>
                                  </a:cubicBezTo>
                                  <a:cubicBezTo>
                                    <a:pt x="29527" y="42863"/>
                                    <a:pt x="27527" y="42577"/>
                                    <a:pt x="25146" y="42577"/>
                                  </a:cubicBezTo>
                                  <a:cubicBezTo>
                                    <a:pt x="23146" y="42577"/>
                                    <a:pt x="21050" y="42767"/>
                                    <a:pt x="19050" y="43148"/>
                                  </a:cubicBezTo>
                                  <a:cubicBezTo>
                                    <a:pt x="17050" y="43529"/>
                                    <a:pt x="15050" y="44005"/>
                                    <a:pt x="13240" y="44577"/>
                                  </a:cubicBezTo>
                                  <a:cubicBezTo>
                                    <a:pt x="11335" y="45149"/>
                                    <a:pt x="9620" y="45720"/>
                                    <a:pt x="8096" y="46292"/>
                                  </a:cubicBezTo>
                                  <a:cubicBezTo>
                                    <a:pt x="6572" y="46958"/>
                                    <a:pt x="5239" y="47530"/>
                                    <a:pt x="4191" y="48006"/>
                                  </a:cubicBezTo>
                                  <a:lnTo>
                                    <a:pt x="4096" y="48006"/>
                                  </a:lnTo>
                                  <a:lnTo>
                                    <a:pt x="1524" y="42577"/>
                                  </a:lnTo>
                                  <a:cubicBezTo>
                                    <a:pt x="2286" y="41910"/>
                                    <a:pt x="3524" y="41053"/>
                                    <a:pt x="5334" y="40005"/>
                                  </a:cubicBezTo>
                                  <a:cubicBezTo>
                                    <a:pt x="7144" y="38957"/>
                                    <a:pt x="9239" y="37909"/>
                                    <a:pt x="11716" y="36957"/>
                                  </a:cubicBezTo>
                                  <a:cubicBezTo>
                                    <a:pt x="14192" y="36004"/>
                                    <a:pt x="16859" y="35147"/>
                                    <a:pt x="19717" y="34385"/>
                                  </a:cubicBezTo>
                                  <a:cubicBezTo>
                                    <a:pt x="22574" y="33623"/>
                                    <a:pt x="25432" y="33338"/>
                                    <a:pt x="28194" y="33338"/>
                                  </a:cubicBezTo>
                                  <a:cubicBezTo>
                                    <a:pt x="32194" y="33338"/>
                                    <a:pt x="35528" y="33719"/>
                                    <a:pt x="38195" y="34576"/>
                                  </a:cubicBezTo>
                                  <a:cubicBezTo>
                                    <a:pt x="40958" y="35433"/>
                                    <a:pt x="43148" y="36671"/>
                                    <a:pt x="44863" y="38481"/>
                                  </a:cubicBezTo>
                                  <a:cubicBezTo>
                                    <a:pt x="46577" y="40291"/>
                                    <a:pt x="47815" y="42577"/>
                                    <a:pt x="48482" y="45434"/>
                                  </a:cubicBezTo>
                                  <a:cubicBezTo>
                                    <a:pt x="49244" y="48292"/>
                                    <a:pt x="49625" y="51721"/>
                                    <a:pt x="49625" y="55817"/>
                                  </a:cubicBezTo>
                                  <a:lnTo>
                                    <a:pt x="49625" y="92678"/>
                                  </a:lnTo>
                                  <a:lnTo>
                                    <a:pt x="56674" y="92678"/>
                                  </a:lnTo>
                                  <a:lnTo>
                                    <a:pt x="56674" y="98203"/>
                                  </a:lnTo>
                                  <a:cubicBezTo>
                                    <a:pt x="55912" y="98393"/>
                                    <a:pt x="55054" y="98584"/>
                                    <a:pt x="54102" y="98870"/>
                                  </a:cubicBezTo>
                                  <a:cubicBezTo>
                                    <a:pt x="53054" y="99155"/>
                                    <a:pt x="52102" y="99346"/>
                                    <a:pt x="50959" y="99536"/>
                                  </a:cubicBezTo>
                                  <a:cubicBezTo>
                                    <a:pt x="49911" y="99727"/>
                                    <a:pt x="48768" y="99917"/>
                                    <a:pt x="47625" y="100108"/>
                                  </a:cubicBezTo>
                                  <a:cubicBezTo>
                                    <a:pt x="46482" y="100298"/>
                                    <a:pt x="45434" y="100298"/>
                                    <a:pt x="44386" y="100298"/>
                                  </a:cubicBezTo>
                                  <a:cubicBezTo>
                                    <a:pt x="43339" y="100298"/>
                                    <a:pt x="42386" y="100298"/>
                                    <a:pt x="41624" y="100203"/>
                                  </a:cubicBezTo>
                                  <a:cubicBezTo>
                                    <a:pt x="40862" y="100108"/>
                                    <a:pt x="40196" y="99822"/>
                                    <a:pt x="39719" y="99441"/>
                                  </a:cubicBezTo>
                                  <a:cubicBezTo>
                                    <a:pt x="39243" y="99060"/>
                                    <a:pt x="38862" y="98489"/>
                                    <a:pt x="38576" y="97631"/>
                                  </a:cubicBezTo>
                                  <a:cubicBezTo>
                                    <a:pt x="38290" y="96869"/>
                                    <a:pt x="38195" y="95726"/>
                                    <a:pt x="38195" y="94393"/>
                                  </a:cubicBezTo>
                                  <a:lnTo>
                                    <a:pt x="38195" y="92297"/>
                                  </a:lnTo>
                                  <a:cubicBezTo>
                                    <a:pt x="37719" y="92774"/>
                                    <a:pt x="36862" y="93440"/>
                                    <a:pt x="35814" y="94298"/>
                                  </a:cubicBezTo>
                                  <a:cubicBezTo>
                                    <a:pt x="34671" y="95155"/>
                                    <a:pt x="33338" y="96107"/>
                                    <a:pt x="31718" y="96965"/>
                                  </a:cubicBezTo>
                                  <a:cubicBezTo>
                                    <a:pt x="30099" y="97822"/>
                                    <a:pt x="28289" y="98584"/>
                                    <a:pt x="26194" y="99250"/>
                                  </a:cubicBezTo>
                                  <a:cubicBezTo>
                                    <a:pt x="24098" y="99917"/>
                                    <a:pt x="21908" y="100203"/>
                                    <a:pt x="19526" y="100203"/>
                                  </a:cubicBezTo>
                                  <a:cubicBezTo>
                                    <a:pt x="16954" y="100203"/>
                                    <a:pt x="14478" y="99822"/>
                                    <a:pt x="12097" y="99155"/>
                                  </a:cubicBezTo>
                                  <a:cubicBezTo>
                                    <a:pt x="9715" y="98489"/>
                                    <a:pt x="7715" y="97346"/>
                                    <a:pt x="5906" y="95917"/>
                                  </a:cubicBezTo>
                                  <a:cubicBezTo>
                                    <a:pt x="4096" y="94488"/>
                                    <a:pt x="2667" y="92583"/>
                                    <a:pt x="1619" y="90202"/>
                                  </a:cubicBezTo>
                                  <a:cubicBezTo>
                                    <a:pt x="571" y="87916"/>
                                    <a:pt x="0" y="85153"/>
                                    <a:pt x="0" y="81915"/>
                                  </a:cubicBezTo>
                                  <a:close/>
                                  <a:moveTo>
                                    <a:pt x="27242" y="22479"/>
                                  </a:moveTo>
                                  <a:cubicBezTo>
                                    <a:pt x="24289" y="22479"/>
                                    <a:pt x="21622" y="21907"/>
                                    <a:pt x="19240" y="20860"/>
                                  </a:cubicBezTo>
                                  <a:cubicBezTo>
                                    <a:pt x="16859" y="19812"/>
                                    <a:pt x="14859" y="18383"/>
                                    <a:pt x="13240" y="16574"/>
                                  </a:cubicBezTo>
                                  <a:cubicBezTo>
                                    <a:pt x="11621" y="14764"/>
                                    <a:pt x="10382" y="12764"/>
                                    <a:pt x="9525" y="10382"/>
                                  </a:cubicBezTo>
                                  <a:cubicBezTo>
                                    <a:pt x="8668" y="8001"/>
                                    <a:pt x="8192" y="5620"/>
                                    <a:pt x="8192" y="3048"/>
                                  </a:cubicBezTo>
                                  <a:cubicBezTo>
                                    <a:pt x="8192" y="2476"/>
                                    <a:pt x="8192" y="2000"/>
                                    <a:pt x="8192" y="1429"/>
                                  </a:cubicBezTo>
                                  <a:cubicBezTo>
                                    <a:pt x="8192" y="857"/>
                                    <a:pt x="8287" y="381"/>
                                    <a:pt x="8287" y="0"/>
                                  </a:cubicBezTo>
                                  <a:lnTo>
                                    <a:pt x="15050" y="0"/>
                                  </a:lnTo>
                                  <a:cubicBezTo>
                                    <a:pt x="15050" y="191"/>
                                    <a:pt x="15050" y="476"/>
                                    <a:pt x="15050" y="857"/>
                                  </a:cubicBezTo>
                                  <a:cubicBezTo>
                                    <a:pt x="15050" y="1238"/>
                                    <a:pt x="15145" y="1619"/>
                                    <a:pt x="15145" y="2096"/>
                                  </a:cubicBezTo>
                                  <a:cubicBezTo>
                                    <a:pt x="15335" y="2953"/>
                                    <a:pt x="15621" y="4000"/>
                                    <a:pt x="16002" y="5239"/>
                                  </a:cubicBezTo>
                                  <a:cubicBezTo>
                                    <a:pt x="16478" y="6382"/>
                                    <a:pt x="17145" y="7525"/>
                                    <a:pt x="18002" y="8573"/>
                                  </a:cubicBezTo>
                                  <a:cubicBezTo>
                                    <a:pt x="18955" y="9620"/>
                                    <a:pt x="20098" y="10477"/>
                                    <a:pt x="21622" y="11240"/>
                                  </a:cubicBezTo>
                                  <a:cubicBezTo>
                                    <a:pt x="23146" y="12001"/>
                                    <a:pt x="24956" y="12287"/>
                                    <a:pt x="27242" y="12287"/>
                                  </a:cubicBezTo>
                                  <a:cubicBezTo>
                                    <a:pt x="29432" y="12287"/>
                                    <a:pt x="31337" y="11906"/>
                                    <a:pt x="32766" y="11240"/>
                                  </a:cubicBezTo>
                                  <a:cubicBezTo>
                                    <a:pt x="34195" y="10477"/>
                                    <a:pt x="35338" y="9620"/>
                                    <a:pt x="36290" y="8573"/>
                                  </a:cubicBezTo>
                                  <a:cubicBezTo>
                                    <a:pt x="37148" y="7525"/>
                                    <a:pt x="37814" y="6382"/>
                                    <a:pt x="38195" y="5239"/>
                                  </a:cubicBezTo>
                                  <a:cubicBezTo>
                                    <a:pt x="38576" y="4096"/>
                                    <a:pt x="38862" y="3048"/>
                                    <a:pt x="39052" y="2096"/>
                                  </a:cubicBezTo>
                                  <a:cubicBezTo>
                                    <a:pt x="39148" y="1238"/>
                                    <a:pt x="39243" y="476"/>
                                    <a:pt x="39243" y="95"/>
                                  </a:cubicBezTo>
                                  <a:lnTo>
                                    <a:pt x="45720" y="95"/>
                                  </a:lnTo>
                                  <a:cubicBezTo>
                                    <a:pt x="45720" y="476"/>
                                    <a:pt x="45815" y="952"/>
                                    <a:pt x="45815" y="1524"/>
                                  </a:cubicBezTo>
                                  <a:cubicBezTo>
                                    <a:pt x="45815" y="2096"/>
                                    <a:pt x="45910" y="2572"/>
                                    <a:pt x="45910" y="3143"/>
                                  </a:cubicBezTo>
                                  <a:cubicBezTo>
                                    <a:pt x="45910" y="5715"/>
                                    <a:pt x="45434" y="8192"/>
                                    <a:pt x="44577" y="10477"/>
                                  </a:cubicBezTo>
                                  <a:cubicBezTo>
                                    <a:pt x="43720" y="12859"/>
                                    <a:pt x="42481" y="14859"/>
                                    <a:pt x="40862" y="16669"/>
                                  </a:cubicBezTo>
                                  <a:cubicBezTo>
                                    <a:pt x="39243" y="18478"/>
                                    <a:pt x="37243" y="19907"/>
                                    <a:pt x="34957" y="20955"/>
                                  </a:cubicBezTo>
                                  <a:cubicBezTo>
                                    <a:pt x="32575" y="22003"/>
                                    <a:pt x="30004" y="22479"/>
                                    <a:pt x="27242" y="22479"/>
                                  </a:cubicBezTo>
                                  <a:close/>
                                  <a:moveTo>
                                    <a:pt x="24479" y="91535"/>
                                  </a:moveTo>
                                  <a:cubicBezTo>
                                    <a:pt x="25241" y="91535"/>
                                    <a:pt x="26194" y="91440"/>
                                    <a:pt x="27337" y="91249"/>
                                  </a:cubicBezTo>
                                  <a:cubicBezTo>
                                    <a:pt x="28384" y="91059"/>
                                    <a:pt x="29527" y="90773"/>
                                    <a:pt x="30766" y="90392"/>
                                  </a:cubicBezTo>
                                  <a:cubicBezTo>
                                    <a:pt x="31909" y="90011"/>
                                    <a:pt x="33052" y="89535"/>
                                    <a:pt x="34290" y="88964"/>
                                  </a:cubicBezTo>
                                  <a:cubicBezTo>
                                    <a:pt x="35433" y="88392"/>
                                    <a:pt x="36481" y="87821"/>
                                    <a:pt x="37433" y="87058"/>
                                  </a:cubicBezTo>
                                  <a:lnTo>
                                    <a:pt x="37433" y="66294"/>
                                  </a:lnTo>
                                  <a:cubicBezTo>
                                    <a:pt x="32956" y="66294"/>
                                    <a:pt x="29146" y="66675"/>
                                    <a:pt x="26098" y="67437"/>
                                  </a:cubicBezTo>
                                  <a:cubicBezTo>
                                    <a:pt x="23050" y="68199"/>
                                    <a:pt x="20669" y="69247"/>
                                    <a:pt x="18859" y="70580"/>
                                  </a:cubicBezTo>
                                  <a:cubicBezTo>
                                    <a:pt x="17050" y="71914"/>
                                    <a:pt x="15811" y="73343"/>
                                    <a:pt x="15050" y="75057"/>
                                  </a:cubicBezTo>
                                  <a:cubicBezTo>
                                    <a:pt x="14288" y="76676"/>
                                    <a:pt x="13906" y="78486"/>
                                    <a:pt x="13906" y="80296"/>
                                  </a:cubicBezTo>
                                  <a:cubicBezTo>
                                    <a:pt x="13906" y="82391"/>
                                    <a:pt x="14192" y="84106"/>
                                    <a:pt x="14764" y="85534"/>
                                  </a:cubicBezTo>
                                  <a:cubicBezTo>
                                    <a:pt x="15335" y="86963"/>
                                    <a:pt x="16097" y="88106"/>
                                    <a:pt x="17050" y="89059"/>
                                  </a:cubicBezTo>
                                  <a:cubicBezTo>
                                    <a:pt x="18002" y="89916"/>
                                    <a:pt x="19145" y="90583"/>
                                    <a:pt x="20479" y="90964"/>
                                  </a:cubicBezTo>
                                  <a:cubicBezTo>
                                    <a:pt x="21527" y="91345"/>
                                    <a:pt x="22955" y="91535"/>
                                    <a:pt x="24479" y="91535"/>
                                  </a:cubicBez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336176234" name="Freeform: Shape 1336176234"/>
                          <wps:cNvSpPr/>
                          <wps:spPr>
                            <a:xfrm>
                              <a:off x="769524" y="429291"/>
                              <a:ext cx="69056" cy="65722"/>
                            </a:xfrm>
                            <a:custGeom>
                              <a:avLst/>
                              <a:gdLst>
                                <a:gd name="connsiteX0" fmla="*/ 286 w 69056"/>
                                <a:gd name="connsiteY0" fmla="*/ 65723 h 65722"/>
                                <a:gd name="connsiteX1" fmla="*/ 286 w 69056"/>
                                <a:gd name="connsiteY1" fmla="*/ 59531 h 65722"/>
                                <a:gd name="connsiteX2" fmla="*/ 7906 w 69056"/>
                                <a:gd name="connsiteY2" fmla="*/ 58579 h 65722"/>
                                <a:gd name="connsiteX3" fmla="*/ 7906 w 69056"/>
                                <a:gd name="connsiteY3" fmla="*/ 11525 h 65722"/>
                                <a:gd name="connsiteX4" fmla="*/ 0 w 69056"/>
                                <a:gd name="connsiteY4" fmla="*/ 9049 h 65722"/>
                                <a:gd name="connsiteX5" fmla="*/ 0 w 69056"/>
                                <a:gd name="connsiteY5" fmla="*/ 2286 h 65722"/>
                                <a:gd name="connsiteX6" fmla="*/ 16097 w 69056"/>
                                <a:gd name="connsiteY6" fmla="*/ 0 h 65722"/>
                                <a:gd name="connsiteX7" fmla="*/ 16383 w 69056"/>
                                <a:gd name="connsiteY7" fmla="*/ 0 h 65722"/>
                                <a:gd name="connsiteX8" fmla="*/ 19145 w 69056"/>
                                <a:gd name="connsiteY8" fmla="*/ 2286 h 65722"/>
                                <a:gd name="connsiteX9" fmla="*/ 19145 w 69056"/>
                                <a:gd name="connsiteY9" fmla="*/ 6668 h 65722"/>
                                <a:gd name="connsiteX10" fmla="*/ 19050 w 69056"/>
                                <a:gd name="connsiteY10" fmla="*/ 9049 h 65722"/>
                                <a:gd name="connsiteX11" fmla="*/ 23622 w 69056"/>
                                <a:gd name="connsiteY11" fmla="*/ 5715 h 65722"/>
                                <a:gd name="connsiteX12" fmla="*/ 29432 w 69056"/>
                                <a:gd name="connsiteY12" fmla="*/ 2857 h 65722"/>
                                <a:gd name="connsiteX13" fmla="*/ 35814 w 69056"/>
                                <a:gd name="connsiteY13" fmla="*/ 762 h 65722"/>
                                <a:gd name="connsiteX14" fmla="*/ 42100 w 69056"/>
                                <a:gd name="connsiteY14" fmla="*/ 0 h 65722"/>
                                <a:gd name="connsiteX15" fmla="*/ 51340 w 69056"/>
                                <a:gd name="connsiteY15" fmla="*/ 1524 h 65722"/>
                                <a:gd name="connsiteX16" fmla="*/ 57055 w 69056"/>
                                <a:gd name="connsiteY16" fmla="*/ 6286 h 65722"/>
                                <a:gd name="connsiteX17" fmla="*/ 59912 w 69056"/>
                                <a:gd name="connsiteY17" fmla="*/ 14669 h 65722"/>
                                <a:gd name="connsiteX18" fmla="*/ 60674 w 69056"/>
                                <a:gd name="connsiteY18" fmla="*/ 26860 h 65722"/>
                                <a:gd name="connsiteX19" fmla="*/ 60674 w 69056"/>
                                <a:gd name="connsiteY19" fmla="*/ 58579 h 65722"/>
                                <a:gd name="connsiteX20" fmla="*/ 69056 w 69056"/>
                                <a:gd name="connsiteY20" fmla="*/ 59531 h 65722"/>
                                <a:gd name="connsiteX21" fmla="*/ 69056 w 69056"/>
                                <a:gd name="connsiteY21" fmla="*/ 65723 h 65722"/>
                                <a:gd name="connsiteX22" fmla="*/ 40672 w 69056"/>
                                <a:gd name="connsiteY22" fmla="*/ 65723 h 65722"/>
                                <a:gd name="connsiteX23" fmla="*/ 40672 w 69056"/>
                                <a:gd name="connsiteY23" fmla="*/ 59531 h 65722"/>
                                <a:gd name="connsiteX24" fmla="*/ 48101 w 69056"/>
                                <a:gd name="connsiteY24" fmla="*/ 58579 h 65722"/>
                                <a:gd name="connsiteX25" fmla="*/ 48101 w 69056"/>
                                <a:gd name="connsiteY25" fmla="*/ 26860 h 65722"/>
                                <a:gd name="connsiteX26" fmla="*/ 47720 w 69056"/>
                                <a:gd name="connsiteY26" fmla="*/ 18955 h 65722"/>
                                <a:gd name="connsiteX27" fmla="*/ 46101 w 69056"/>
                                <a:gd name="connsiteY27" fmla="*/ 13335 h 65722"/>
                                <a:gd name="connsiteX28" fmla="*/ 42577 w 69056"/>
                                <a:gd name="connsiteY28" fmla="*/ 9906 h 65722"/>
                                <a:gd name="connsiteX29" fmla="*/ 36671 w 69056"/>
                                <a:gd name="connsiteY29" fmla="*/ 8763 h 65722"/>
                                <a:gd name="connsiteX30" fmla="*/ 28099 w 69056"/>
                                <a:gd name="connsiteY30" fmla="*/ 10287 h 65722"/>
                                <a:gd name="connsiteX31" fmla="*/ 20574 w 69056"/>
                                <a:gd name="connsiteY31" fmla="*/ 14192 h 65722"/>
                                <a:gd name="connsiteX32" fmla="*/ 20574 w 69056"/>
                                <a:gd name="connsiteY32" fmla="*/ 58579 h 65722"/>
                                <a:gd name="connsiteX33" fmla="*/ 28575 w 69056"/>
                                <a:gd name="connsiteY33" fmla="*/ 59531 h 65722"/>
                                <a:gd name="connsiteX34" fmla="*/ 28575 w 69056"/>
                                <a:gd name="connsiteY34" fmla="*/ 65723 h 65722"/>
                                <a:gd name="connsiteX35" fmla="*/ 286 w 69056"/>
                                <a:gd name="connsiteY35" fmla="*/ 65723 h 6572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Lst>
                              <a:rect l="l" t="t" r="r" b="b"/>
                              <a:pathLst>
                                <a:path w="69056" h="65722">
                                  <a:moveTo>
                                    <a:pt x="286" y="65723"/>
                                  </a:moveTo>
                                  <a:lnTo>
                                    <a:pt x="286" y="59531"/>
                                  </a:lnTo>
                                  <a:lnTo>
                                    <a:pt x="7906" y="58579"/>
                                  </a:lnTo>
                                  <a:lnTo>
                                    <a:pt x="7906" y="11525"/>
                                  </a:lnTo>
                                  <a:lnTo>
                                    <a:pt x="0" y="9049"/>
                                  </a:lnTo>
                                  <a:lnTo>
                                    <a:pt x="0" y="2286"/>
                                  </a:lnTo>
                                  <a:lnTo>
                                    <a:pt x="16097" y="0"/>
                                  </a:lnTo>
                                  <a:lnTo>
                                    <a:pt x="16383" y="0"/>
                                  </a:lnTo>
                                  <a:lnTo>
                                    <a:pt x="19145" y="2286"/>
                                  </a:lnTo>
                                  <a:lnTo>
                                    <a:pt x="19145" y="6668"/>
                                  </a:lnTo>
                                  <a:lnTo>
                                    <a:pt x="19050" y="9049"/>
                                  </a:lnTo>
                                  <a:cubicBezTo>
                                    <a:pt x="20288" y="7906"/>
                                    <a:pt x="21812" y="6858"/>
                                    <a:pt x="23622" y="5715"/>
                                  </a:cubicBezTo>
                                  <a:cubicBezTo>
                                    <a:pt x="25432" y="4667"/>
                                    <a:pt x="27432" y="3715"/>
                                    <a:pt x="29432" y="2857"/>
                                  </a:cubicBezTo>
                                  <a:cubicBezTo>
                                    <a:pt x="31528" y="2000"/>
                                    <a:pt x="33623" y="1333"/>
                                    <a:pt x="35814" y="762"/>
                                  </a:cubicBezTo>
                                  <a:cubicBezTo>
                                    <a:pt x="38005" y="191"/>
                                    <a:pt x="40100" y="0"/>
                                    <a:pt x="42100" y="0"/>
                                  </a:cubicBezTo>
                                  <a:cubicBezTo>
                                    <a:pt x="45815" y="0"/>
                                    <a:pt x="48863" y="476"/>
                                    <a:pt x="51340" y="1524"/>
                                  </a:cubicBezTo>
                                  <a:cubicBezTo>
                                    <a:pt x="53721" y="2572"/>
                                    <a:pt x="55626" y="4096"/>
                                    <a:pt x="57055" y="6286"/>
                                  </a:cubicBezTo>
                                  <a:cubicBezTo>
                                    <a:pt x="58388" y="8477"/>
                                    <a:pt x="59341" y="11240"/>
                                    <a:pt x="59912" y="14669"/>
                                  </a:cubicBezTo>
                                  <a:cubicBezTo>
                                    <a:pt x="60484" y="18002"/>
                                    <a:pt x="60674" y="22098"/>
                                    <a:pt x="60674" y="26860"/>
                                  </a:cubicBezTo>
                                  <a:lnTo>
                                    <a:pt x="60674" y="58579"/>
                                  </a:lnTo>
                                  <a:lnTo>
                                    <a:pt x="69056" y="59531"/>
                                  </a:lnTo>
                                  <a:lnTo>
                                    <a:pt x="69056" y="65723"/>
                                  </a:lnTo>
                                  <a:lnTo>
                                    <a:pt x="40672" y="65723"/>
                                  </a:lnTo>
                                  <a:lnTo>
                                    <a:pt x="40672" y="59531"/>
                                  </a:lnTo>
                                  <a:lnTo>
                                    <a:pt x="48101" y="58579"/>
                                  </a:lnTo>
                                  <a:lnTo>
                                    <a:pt x="48101" y="26860"/>
                                  </a:lnTo>
                                  <a:cubicBezTo>
                                    <a:pt x="48101" y="23813"/>
                                    <a:pt x="48006" y="21241"/>
                                    <a:pt x="47720" y="18955"/>
                                  </a:cubicBezTo>
                                  <a:cubicBezTo>
                                    <a:pt x="47434" y="16669"/>
                                    <a:pt x="46958" y="14764"/>
                                    <a:pt x="46101" y="13335"/>
                                  </a:cubicBezTo>
                                  <a:cubicBezTo>
                                    <a:pt x="45244" y="11811"/>
                                    <a:pt x="44101" y="10668"/>
                                    <a:pt x="42577" y="9906"/>
                                  </a:cubicBezTo>
                                  <a:cubicBezTo>
                                    <a:pt x="41053" y="9144"/>
                                    <a:pt x="39052" y="8763"/>
                                    <a:pt x="36671" y="8763"/>
                                  </a:cubicBezTo>
                                  <a:cubicBezTo>
                                    <a:pt x="33814" y="8763"/>
                                    <a:pt x="30956" y="9239"/>
                                    <a:pt x="28099" y="10287"/>
                                  </a:cubicBezTo>
                                  <a:cubicBezTo>
                                    <a:pt x="25241" y="11335"/>
                                    <a:pt x="22669" y="12668"/>
                                    <a:pt x="20574" y="14192"/>
                                  </a:cubicBezTo>
                                  <a:lnTo>
                                    <a:pt x="20574" y="58579"/>
                                  </a:lnTo>
                                  <a:lnTo>
                                    <a:pt x="28575" y="59531"/>
                                  </a:lnTo>
                                  <a:lnTo>
                                    <a:pt x="28575" y="65723"/>
                                  </a:lnTo>
                                  <a:lnTo>
                                    <a:pt x="286" y="65723"/>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225704579" name="Freeform: Shape 1225704579"/>
                          <wps:cNvSpPr/>
                          <wps:spPr>
                            <a:xfrm>
                              <a:off x="846486" y="396144"/>
                              <a:ext cx="56673" cy="100298"/>
                            </a:xfrm>
                            <a:custGeom>
                              <a:avLst/>
                              <a:gdLst>
                                <a:gd name="connsiteX0" fmla="*/ 0 w 56673"/>
                                <a:gd name="connsiteY0" fmla="*/ 81915 h 100298"/>
                                <a:gd name="connsiteX1" fmla="*/ 1524 w 56673"/>
                                <a:gd name="connsiteY1" fmla="*/ 74676 h 100298"/>
                                <a:gd name="connsiteX2" fmla="*/ 5715 w 56673"/>
                                <a:gd name="connsiteY2" fmla="*/ 69056 h 100298"/>
                                <a:gd name="connsiteX3" fmla="*/ 12001 w 56673"/>
                                <a:gd name="connsiteY3" fmla="*/ 64960 h 100298"/>
                                <a:gd name="connsiteX4" fmla="*/ 19717 w 56673"/>
                                <a:gd name="connsiteY4" fmla="*/ 62198 h 100298"/>
                                <a:gd name="connsiteX5" fmla="*/ 28384 w 56673"/>
                                <a:gd name="connsiteY5" fmla="*/ 60579 h 100298"/>
                                <a:gd name="connsiteX6" fmla="*/ 37243 w 56673"/>
                                <a:gd name="connsiteY6" fmla="*/ 59912 h 100298"/>
                                <a:gd name="connsiteX7" fmla="*/ 37243 w 56673"/>
                                <a:gd name="connsiteY7" fmla="*/ 56959 h 100298"/>
                                <a:gd name="connsiteX8" fmla="*/ 36671 w 56673"/>
                                <a:gd name="connsiteY8" fmla="*/ 50292 h 100298"/>
                                <a:gd name="connsiteX9" fmla="*/ 34766 w 56673"/>
                                <a:gd name="connsiteY9" fmla="*/ 45815 h 100298"/>
                                <a:gd name="connsiteX10" fmla="*/ 31051 w 56673"/>
                                <a:gd name="connsiteY10" fmla="*/ 43339 h 100298"/>
                                <a:gd name="connsiteX11" fmla="*/ 25146 w 56673"/>
                                <a:gd name="connsiteY11" fmla="*/ 42577 h 100298"/>
                                <a:gd name="connsiteX12" fmla="*/ 19050 w 56673"/>
                                <a:gd name="connsiteY12" fmla="*/ 43148 h 100298"/>
                                <a:gd name="connsiteX13" fmla="*/ 13240 w 56673"/>
                                <a:gd name="connsiteY13" fmla="*/ 44577 h 100298"/>
                                <a:gd name="connsiteX14" fmla="*/ 8096 w 56673"/>
                                <a:gd name="connsiteY14" fmla="*/ 46292 h 100298"/>
                                <a:gd name="connsiteX15" fmla="*/ 4191 w 56673"/>
                                <a:gd name="connsiteY15" fmla="*/ 48006 h 100298"/>
                                <a:gd name="connsiteX16" fmla="*/ 4096 w 56673"/>
                                <a:gd name="connsiteY16" fmla="*/ 48006 h 100298"/>
                                <a:gd name="connsiteX17" fmla="*/ 1524 w 56673"/>
                                <a:gd name="connsiteY17" fmla="*/ 42577 h 100298"/>
                                <a:gd name="connsiteX18" fmla="*/ 5334 w 56673"/>
                                <a:gd name="connsiteY18" fmla="*/ 40005 h 100298"/>
                                <a:gd name="connsiteX19" fmla="*/ 11716 w 56673"/>
                                <a:gd name="connsiteY19" fmla="*/ 36957 h 100298"/>
                                <a:gd name="connsiteX20" fmla="*/ 19717 w 56673"/>
                                <a:gd name="connsiteY20" fmla="*/ 34385 h 100298"/>
                                <a:gd name="connsiteX21" fmla="*/ 28194 w 56673"/>
                                <a:gd name="connsiteY21" fmla="*/ 33338 h 100298"/>
                                <a:gd name="connsiteX22" fmla="*/ 38195 w 56673"/>
                                <a:gd name="connsiteY22" fmla="*/ 34576 h 100298"/>
                                <a:gd name="connsiteX23" fmla="*/ 44863 w 56673"/>
                                <a:gd name="connsiteY23" fmla="*/ 38481 h 100298"/>
                                <a:gd name="connsiteX24" fmla="*/ 48482 w 56673"/>
                                <a:gd name="connsiteY24" fmla="*/ 45434 h 100298"/>
                                <a:gd name="connsiteX25" fmla="*/ 49625 w 56673"/>
                                <a:gd name="connsiteY25" fmla="*/ 55817 h 100298"/>
                                <a:gd name="connsiteX26" fmla="*/ 49625 w 56673"/>
                                <a:gd name="connsiteY26" fmla="*/ 92678 h 100298"/>
                                <a:gd name="connsiteX27" fmla="*/ 56674 w 56673"/>
                                <a:gd name="connsiteY27" fmla="*/ 92678 h 100298"/>
                                <a:gd name="connsiteX28" fmla="*/ 56674 w 56673"/>
                                <a:gd name="connsiteY28" fmla="*/ 98203 h 100298"/>
                                <a:gd name="connsiteX29" fmla="*/ 54102 w 56673"/>
                                <a:gd name="connsiteY29" fmla="*/ 98870 h 100298"/>
                                <a:gd name="connsiteX30" fmla="*/ 50959 w 56673"/>
                                <a:gd name="connsiteY30" fmla="*/ 99536 h 100298"/>
                                <a:gd name="connsiteX31" fmla="*/ 47625 w 56673"/>
                                <a:gd name="connsiteY31" fmla="*/ 100108 h 100298"/>
                                <a:gd name="connsiteX32" fmla="*/ 44386 w 56673"/>
                                <a:gd name="connsiteY32" fmla="*/ 100298 h 100298"/>
                                <a:gd name="connsiteX33" fmla="*/ 41624 w 56673"/>
                                <a:gd name="connsiteY33" fmla="*/ 100203 h 100298"/>
                                <a:gd name="connsiteX34" fmla="*/ 39719 w 56673"/>
                                <a:gd name="connsiteY34" fmla="*/ 99441 h 100298"/>
                                <a:gd name="connsiteX35" fmla="*/ 38576 w 56673"/>
                                <a:gd name="connsiteY35" fmla="*/ 97631 h 100298"/>
                                <a:gd name="connsiteX36" fmla="*/ 38195 w 56673"/>
                                <a:gd name="connsiteY36" fmla="*/ 94393 h 100298"/>
                                <a:gd name="connsiteX37" fmla="*/ 38195 w 56673"/>
                                <a:gd name="connsiteY37" fmla="*/ 92297 h 100298"/>
                                <a:gd name="connsiteX38" fmla="*/ 35814 w 56673"/>
                                <a:gd name="connsiteY38" fmla="*/ 94298 h 100298"/>
                                <a:gd name="connsiteX39" fmla="*/ 31718 w 56673"/>
                                <a:gd name="connsiteY39" fmla="*/ 96965 h 100298"/>
                                <a:gd name="connsiteX40" fmla="*/ 26194 w 56673"/>
                                <a:gd name="connsiteY40" fmla="*/ 99250 h 100298"/>
                                <a:gd name="connsiteX41" fmla="*/ 19526 w 56673"/>
                                <a:gd name="connsiteY41" fmla="*/ 100203 h 100298"/>
                                <a:gd name="connsiteX42" fmla="*/ 12097 w 56673"/>
                                <a:gd name="connsiteY42" fmla="*/ 99155 h 100298"/>
                                <a:gd name="connsiteX43" fmla="*/ 5905 w 56673"/>
                                <a:gd name="connsiteY43" fmla="*/ 95917 h 100298"/>
                                <a:gd name="connsiteX44" fmla="*/ 1619 w 56673"/>
                                <a:gd name="connsiteY44" fmla="*/ 90202 h 100298"/>
                                <a:gd name="connsiteX45" fmla="*/ 0 w 56673"/>
                                <a:gd name="connsiteY45" fmla="*/ 81915 h 100298"/>
                                <a:gd name="connsiteX46" fmla="*/ 27146 w 56673"/>
                                <a:gd name="connsiteY46" fmla="*/ 22479 h 100298"/>
                                <a:gd name="connsiteX47" fmla="*/ 19145 w 56673"/>
                                <a:gd name="connsiteY47" fmla="*/ 20860 h 100298"/>
                                <a:gd name="connsiteX48" fmla="*/ 13144 w 56673"/>
                                <a:gd name="connsiteY48" fmla="*/ 16574 h 100298"/>
                                <a:gd name="connsiteX49" fmla="*/ 9430 w 56673"/>
                                <a:gd name="connsiteY49" fmla="*/ 10382 h 100298"/>
                                <a:gd name="connsiteX50" fmla="*/ 8096 w 56673"/>
                                <a:gd name="connsiteY50" fmla="*/ 3048 h 100298"/>
                                <a:gd name="connsiteX51" fmla="*/ 8096 w 56673"/>
                                <a:gd name="connsiteY51" fmla="*/ 1429 h 100298"/>
                                <a:gd name="connsiteX52" fmla="*/ 8192 w 56673"/>
                                <a:gd name="connsiteY52" fmla="*/ 0 h 100298"/>
                                <a:gd name="connsiteX53" fmla="*/ 14954 w 56673"/>
                                <a:gd name="connsiteY53" fmla="*/ 0 h 100298"/>
                                <a:gd name="connsiteX54" fmla="*/ 14954 w 56673"/>
                                <a:gd name="connsiteY54" fmla="*/ 857 h 100298"/>
                                <a:gd name="connsiteX55" fmla="*/ 15049 w 56673"/>
                                <a:gd name="connsiteY55" fmla="*/ 2096 h 100298"/>
                                <a:gd name="connsiteX56" fmla="*/ 15907 w 56673"/>
                                <a:gd name="connsiteY56" fmla="*/ 5239 h 100298"/>
                                <a:gd name="connsiteX57" fmla="*/ 17907 w 56673"/>
                                <a:gd name="connsiteY57" fmla="*/ 8573 h 100298"/>
                                <a:gd name="connsiteX58" fmla="*/ 21526 w 56673"/>
                                <a:gd name="connsiteY58" fmla="*/ 11240 h 100298"/>
                                <a:gd name="connsiteX59" fmla="*/ 27146 w 56673"/>
                                <a:gd name="connsiteY59" fmla="*/ 12287 h 100298"/>
                                <a:gd name="connsiteX60" fmla="*/ 32671 w 56673"/>
                                <a:gd name="connsiteY60" fmla="*/ 11240 h 100298"/>
                                <a:gd name="connsiteX61" fmla="*/ 36195 w 56673"/>
                                <a:gd name="connsiteY61" fmla="*/ 8573 h 100298"/>
                                <a:gd name="connsiteX62" fmla="*/ 38100 w 56673"/>
                                <a:gd name="connsiteY62" fmla="*/ 5239 h 100298"/>
                                <a:gd name="connsiteX63" fmla="*/ 38957 w 56673"/>
                                <a:gd name="connsiteY63" fmla="*/ 2096 h 100298"/>
                                <a:gd name="connsiteX64" fmla="*/ 39148 w 56673"/>
                                <a:gd name="connsiteY64" fmla="*/ 95 h 100298"/>
                                <a:gd name="connsiteX65" fmla="*/ 45625 w 56673"/>
                                <a:gd name="connsiteY65" fmla="*/ 95 h 100298"/>
                                <a:gd name="connsiteX66" fmla="*/ 45720 w 56673"/>
                                <a:gd name="connsiteY66" fmla="*/ 1524 h 100298"/>
                                <a:gd name="connsiteX67" fmla="*/ 45815 w 56673"/>
                                <a:gd name="connsiteY67" fmla="*/ 3143 h 100298"/>
                                <a:gd name="connsiteX68" fmla="*/ 44482 w 56673"/>
                                <a:gd name="connsiteY68" fmla="*/ 10477 h 100298"/>
                                <a:gd name="connsiteX69" fmla="*/ 40767 w 56673"/>
                                <a:gd name="connsiteY69" fmla="*/ 16669 h 100298"/>
                                <a:gd name="connsiteX70" fmla="*/ 34861 w 56673"/>
                                <a:gd name="connsiteY70" fmla="*/ 20955 h 100298"/>
                                <a:gd name="connsiteX71" fmla="*/ 27146 w 56673"/>
                                <a:gd name="connsiteY71" fmla="*/ 22479 h 100298"/>
                                <a:gd name="connsiteX72" fmla="*/ 24384 w 56673"/>
                                <a:gd name="connsiteY72" fmla="*/ 91535 h 100298"/>
                                <a:gd name="connsiteX73" fmla="*/ 27242 w 56673"/>
                                <a:gd name="connsiteY73" fmla="*/ 91249 h 100298"/>
                                <a:gd name="connsiteX74" fmla="*/ 30670 w 56673"/>
                                <a:gd name="connsiteY74" fmla="*/ 90392 h 100298"/>
                                <a:gd name="connsiteX75" fmla="*/ 34195 w 56673"/>
                                <a:gd name="connsiteY75" fmla="*/ 88964 h 100298"/>
                                <a:gd name="connsiteX76" fmla="*/ 37338 w 56673"/>
                                <a:gd name="connsiteY76" fmla="*/ 87058 h 100298"/>
                                <a:gd name="connsiteX77" fmla="*/ 37338 w 56673"/>
                                <a:gd name="connsiteY77" fmla="*/ 66294 h 100298"/>
                                <a:gd name="connsiteX78" fmla="*/ 26003 w 56673"/>
                                <a:gd name="connsiteY78" fmla="*/ 67437 h 100298"/>
                                <a:gd name="connsiteX79" fmla="*/ 18764 w 56673"/>
                                <a:gd name="connsiteY79" fmla="*/ 70580 h 100298"/>
                                <a:gd name="connsiteX80" fmla="*/ 14954 w 56673"/>
                                <a:gd name="connsiteY80" fmla="*/ 75057 h 100298"/>
                                <a:gd name="connsiteX81" fmla="*/ 13811 w 56673"/>
                                <a:gd name="connsiteY81" fmla="*/ 80296 h 100298"/>
                                <a:gd name="connsiteX82" fmla="*/ 14669 w 56673"/>
                                <a:gd name="connsiteY82" fmla="*/ 85534 h 100298"/>
                                <a:gd name="connsiteX83" fmla="*/ 16954 w 56673"/>
                                <a:gd name="connsiteY83" fmla="*/ 89059 h 100298"/>
                                <a:gd name="connsiteX84" fmla="*/ 20383 w 56673"/>
                                <a:gd name="connsiteY84" fmla="*/ 90964 h 100298"/>
                                <a:gd name="connsiteX85" fmla="*/ 24384 w 56673"/>
                                <a:gd name="connsiteY85" fmla="*/ 91535 h 10029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Lst>
                              <a:rect l="l" t="t" r="r" b="b"/>
                              <a:pathLst>
                                <a:path w="56673" h="100298">
                                  <a:moveTo>
                                    <a:pt x="0" y="81915"/>
                                  </a:moveTo>
                                  <a:cubicBezTo>
                                    <a:pt x="0" y="79248"/>
                                    <a:pt x="476" y="76772"/>
                                    <a:pt x="1524" y="74676"/>
                                  </a:cubicBezTo>
                                  <a:cubicBezTo>
                                    <a:pt x="2572" y="72580"/>
                                    <a:pt x="3905" y="70675"/>
                                    <a:pt x="5715" y="69056"/>
                                  </a:cubicBezTo>
                                  <a:cubicBezTo>
                                    <a:pt x="7525" y="67437"/>
                                    <a:pt x="9525" y="66103"/>
                                    <a:pt x="12001" y="64960"/>
                                  </a:cubicBezTo>
                                  <a:cubicBezTo>
                                    <a:pt x="14383" y="63818"/>
                                    <a:pt x="16954" y="62865"/>
                                    <a:pt x="19717" y="62198"/>
                                  </a:cubicBezTo>
                                  <a:cubicBezTo>
                                    <a:pt x="22479" y="61436"/>
                                    <a:pt x="25336" y="60960"/>
                                    <a:pt x="28384" y="60579"/>
                                  </a:cubicBezTo>
                                  <a:cubicBezTo>
                                    <a:pt x="31432" y="60198"/>
                                    <a:pt x="34385" y="60007"/>
                                    <a:pt x="37243" y="59912"/>
                                  </a:cubicBezTo>
                                  <a:lnTo>
                                    <a:pt x="37243" y="56959"/>
                                  </a:lnTo>
                                  <a:cubicBezTo>
                                    <a:pt x="37243" y="54293"/>
                                    <a:pt x="37052" y="52102"/>
                                    <a:pt x="36671" y="50292"/>
                                  </a:cubicBezTo>
                                  <a:cubicBezTo>
                                    <a:pt x="36290" y="48482"/>
                                    <a:pt x="35623" y="46958"/>
                                    <a:pt x="34766" y="45815"/>
                                  </a:cubicBezTo>
                                  <a:cubicBezTo>
                                    <a:pt x="33814" y="44672"/>
                                    <a:pt x="32575" y="43815"/>
                                    <a:pt x="31051" y="43339"/>
                                  </a:cubicBezTo>
                                  <a:cubicBezTo>
                                    <a:pt x="29527" y="42863"/>
                                    <a:pt x="27527" y="42577"/>
                                    <a:pt x="25146" y="42577"/>
                                  </a:cubicBezTo>
                                  <a:cubicBezTo>
                                    <a:pt x="23146" y="42577"/>
                                    <a:pt x="21050" y="42767"/>
                                    <a:pt x="19050" y="43148"/>
                                  </a:cubicBezTo>
                                  <a:cubicBezTo>
                                    <a:pt x="17050" y="43529"/>
                                    <a:pt x="15049" y="44005"/>
                                    <a:pt x="13240" y="44577"/>
                                  </a:cubicBezTo>
                                  <a:cubicBezTo>
                                    <a:pt x="11335" y="45149"/>
                                    <a:pt x="9620" y="45720"/>
                                    <a:pt x="8096" y="46292"/>
                                  </a:cubicBezTo>
                                  <a:cubicBezTo>
                                    <a:pt x="6572" y="46958"/>
                                    <a:pt x="5239" y="47530"/>
                                    <a:pt x="4191" y="48006"/>
                                  </a:cubicBezTo>
                                  <a:lnTo>
                                    <a:pt x="4096" y="48006"/>
                                  </a:lnTo>
                                  <a:lnTo>
                                    <a:pt x="1524" y="42577"/>
                                  </a:lnTo>
                                  <a:cubicBezTo>
                                    <a:pt x="2286" y="41910"/>
                                    <a:pt x="3524" y="41053"/>
                                    <a:pt x="5334" y="40005"/>
                                  </a:cubicBezTo>
                                  <a:cubicBezTo>
                                    <a:pt x="7144" y="38957"/>
                                    <a:pt x="9239" y="37909"/>
                                    <a:pt x="11716" y="36957"/>
                                  </a:cubicBezTo>
                                  <a:cubicBezTo>
                                    <a:pt x="14192" y="36004"/>
                                    <a:pt x="16859" y="35147"/>
                                    <a:pt x="19717" y="34385"/>
                                  </a:cubicBezTo>
                                  <a:cubicBezTo>
                                    <a:pt x="22574" y="33623"/>
                                    <a:pt x="25432" y="33338"/>
                                    <a:pt x="28194" y="33338"/>
                                  </a:cubicBezTo>
                                  <a:cubicBezTo>
                                    <a:pt x="32194" y="33338"/>
                                    <a:pt x="35528" y="33719"/>
                                    <a:pt x="38195" y="34576"/>
                                  </a:cubicBezTo>
                                  <a:cubicBezTo>
                                    <a:pt x="40957" y="35433"/>
                                    <a:pt x="43148" y="36671"/>
                                    <a:pt x="44863" y="38481"/>
                                  </a:cubicBezTo>
                                  <a:cubicBezTo>
                                    <a:pt x="46577" y="40291"/>
                                    <a:pt x="47815" y="42577"/>
                                    <a:pt x="48482" y="45434"/>
                                  </a:cubicBezTo>
                                  <a:cubicBezTo>
                                    <a:pt x="49244" y="48292"/>
                                    <a:pt x="49625" y="51721"/>
                                    <a:pt x="49625" y="55817"/>
                                  </a:cubicBezTo>
                                  <a:lnTo>
                                    <a:pt x="49625" y="92678"/>
                                  </a:lnTo>
                                  <a:lnTo>
                                    <a:pt x="56674" y="92678"/>
                                  </a:lnTo>
                                  <a:lnTo>
                                    <a:pt x="56674" y="98203"/>
                                  </a:lnTo>
                                  <a:cubicBezTo>
                                    <a:pt x="55912" y="98393"/>
                                    <a:pt x="55054" y="98584"/>
                                    <a:pt x="54102" y="98870"/>
                                  </a:cubicBezTo>
                                  <a:cubicBezTo>
                                    <a:pt x="53054" y="99155"/>
                                    <a:pt x="52102" y="99346"/>
                                    <a:pt x="50959" y="99536"/>
                                  </a:cubicBezTo>
                                  <a:cubicBezTo>
                                    <a:pt x="49911" y="99727"/>
                                    <a:pt x="48768" y="99917"/>
                                    <a:pt x="47625" y="100108"/>
                                  </a:cubicBezTo>
                                  <a:cubicBezTo>
                                    <a:pt x="46482" y="100298"/>
                                    <a:pt x="45434" y="100298"/>
                                    <a:pt x="44386" y="100298"/>
                                  </a:cubicBezTo>
                                  <a:cubicBezTo>
                                    <a:pt x="43339" y="100298"/>
                                    <a:pt x="42386" y="100298"/>
                                    <a:pt x="41624" y="100203"/>
                                  </a:cubicBezTo>
                                  <a:cubicBezTo>
                                    <a:pt x="40862" y="100108"/>
                                    <a:pt x="40195" y="99822"/>
                                    <a:pt x="39719" y="99441"/>
                                  </a:cubicBezTo>
                                  <a:cubicBezTo>
                                    <a:pt x="39243" y="99060"/>
                                    <a:pt x="38862" y="98489"/>
                                    <a:pt x="38576" y="97631"/>
                                  </a:cubicBezTo>
                                  <a:cubicBezTo>
                                    <a:pt x="38290" y="96869"/>
                                    <a:pt x="38195" y="95726"/>
                                    <a:pt x="38195" y="94393"/>
                                  </a:cubicBezTo>
                                  <a:lnTo>
                                    <a:pt x="38195" y="92297"/>
                                  </a:lnTo>
                                  <a:cubicBezTo>
                                    <a:pt x="37719" y="92774"/>
                                    <a:pt x="36862" y="93440"/>
                                    <a:pt x="35814" y="94298"/>
                                  </a:cubicBezTo>
                                  <a:cubicBezTo>
                                    <a:pt x="34671" y="95155"/>
                                    <a:pt x="33338" y="96107"/>
                                    <a:pt x="31718" y="96965"/>
                                  </a:cubicBezTo>
                                  <a:cubicBezTo>
                                    <a:pt x="30099" y="97822"/>
                                    <a:pt x="28289" y="98584"/>
                                    <a:pt x="26194" y="99250"/>
                                  </a:cubicBezTo>
                                  <a:cubicBezTo>
                                    <a:pt x="24098" y="99917"/>
                                    <a:pt x="21907" y="100203"/>
                                    <a:pt x="19526" y="100203"/>
                                  </a:cubicBezTo>
                                  <a:cubicBezTo>
                                    <a:pt x="16954" y="100203"/>
                                    <a:pt x="14478" y="99822"/>
                                    <a:pt x="12097" y="99155"/>
                                  </a:cubicBezTo>
                                  <a:cubicBezTo>
                                    <a:pt x="9715" y="98489"/>
                                    <a:pt x="7715" y="97346"/>
                                    <a:pt x="5905" y="95917"/>
                                  </a:cubicBezTo>
                                  <a:cubicBezTo>
                                    <a:pt x="4096" y="94488"/>
                                    <a:pt x="2667" y="92583"/>
                                    <a:pt x="1619" y="90202"/>
                                  </a:cubicBezTo>
                                  <a:cubicBezTo>
                                    <a:pt x="476" y="87916"/>
                                    <a:pt x="0" y="85153"/>
                                    <a:pt x="0" y="81915"/>
                                  </a:cubicBezTo>
                                  <a:close/>
                                  <a:moveTo>
                                    <a:pt x="27146" y="22479"/>
                                  </a:moveTo>
                                  <a:cubicBezTo>
                                    <a:pt x="24194" y="22479"/>
                                    <a:pt x="21526" y="21907"/>
                                    <a:pt x="19145" y="20860"/>
                                  </a:cubicBezTo>
                                  <a:cubicBezTo>
                                    <a:pt x="16764" y="19812"/>
                                    <a:pt x="14764" y="18383"/>
                                    <a:pt x="13144" y="16574"/>
                                  </a:cubicBezTo>
                                  <a:cubicBezTo>
                                    <a:pt x="11525" y="14764"/>
                                    <a:pt x="10287" y="12764"/>
                                    <a:pt x="9430" y="10382"/>
                                  </a:cubicBezTo>
                                  <a:cubicBezTo>
                                    <a:pt x="8572" y="8001"/>
                                    <a:pt x="8096" y="5620"/>
                                    <a:pt x="8096" y="3048"/>
                                  </a:cubicBezTo>
                                  <a:cubicBezTo>
                                    <a:pt x="8096" y="2476"/>
                                    <a:pt x="8096" y="2000"/>
                                    <a:pt x="8096" y="1429"/>
                                  </a:cubicBezTo>
                                  <a:cubicBezTo>
                                    <a:pt x="8096" y="857"/>
                                    <a:pt x="8192" y="381"/>
                                    <a:pt x="8192" y="0"/>
                                  </a:cubicBezTo>
                                  <a:lnTo>
                                    <a:pt x="14954" y="0"/>
                                  </a:lnTo>
                                  <a:cubicBezTo>
                                    <a:pt x="14954" y="191"/>
                                    <a:pt x="14954" y="476"/>
                                    <a:pt x="14954" y="857"/>
                                  </a:cubicBezTo>
                                  <a:cubicBezTo>
                                    <a:pt x="14954" y="1238"/>
                                    <a:pt x="15049" y="1619"/>
                                    <a:pt x="15049" y="2096"/>
                                  </a:cubicBezTo>
                                  <a:cubicBezTo>
                                    <a:pt x="15240" y="2953"/>
                                    <a:pt x="15526" y="4000"/>
                                    <a:pt x="15907" y="5239"/>
                                  </a:cubicBezTo>
                                  <a:cubicBezTo>
                                    <a:pt x="16383" y="6382"/>
                                    <a:pt x="17050" y="7525"/>
                                    <a:pt x="17907" y="8573"/>
                                  </a:cubicBezTo>
                                  <a:cubicBezTo>
                                    <a:pt x="18859" y="9620"/>
                                    <a:pt x="20002" y="10477"/>
                                    <a:pt x="21526" y="11240"/>
                                  </a:cubicBezTo>
                                  <a:cubicBezTo>
                                    <a:pt x="23050" y="12001"/>
                                    <a:pt x="24860" y="12287"/>
                                    <a:pt x="27146" y="12287"/>
                                  </a:cubicBezTo>
                                  <a:cubicBezTo>
                                    <a:pt x="29337" y="12287"/>
                                    <a:pt x="31242" y="11906"/>
                                    <a:pt x="32671" y="11240"/>
                                  </a:cubicBezTo>
                                  <a:cubicBezTo>
                                    <a:pt x="34099" y="10477"/>
                                    <a:pt x="35242" y="9620"/>
                                    <a:pt x="36195" y="8573"/>
                                  </a:cubicBezTo>
                                  <a:cubicBezTo>
                                    <a:pt x="37052" y="7525"/>
                                    <a:pt x="37719" y="6382"/>
                                    <a:pt x="38100" y="5239"/>
                                  </a:cubicBezTo>
                                  <a:cubicBezTo>
                                    <a:pt x="38481" y="4096"/>
                                    <a:pt x="38767" y="3048"/>
                                    <a:pt x="38957" y="2096"/>
                                  </a:cubicBezTo>
                                  <a:cubicBezTo>
                                    <a:pt x="39052" y="1238"/>
                                    <a:pt x="39148" y="476"/>
                                    <a:pt x="39148" y="95"/>
                                  </a:cubicBezTo>
                                  <a:lnTo>
                                    <a:pt x="45625" y="95"/>
                                  </a:lnTo>
                                  <a:cubicBezTo>
                                    <a:pt x="45625" y="476"/>
                                    <a:pt x="45720" y="952"/>
                                    <a:pt x="45720" y="1524"/>
                                  </a:cubicBezTo>
                                  <a:cubicBezTo>
                                    <a:pt x="45720" y="2096"/>
                                    <a:pt x="45815" y="2572"/>
                                    <a:pt x="45815" y="3143"/>
                                  </a:cubicBezTo>
                                  <a:cubicBezTo>
                                    <a:pt x="45815" y="5715"/>
                                    <a:pt x="45339" y="8192"/>
                                    <a:pt x="44482" y="10477"/>
                                  </a:cubicBezTo>
                                  <a:cubicBezTo>
                                    <a:pt x="43624" y="12859"/>
                                    <a:pt x="42386" y="14859"/>
                                    <a:pt x="40767" y="16669"/>
                                  </a:cubicBezTo>
                                  <a:cubicBezTo>
                                    <a:pt x="39148" y="18478"/>
                                    <a:pt x="37147" y="19907"/>
                                    <a:pt x="34861" y="20955"/>
                                  </a:cubicBezTo>
                                  <a:cubicBezTo>
                                    <a:pt x="32575" y="22003"/>
                                    <a:pt x="30004" y="22479"/>
                                    <a:pt x="27146" y="22479"/>
                                  </a:cubicBezTo>
                                  <a:close/>
                                  <a:moveTo>
                                    <a:pt x="24384" y="91535"/>
                                  </a:moveTo>
                                  <a:cubicBezTo>
                                    <a:pt x="25146" y="91535"/>
                                    <a:pt x="26098" y="91440"/>
                                    <a:pt x="27242" y="91249"/>
                                  </a:cubicBezTo>
                                  <a:cubicBezTo>
                                    <a:pt x="28289" y="91059"/>
                                    <a:pt x="29432" y="90773"/>
                                    <a:pt x="30670" y="90392"/>
                                  </a:cubicBezTo>
                                  <a:cubicBezTo>
                                    <a:pt x="31813" y="90011"/>
                                    <a:pt x="32956" y="89535"/>
                                    <a:pt x="34195" y="88964"/>
                                  </a:cubicBezTo>
                                  <a:cubicBezTo>
                                    <a:pt x="35338" y="88392"/>
                                    <a:pt x="36385" y="87821"/>
                                    <a:pt x="37338" y="87058"/>
                                  </a:cubicBezTo>
                                  <a:lnTo>
                                    <a:pt x="37338" y="66294"/>
                                  </a:lnTo>
                                  <a:cubicBezTo>
                                    <a:pt x="32861" y="66294"/>
                                    <a:pt x="29051" y="66675"/>
                                    <a:pt x="26003" y="67437"/>
                                  </a:cubicBezTo>
                                  <a:cubicBezTo>
                                    <a:pt x="22955" y="68199"/>
                                    <a:pt x="20574" y="69247"/>
                                    <a:pt x="18764" y="70580"/>
                                  </a:cubicBezTo>
                                  <a:cubicBezTo>
                                    <a:pt x="16954" y="71914"/>
                                    <a:pt x="15716" y="73343"/>
                                    <a:pt x="14954" y="75057"/>
                                  </a:cubicBezTo>
                                  <a:cubicBezTo>
                                    <a:pt x="14192" y="76676"/>
                                    <a:pt x="13811" y="78486"/>
                                    <a:pt x="13811" y="80296"/>
                                  </a:cubicBezTo>
                                  <a:cubicBezTo>
                                    <a:pt x="13811" y="82391"/>
                                    <a:pt x="14097" y="84106"/>
                                    <a:pt x="14669" y="85534"/>
                                  </a:cubicBezTo>
                                  <a:cubicBezTo>
                                    <a:pt x="15240" y="86963"/>
                                    <a:pt x="16002" y="88106"/>
                                    <a:pt x="16954" y="89059"/>
                                  </a:cubicBezTo>
                                  <a:cubicBezTo>
                                    <a:pt x="17907" y="89916"/>
                                    <a:pt x="19050" y="90583"/>
                                    <a:pt x="20383" y="90964"/>
                                  </a:cubicBezTo>
                                  <a:cubicBezTo>
                                    <a:pt x="21431" y="91345"/>
                                    <a:pt x="22860" y="91535"/>
                                    <a:pt x="24384" y="91535"/>
                                  </a:cubicBez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970308897" name="Freeform: Shape 1970308897"/>
                          <wps:cNvSpPr/>
                          <wps:spPr>
                            <a:xfrm>
                              <a:off x="910780" y="415194"/>
                              <a:ext cx="41529" cy="81153"/>
                            </a:xfrm>
                            <a:custGeom>
                              <a:avLst/>
                              <a:gdLst>
                                <a:gd name="connsiteX0" fmla="*/ 8192 w 41529"/>
                                <a:gd name="connsiteY0" fmla="*/ 67818 h 81153"/>
                                <a:gd name="connsiteX1" fmla="*/ 8192 w 41529"/>
                                <a:gd name="connsiteY1" fmla="*/ 23717 h 81153"/>
                                <a:gd name="connsiteX2" fmla="*/ 0 w 41529"/>
                                <a:gd name="connsiteY2" fmla="*/ 23717 h 81153"/>
                                <a:gd name="connsiteX3" fmla="*/ 0 w 41529"/>
                                <a:gd name="connsiteY3" fmla="*/ 18383 h 81153"/>
                                <a:gd name="connsiteX4" fmla="*/ 3429 w 41529"/>
                                <a:gd name="connsiteY4" fmla="*/ 17240 h 81153"/>
                                <a:gd name="connsiteX5" fmla="*/ 5905 w 41529"/>
                                <a:gd name="connsiteY5" fmla="*/ 16097 h 81153"/>
                                <a:gd name="connsiteX6" fmla="*/ 9049 w 41529"/>
                                <a:gd name="connsiteY6" fmla="*/ 11906 h 81153"/>
                                <a:gd name="connsiteX7" fmla="*/ 10192 w 41529"/>
                                <a:gd name="connsiteY7" fmla="*/ 9239 h 81153"/>
                                <a:gd name="connsiteX8" fmla="*/ 11525 w 41529"/>
                                <a:gd name="connsiteY8" fmla="*/ 5810 h 81153"/>
                                <a:gd name="connsiteX9" fmla="*/ 12668 w 41529"/>
                                <a:gd name="connsiteY9" fmla="*/ 2476 h 81153"/>
                                <a:gd name="connsiteX10" fmla="*/ 13430 w 41529"/>
                                <a:gd name="connsiteY10" fmla="*/ 0 h 81153"/>
                                <a:gd name="connsiteX11" fmla="*/ 20669 w 41529"/>
                                <a:gd name="connsiteY11" fmla="*/ 0 h 81153"/>
                                <a:gd name="connsiteX12" fmla="*/ 20669 w 41529"/>
                                <a:gd name="connsiteY12" fmla="*/ 15621 h 81153"/>
                                <a:gd name="connsiteX13" fmla="*/ 39624 w 41529"/>
                                <a:gd name="connsiteY13" fmla="*/ 15621 h 81153"/>
                                <a:gd name="connsiteX14" fmla="*/ 39624 w 41529"/>
                                <a:gd name="connsiteY14" fmla="*/ 23813 h 81153"/>
                                <a:gd name="connsiteX15" fmla="*/ 20765 w 41529"/>
                                <a:gd name="connsiteY15" fmla="*/ 23813 h 81153"/>
                                <a:gd name="connsiteX16" fmla="*/ 20765 w 41529"/>
                                <a:gd name="connsiteY16" fmla="*/ 57626 h 81153"/>
                                <a:gd name="connsiteX17" fmla="*/ 20860 w 41529"/>
                                <a:gd name="connsiteY17" fmla="*/ 65437 h 81153"/>
                                <a:gd name="connsiteX18" fmla="*/ 21622 w 41529"/>
                                <a:gd name="connsiteY18" fmla="*/ 69628 h 81153"/>
                                <a:gd name="connsiteX19" fmla="*/ 23527 w 41529"/>
                                <a:gd name="connsiteY19" fmla="*/ 71247 h 81153"/>
                                <a:gd name="connsiteX20" fmla="*/ 27051 w 41529"/>
                                <a:gd name="connsiteY20" fmla="*/ 71533 h 81153"/>
                                <a:gd name="connsiteX21" fmla="*/ 27146 w 41529"/>
                                <a:gd name="connsiteY21" fmla="*/ 71533 h 81153"/>
                                <a:gd name="connsiteX22" fmla="*/ 30575 w 41529"/>
                                <a:gd name="connsiteY22" fmla="*/ 71342 h 81153"/>
                                <a:gd name="connsiteX23" fmla="*/ 34099 w 41529"/>
                                <a:gd name="connsiteY23" fmla="*/ 70771 h 81153"/>
                                <a:gd name="connsiteX24" fmla="*/ 37243 w 41529"/>
                                <a:gd name="connsiteY24" fmla="*/ 70104 h 81153"/>
                                <a:gd name="connsiteX25" fmla="*/ 39529 w 41529"/>
                                <a:gd name="connsiteY25" fmla="*/ 69437 h 81153"/>
                                <a:gd name="connsiteX26" fmla="*/ 39624 w 41529"/>
                                <a:gd name="connsiteY26" fmla="*/ 69437 h 81153"/>
                                <a:gd name="connsiteX27" fmla="*/ 41529 w 41529"/>
                                <a:gd name="connsiteY27" fmla="*/ 74962 h 81153"/>
                                <a:gd name="connsiteX28" fmla="*/ 37814 w 41529"/>
                                <a:gd name="connsiteY28" fmla="*/ 77057 h 81153"/>
                                <a:gd name="connsiteX29" fmla="*/ 32671 w 41529"/>
                                <a:gd name="connsiteY29" fmla="*/ 79057 h 81153"/>
                                <a:gd name="connsiteX30" fmla="*/ 26860 w 41529"/>
                                <a:gd name="connsiteY30" fmla="*/ 80581 h 81153"/>
                                <a:gd name="connsiteX31" fmla="*/ 21241 w 41529"/>
                                <a:gd name="connsiteY31" fmla="*/ 81153 h 81153"/>
                                <a:gd name="connsiteX32" fmla="*/ 21145 w 41529"/>
                                <a:gd name="connsiteY32" fmla="*/ 81153 h 81153"/>
                                <a:gd name="connsiteX33" fmla="*/ 15811 w 41529"/>
                                <a:gd name="connsiteY33" fmla="*/ 80486 h 81153"/>
                                <a:gd name="connsiteX34" fmla="*/ 11811 w 41529"/>
                                <a:gd name="connsiteY34" fmla="*/ 78296 h 81153"/>
                                <a:gd name="connsiteX35" fmla="*/ 9239 w 41529"/>
                                <a:gd name="connsiteY35" fmla="*/ 74200 h 81153"/>
                                <a:gd name="connsiteX36" fmla="*/ 8192 w 41529"/>
                                <a:gd name="connsiteY36" fmla="*/ 67818 h 8115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Lst>
                              <a:rect l="l" t="t" r="r" b="b"/>
                              <a:pathLst>
                                <a:path w="41529" h="81153">
                                  <a:moveTo>
                                    <a:pt x="8192" y="67818"/>
                                  </a:moveTo>
                                  <a:lnTo>
                                    <a:pt x="8192" y="23717"/>
                                  </a:lnTo>
                                  <a:lnTo>
                                    <a:pt x="0" y="23717"/>
                                  </a:lnTo>
                                  <a:lnTo>
                                    <a:pt x="0" y="18383"/>
                                  </a:lnTo>
                                  <a:cubicBezTo>
                                    <a:pt x="1143" y="18002"/>
                                    <a:pt x="2286" y="17621"/>
                                    <a:pt x="3429" y="17240"/>
                                  </a:cubicBezTo>
                                  <a:cubicBezTo>
                                    <a:pt x="4572" y="16859"/>
                                    <a:pt x="5429" y="16478"/>
                                    <a:pt x="5905" y="16097"/>
                                  </a:cubicBezTo>
                                  <a:cubicBezTo>
                                    <a:pt x="7144" y="15240"/>
                                    <a:pt x="8192" y="13811"/>
                                    <a:pt x="9049" y="11906"/>
                                  </a:cubicBezTo>
                                  <a:cubicBezTo>
                                    <a:pt x="9334" y="11240"/>
                                    <a:pt x="9715" y="10382"/>
                                    <a:pt x="10192" y="9239"/>
                                  </a:cubicBezTo>
                                  <a:cubicBezTo>
                                    <a:pt x="10668" y="8096"/>
                                    <a:pt x="11049" y="6953"/>
                                    <a:pt x="11525" y="5810"/>
                                  </a:cubicBezTo>
                                  <a:cubicBezTo>
                                    <a:pt x="12001" y="4667"/>
                                    <a:pt x="12382" y="3524"/>
                                    <a:pt x="12668" y="2476"/>
                                  </a:cubicBezTo>
                                  <a:cubicBezTo>
                                    <a:pt x="13049" y="1429"/>
                                    <a:pt x="13240" y="572"/>
                                    <a:pt x="13430" y="0"/>
                                  </a:cubicBezTo>
                                  <a:lnTo>
                                    <a:pt x="20669" y="0"/>
                                  </a:lnTo>
                                  <a:lnTo>
                                    <a:pt x="20669" y="15621"/>
                                  </a:lnTo>
                                  <a:lnTo>
                                    <a:pt x="39624" y="15621"/>
                                  </a:lnTo>
                                  <a:lnTo>
                                    <a:pt x="39624" y="23813"/>
                                  </a:lnTo>
                                  <a:lnTo>
                                    <a:pt x="20765" y="23813"/>
                                  </a:lnTo>
                                  <a:lnTo>
                                    <a:pt x="20765" y="57626"/>
                                  </a:lnTo>
                                  <a:cubicBezTo>
                                    <a:pt x="20765" y="60960"/>
                                    <a:pt x="20765" y="63627"/>
                                    <a:pt x="20860" y="65437"/>
                                  </a:cubicBezTo>
                                  <a:cubicBezTo>
                                    <a:pt x="20955" y="67342"/>
                                    <a:pt x="21241" y="68675"/>
                                    <a:pt x="21622" y="69628"/>
                                  </a:cubicBezTo>
                                  <a:cubicBezTo>
                                    <a:pt x="22098" y="70485"/>
                                    <a:pt x="22669" y="71056"/>
                                    <a:pt x="23527" y="71247"/>
                                  </a:cubicBezTo>
                                  <a:cubicBezTo>
                                    <a:pt x="24384" y="71438"/>
                                    <a:pt x="25622" y="71533"/>
                                    <a:pt x="27051" y="71533"/>
                                  </a:cubicBezTo>
                                  <a:lnTo>
                                    <a:pt x="27146" y="71533"/>
                                  </a:lnTo>
                                  <a:cubicBezTo>
                                    <a:pt x="28194" y="71533"/>
                                    <a:pt x="29337" y="71438"/>
                                    <a:pt x="30575" y="71342"/>
                                  </a:cubicBezTo>
                                  <a:cubicBezTo>
                                    <a:pt x="31718" y="71152"/>
                                    <a:pt x="32956" y="71056"/>
                                    <a:pt x="34099" y="70771"/>
                                  </a:cubicBezTo>
                                  <a:cubicBezTo>
                                    <a:pt x="35242" y="70580"/>
                                    <a:pt x="36290" y="70295"/>
                                    <a:pt x="37243" y="70104"/>
                                  </a:cubicBezTo>
                                  <a:cubicBezTo>
                                    <a:pt x="38195" y="69818"/>
                                    <a:pt x="38957" y="69628"/>
                                    <a:pt x="39529" y="69437"/>
                                  </a:cubicBezTo>
                                  <a:lnTo>
                                    <a:pt x="39624" y="69437"/>
                                  </a:lnTo>
                                  <a:lnTo>
                                    <a:pt x="41529" y="74962"/>
                                  </a:lnTo>
                                  <a:cubicBezTo>
                                    <a:pt x="40672" y="75628"/>
                                    <a:pt x="39338" y="76391"/>
                                    <a:pt x="37814" y="77057"/>
                                  </a:cubicBezTo>
                                  <a:cubicBezTo>
                                    <a:pt x="36290" y="77724"/>
                                    <a:pt x="34480" y="78486"/>
                                    <a:pt x="32671" y="79057"/>
                                  </a:cubicBezTo>
                                  <a:cubicBezTo>
                                    <a:pt x="30766" y="79629"/>
                                    <a:pt x="28861" y="80200"/>
                                    <a:pt x="26860" y="80581"/>
                                  </a:cubicBezTo>
                                  <a:cubicBezTo>
                                    <a:pt x="24860" y="80963"/>
                                    <a:pt x="22955" y="81153"/>
                                    <a:pt x="21241" y="81153"/>
                                  </a:cubicBezTo>
                                  <a:lnTo>
                                    <a:pt x="21145" y="81153"/>
                                  </a:lnTo>
                                  <a:cubicBezTo>
                                    <a:pt x="19145" y="81153"/>
                                    <a:pt x="17335" y="80963"/>
                                    <a:pt x="15811" y="80486"/>
                                  </a:cubicBezTo>
                                  <a:cubicBezTo>
                                    <a:pt x="14192" y="80010"/>
                                    <a:pt x="12859" y="79248"/>
                                    <a:pt x="11811" y="78296"/>
                                  </a:cubicBezTo>
                                  <a:cubicBezTo>
                                    <a:pt x="10668" y="77248"/>
                                    <a:pt x="9811" y="75914"/>
                                    <a:pt x="9239" y="74200"/>
                                  </a:cubicBezTo>
                                  <a:cubicBezTo>
                                    <a:pt x="8477" y="72390"/>
                                    <a:pt x="8192" y="70295"/>
                                    <a:pt x="8192" y="67818"/>
                                  </a:cubicBez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811528500" name="Freeform: Shape 811528500"/>
                          <wps:cNvSpPr/>
                          <wps:spPr>
                            <a:xfrm>
                              <a:off x="958786" y="429482"/>
                              <a:ext cx="56673" cy="66960"/>
                            </a:xfrm>
                            <a:custGeom>
                              <a:avLst/>
                              <a:gdLst>
                                <a:gd name="connsiteX0" fmla="*/ 0 w 56673"/>
                                <a:gd name="connsiteY0" fmla="*/ 48577 h 66960"/>
                                <a:gd name="connsiteX1" fmla="*/ 1524 w 56673"/>
                                <a:gd name="connsiteY1" fmla="*/ 41339 h 66960"/>
                                <a:gd name="connsiteX2" fmla="*/ 5715 w 56673"/>
                                <a:gd name="connsiteY2" fmla="*/ 35719 h 66960"/>
                                <a:gd name="connsiteX3" fmla="*/ 12001 w 56673"/>
                                <a:gd name="connsiteY3" fmla="*/ 31623 h 66960"/>
                                <a:gd name="connsiteX4" fmla="*/ 19717 w 56673"/>
                                <a:gd name="connsiteY4" fmla="*/ 28861 h 66960"/>
                                <a:gd name="connsiteX5" fmla="*/ 28384 w 56673"/>
                                <a:gd name="connsiteY5" fmla="*/ 27242 h 66960"/>
                                <a:gd name="connsiteX6" fmla="*/ 37243 w 56673"/>
                                <a:gd name="connsiteY6" fmla="*/ 26575 h 66960"/>
                                <a:gd name="connsiteX7" fmla="*/ 37243 w 56673"/>
                                <a:gd name="connsiteY7" fmla="*/ 23622 h 66960"/>
                                <a:gd name="connsiteX8" fmla="*/ 36671 w 56673"/>
                                <a:gd name="connsiteY8" fmla="*/ 16954 h 66960"/>
                                <a:gd name="connsiteX9" fmla="*/ 34766 w 56673"/>
                                <a:gd name="connsiteY9" fmla="*/ 12478 h 66960"/>
                                <a:gd name="connsiteX10" fmla="*/ 31051 w 56673"/>
                                <a:gd name="connsiteY10" fmla="*/ 10001 h 66960"/>
                                <a:gd name="connsiteX11" fmla="*/ 25146 w 56673"/>
                                <a:gd name="connsiteY11" fmla="*/ 9239 h 66960"/>
                                <a:gd name="connsiteX12" fmla="*/ 19050 w 56673"/>
                                <a:gd name="connsiteY12" fmla="*/ 9811 h 66960"/>
                                <a:gd name="connsiteX13" fmla="*/ 13240 w 56673"/>
                                <a:gd name="connsiteY13" fmla="*/ 11240 h 66960"/>
                                <a:gd name="connsiteX14" fmla="*/ 8096 w 56673"/>
                                <a:gd name="connsiteY14" fmla="*/ 12954 h 66960"/>
                                <a:gd name="connsiteX15" fmla="*/ 4191 w 56673"/>
                                <a:gd name="connsiteY15" fmla="*/ 14669 h 66960"/>
                                <a:gd name="connsiteX16" fmla="*/ 4096 w 56673"/>
                                <a:gd name="connsiteY16" fmla="*/ 14669 h 66960"/>
                                <a:gd name="connsiteX17" fmla="*/ 1524 w 56673"/>
                                <a:gd name="connsiteY17" fmla="*/ 9239 h 66960"/>
                                <a:gd name="connsiteX18" fmla="*/ 5334 w 56673"/>
                                <a:gd name="connsiteY18" fmla="*/ 6668 h 66960"/>
                                <a:gd name="connsiteX19" fmla="*/ 11716 w 56673"/>
                                <a:gd name="connsiteY19" fmla="*/ 3620 h 66960"/>
                                <a:gd name="connsiteX20" fmla="*/ 19717 w 56673"/>
                                <a:gd name="connsiteY20" fmla="*/ 1048 h 66960"/>
                                <a:gd name="connsiteX21" fmla="*/ 28194 w 56673"/>
                                <a:gd name="connsiteY21" fmla="*/ 0 h 66960"/>
                                <a:gd name="connsiteX22" fmla="*/ 38195 w 56673"/>
                                <a:gd name="connsiteY22" fmla="*/ 1238 h 66960"/>
                                <a:gd name="connsiteX23" fmla="*/ 44863 w 56673"/>
                                <a:gd name="connsiteY23" fmla="*/ 5144 h 66960"/>
                                <a:gd name="connsiteX24" fmla="*/ 48482 w 56673"/>
                                <a:gd name="connsiteY24" fmla="*/ 12097 h 66960"/>
                                <a:gd name="connsiteX25" fmla="*/ 49625 w 56673"/>
                                <a:gd name="connsiteY25" fmla="*/ 22479 h 66960"/>
                                <a:gd name="connsiteX26" fmla="*/ 49625 w 56673"/>
                                <a:gd name="connsiteY26" fmla="*/ 59341 h 66960"/>
                                <a:gd name="connsiteX27" fmla="*/ 56674 w 56673"/>
                                <a:gd name="connsiteY27" fmla="*/ 59341 h 66960"/>
                                <a:gd name="connsiteX28" fmla="*/ 56674 w 56673"/>
                                <a:gd name="connsiteY28" fmla="*/ 64865 h 66960"/>
                                <a:gd name="connsiteX29" fmla="*/ 54102 w 56673"/>
                                <a:gd name="connsiteY29" fmla="*/ 65532 h 66960"/>
                                <a:gd name="connsiteX30" fmla="*/ 50959 w 56673"/>
                                <a:gd name="connsiteY30" fmla="*/ 66199 h 66960"/>
                                <a:gd name="connsiteX31" fmla="*/ 47625 w 56673"/>
                                <a:gd name="connsiteY31" fmla="*/ 66770 h 66960"/>
                                <a:gd name="connsiteX32" fmla="*/ 44386 w 56673"/>
                                <a:gd name="connsiteY32" fmla="*/ 66961 h 66960"/>
                                <a:gd name="connsiteX33" fmla="*/ 41624 w 56673"/>
                                <a:gd name="connsiteY33" fmla="*/ 66866 h 66960"/>
                                <a:gd name="connsiteX34" fmla="*/ 39719 w 56673"/>
                                <a:gd name="connsiteY34" fmla="*/ 66103 h 66960"/>
                                <a:gd name="connsiteX35" fmla="*/ 38671 w 56673"/>
                                <a:gd name="connsiteY35" fmla="*/ 64294 h 66960"/>
                                <a:gd name="connsiteX36" fmla="*/ 38290 w 56673"/>
                                <a:gd name="connsiteY36" fmla="*/ 61055 h 66960"/>
                                <a:gd name="connsiteX37" fmla="*/ 38290 w 56673"/>
                                <a:gd name="connsiteY37" fmla="*/ 58960 h 66960"/>
                                <a:gd name="connsiteX38" fmla="*/ 35909 w 56673"/>
                                <a:gd name="connsiteY38" fmla="*/ 60960 h 66960"/>
                                <a:gd name="connsiteX39" fmla="*/ 31813 w 56673"/>
                                <a:gd name="connsiteY39" fmla="*/ 63627 h 66960"/>
                                <a:gd name="connsiteX40" fmla="*/ 26289 w 56673"/>
                                <a:gd name="connsiteY40" fmla="*/ 65913 h 66960"/>
                                <a:gd name="connsiteX41" fmla="*/ 19621 w 56673"/>
                                <a:gd name="connsiteY41" fmla="*/ 66866 h 66960"/>
                                <a:gd name="connsiteX42" fmla="*/ 12192 w 56673"/>
                                <a:gd name="connsiteY42" fmla="*/ 65818 h 66960"/>
                                <a:gd name="connsiteX43" fmla="*/ 6001 w 56673"/>
                                <a:gd name="connsiteY43" fmla="*/ 62579 h 66960"/>
                                <a:gd name="connsiteX44" fmla="*/ 1714 w 56673"/>
                                <a:gd name="connsiteY44" fmla="*/ 56864 h 66960"/>
                                <a:gd name="connsiteX45" fmla="*/ 0 w 56673"/>
                                <a:gd name="connsiteY45" fmla="*/ 48577 h 66960"/>
                                <a:gd name="connsiteX46" fmla="*/ 24384 w 56673"/>
                                <a:gd name="connsiteY46" fmla="*/ 58198 h 66960"/>
                                <a:gd name="connsiteX47" fmla="*/ 27241 w 56673"/>
                                <a:gd name="connsiteY47" fmla="*/ 57912 h 66960"/>
                                <a:gd name="connsiteX48" fmla="*/ 30670 w 56673"/>
                                <a:gd name="connsiteY48" fmla="*/ 57055 h 66960"/>
                                <a:gd name="connsiteX49" fmla="*/ 34195 w 56673"/>
                                <a:gd name="connsiteY49" fmla="*/ 55626 h 66960"/>
                                <a:gd name="connsiteX50" fmla="*/ 37338 w 56673"/>
                                <a:gd name="connsiteY50" fmla="*/ 53721 h 66960"/>
                                <a:gd name="connsiteX51" fmla="*/ 37338 w 56673"/>
                                <a:gd name="connsiteY51" fmla="*/ 32956 h 66960"/>
                                <a:gd name="connsiteX52" fmla="*/ 26003 w 56673"/>
                                <a:gd name="connsiteY52" fmla="*/ 34099 h 66960"/>
                                <a:gd name="connsiteX53" fmla="*/ 18764 w 56673"/>
                                <a:gd name="connsiteY53" fmla="*/ 37243 h 66960"/>
                                <a:gd name="connsiteX54" fmla="*/ 14954 w 56673"/>
                                <a:gd name="connsiteY54" fmla="*/ 41720 h 66960"/>
                                <a:gd name="connsiteX55" fmla="*/ 13811 w 56673"/>
                                <a:gd name="connsiteY55" fmla="*/ 46958 h 66960"/>
                                <a:gd name="connsiteX56" fmla="*/ 14668 w 56673"/>
                                <a:gd name="connsiteY56" fmla="*/ 52197 h 66960"/>
                                <a:gd name="connsiteX57" fmla="*/ 16954 w 56673"/>
                                <a:gd name="connsiteY57" fmla="*/ 55721 h 66960"/>
                                <a:gd name="connsiteX58" fmla="*/ 20383 w 56673"/>
                                <a:gd name="connsiteY58" fmla="*/ 57626 h 66960"/>
                                <a:gd name="connsiteX59" fmla="*/ 24384 w 56673"/>
                                <a:gd name="connsiteY59" fmla="*/ 58198 h 6696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Lst>
                              <a:rect l="l" t="t" r="r" b="b"/>
                              <a:pathLst>
                                <a:path w="56673" h="66960">
                                  <a:moveTo>
                                    <a:pt x="0" y="48577"/>
                                  </a:moveTo>
                                  <a:cubicBezTo>
                                    <a:pt x="0" y="45910"/>
                                    <a:pt x="476" y="43434"/>
                                    <a:pt x="1524" y="41339"/>
                                  </a:cubicBezTo>
                                  <a:cubicBezTo>
                                    <a:pt x="2572" y="39243"/>
                                    <a:pt x="3905" y="37338"/>
                                    <a:pt x="5715" y="35719"/>
                                  </a:cubicBezTo>
                                  <a:cubicBezTo>
                                    <a:pt x="7525" y="34099"/>
                                    <a:pt x="9525" y="32766"/>
                                    <a:pt x="12001" y="31623"/>
                                  </a:cubicBezTo>
                                  <a:cubicBezTo>
                                    <a:pt x="14383" y="30480"/>
                                    <a:pt x="16954" y="29527"/>
                                    <a:pt x="19717" y="28861"/>
                                  </a:cubicBezTo>
                                  <a:cubicBezTo>
                                    <a:pt x="22479" y="28194"/>
                                    <a:pt x="25336" y="27623"/>
                                    <a:pt x="28384" y="27242"/>
                                  </a:cubicBezTo>
                                  <a:cubicBezTo>
                                    <a:pt x="31337" y="26860"/>
                                    <a:pt x="34385" y="26670"/>
                                    <a:pt x="37243" y="26575"/>
                                  </a:cubicBezTo>
                                  <a:lnTo>
                                    <a:pt x="37243" y="23622"/>
                                  </a:lnTo>
                                  <a:cubicBezTo>
                                    <a:pt x="37243" y="20955"/>
                                    <a:pt x="37052" y="18764"/>
                                    <a:pt x="36671" y="16954"/>
                                  </a:cubicBezTo>
                                  <a:cubicBezTo>
                                    <a:pt x="36290" y="15145"/>
                                    <a:pt x="35623" y="13621"/>
                                    <a:pt x="34766" y="12478"/>
                                  </a:cubicBezTo>
                                  <a:cubicBezTo>
                                    <a:pt x="33814" y="11335"/>
                                    <a:pt x="32575" y="10477"/>
                                    <a:pt x="31051" y="10001"/>
                                  </a:cubicBezTo>
                                  <a:cubicBezTo>
                                    <a:pt x="29527" y="9525"/>
                                    <a:pt x="27527" y="9239"/>
                                    <a:pt x="25146" y="9239"/>
                                  </a:cubicBezTo>
                                  <a:cubicBezTo>
                                    <a:pt x="23146" y="9239"/>
                                    <a:pt x="21050" y="9430"/>
                                    <a:pt x="19050" y="9811"/>
                                  </a:cubicBezTo>
                                  <a:cubicBezTo>
                                    <a:pt x="17050" y="10192"/>
                                    <a:pt x="15049" y="10668"/>
                                    <a:pt x="13240" y="11240"/>
                                  </a:cubicBezTo>
                                  <a:cubicBezTo>
                                    <a:pt x="11335" y="11811"/>
                                    <a:pt x="9620" y="12382"/>
                                    <a:pt x="8096" y="12954"/>
                                  </a:cubicBezTo>
                                  <a:cubicBezTo>
                                    <a:pt x="6572" y="13621"/>
                                    <a:pt x="5239" y="14192"/>
                                    <a:pt x="4191" y="14669"/>
                                  </a:cubicBezTo>
                                  <a:lnTo>
                                    <a:pt x="4096" y="14669"/>
                                  </a:lnTo>
                                  <a:lnTo>
                                    <a:pt x="1524" y="9239"/>
                                  </a:lnTo>
                                  <a:cubicBezTo>
                                    <a:pt x="2191" y="8573"/>
                                    <a:pt x="3524" y="7715"/>
                                    <a:pt x="5334" y="6668"/>
                                  </a:cubicBezTo>
                                  <a:cubicBezTo>
                                    <a:pt x="7144" y="5620"/>
                                    <a:pt x="9239" y="4572"/>
                                    <a:pt x="11716" y="3620"/>
                                  </a:cubicBezTo>
                                  <a:cubicBezTo>
                                    <a:pt x="14192" y="2667"/>
                                    <a:pt x="16859" y="1810"/>
                                    <a:pt x="19717" y="1048"/>
                                  </a:cubicBezTo>
                                  <a:cubicBezTo>
                                    <a:pt x="22574" y="286"/>
                                    <a:pt x="25432" y="0"/>
                                    <a:pt x="28194" y="0"/>
                                  </a:cubicBezTo>
                                  <a:cubicBezTo>
                                    <a:pt x="32194" y="0"/>
                                    <a:pt x="35528" y="381"/>
                                    <a:pt x="38195" y="1238"/>
                                  </a:cubicBezTo>
                                  <a:cubicBezTo>
                                    <a:pt x="40957" y="2096"/>
                                    <a:pt x="43148" y="3334"/>
                                    <a:pt x="44863" y="5144"/>
                                  </a:cubicBezTo>
                                  <a:cubicBezTo>
                                    <a:pt x="46577" y="6953"/>
                                    <a:pt x="47815" y="9239"/>
                                    <a:pt x="48482" y="12097"/>
                                  </a:cubicBezTo>
                                  <a:cubicBezTo>
                                    <a:pt x="49244" y="14954"/>
                                    <a:pt x="49625" y="18383"/>
                                    <a:pt x="49625" y="22479"/>
                                  </a:cubicBezTo>
                                  <a:lnTo>
                                    <a:pt x="49625" y="59341"/>
                                  </a:lnTo>
                                  <a:lnTo>
                                    <a:pt x="56674" y="59341"/>
                                  </a:lnTo>
                                  <a:lnTo>
                                    <a:pt x="56674" y="64865"/>
                                  </a:lnTo>
                                  <a:cubicBezTo>
                                    <a:pt x="55912" y="65056"/>
                                    <a:pt x="55054" y="65246"/>
                                    <a:pt x="54102" y="65532"/>
                                  </a:cubicBezTo>
                                  <a:cubicBezTo>
                                    <a:pt x="53054" y="65818"/>
                                    <a:pt x="52102" y="66008"/>
                                    <a:pt x="50959" y="66199"/>
                                  </a:cubicBezTo>
                                  <a:cubicBezTo>
                                    <a:pt x="49911" y="66389"/>
                                    <a:pt x="48768" y="66580"/>
                                    <a:pt x="47625" y="66770"/>
                                  </a:cubicBezTo>
                                  <a:cubicBezTo>
                                    <a:pt x="46482" y="66961"/>
                                    <a:pt x="45434" y="66961"/>
                                    <a:pt x="44386" y="66961"/>
                                  </a:cubicBezTo>
                                  <a:cubicBezTo>
                                    <a:pt x="43339" y="66961"/>
                                    <a:pt x="42386" y="66961"/>
                                    <a:pt x="41624" y="66866"/>
                                  </a:cubicBezTo>
                                  <a:cubicBezTo>
                                    <a:pt x="40862" y="66770"/>
                                    <a:pt x="40195" y="66484"/>
                                    <a:pt x="39719" y="66103"/>
                                  </a:cubicBezTo>
                                  <a:cubicBezTo>
                                    <a:pt x="39243" y="65723"/>
                                    <a:pt x="38862" y="65151"/>
                                    <a:pt x="38671" y="64294"/>
                                  </a:cubicBezTo>
                                  <a:cubicBezTo>
                                    <a:pt x="38386" y="63532"/>
                                    <a:pt x="38290" y="62389"/>
                                    <a:pt x="38290" y="61055"/>
                                  </a:cubicBezTo>
                                  <a:lnTo>
                                    <a:pt x="38290" y="58960"/>
                                  </a:lnTo>
                                  <a:cubicBezTo>
                                    <a:pt x="37814" y="59436"/>
                                    <a:pt x="36957" y="60103"/>
                                    <a:pt x="35909" y="60960"/>
                                  </a:cubicBezTo>
                                  <a:cubicBezTo>
                                    <a:pt x="34766" y="61817"/>
                                    <a:pt x="33433" y="62770"/>
                                    <a:pt x="31813" y="63627"/>
                                  </a:cubicBezTo>
                                  <a:cubicBezTo>
                                    <a:pt x="30194" y="64484"/>
                                    <a:pt x="28384" y="65246"/>
                                    <a:pt x="26289" y="65913"/>
                                  </a:cubicBezTo>
                                  <a:cubicBezTo>
                                    <a:pt x="24193" y="66580"/>
                                    <a:pt x="22003" y="66866"/>
                                    <a:pt x="19621" y="66866"/>
                                  </a:cubicBezTo>
                                  <a:cubicBezTo>
                                    <a:pt x="17050" y="66866"/>
                                    <a:pt x="14573" y="66484"/>
                                    <a:pt x="12192" y="65818"/>
                                  </a:cubicBezTo>
                                  <a:cubicBezTo>
                                    <a:pt x="9811" y="65151"/>
                                    <a:pt x="7810" y="64008"/>
                                    <a:pt x="6001" y="62579"/>
                                  </a:cubicBezTo>
                                  <a:cubicBezTo>
                                    <a:pt x="4191" y="61150"/>
                                    <a:pt x="2762" y="59246"/>
                                    <a:pt x="1714" y="56864"/>
                                  </a:cubicBezTo>
                                  <a:cubicBezTo>
                                    <a:pt x="571" y="54578"/>
                                    <a:pt x="0" y="51816"/>
                                    <a:pt x="0" y="48577"/>
                                  </a:cubicBezTo>
                                  <a:close/>
                                  <a:moveTo>
                                    <a:pt x="24384" y="58198"/>
                                  </a:moveTo>
                                  <a:cubicBezTo>
                                    <a:pt x="25146" y="58198"/>
                                    <a:pt x="26098" y="58102"/>
                                    <a:pt x="27241" y="57912"/>
                                  </a:cubicBezTo>
                                  <a:cubicBezTo>
                                    <a:pt x="28289" y="57722"/>
                                    <a:pt x="29432" y="57436"/>
                                    <a:pt x="30670" y="57055"/>
                                  </a:cubicBezTo>
                                  <a:cubicBezTo>
                                    <a:pt x="31813" y="56674"/>
                                    <a:pt x="32956" y="56198"/>
                                    <a:pt x="34195" y="55626"/>
                                  </a:cubicBezTo>
                                  <a:cubicBezTo>
                                    <a:pt x="35338" y="55054"/>
                                    <a:pt x="36385" y="54483"/>
                                    <a:pt x="37338" y="53721"/>
                                  </a:cubicBezTo>
                                  <a:lnTo>
                                    <a:pt x="37338" y="32956"/>
                                  </a:lnTo>
                                  <a:cubicBezTo>
                                    <a:pt x="32861" y="32956"/>
                                    <a:pt x="29051" y="33338"/>
                                    <a:pt x="26003" y="34099"/>
                                  </a:cubicBezTo>
                                  <a:cubicBezTo>
                                    <a:pt x="22955" y="34862"/>
                                    <a:pt x="20574" y="35909"/>
                                    <a:pt x="18764" y="37243"/>
                                  </a:cubicBezTo>
                                  <a:cubicBezTo>
                                    <a:pt x="16954" y="38576"/>
                                    <a:pt x="15716" y="40005"/>
                                    <a:pt x="14954" y="41720"/>
                                  </a:cubicBezTo>
                                  <a:cubicBezTo>
                                    <a:pt x="14192" y="43339"/>
                                    <a:pt x="13811" y="45149"/>
                                    <a:pt x="13811" y="46958"/>
                                  </a:cubicBezTo>
                                  <a:cubicBezTo>
                                    <a:pt x="13811" y="49054"/>
                                    <a:pt x="14097" y="50768"/>
                                    <a:pt x="14668" y="52197"/>
                                  </a:cubicBezTo>
                                  <a:cubicBezTo>
                                    <a:pt x="15240" y="53626"/>
                                    <a:pt x="16002" y="54769"/>
                                    <a:pt x="16954" y="55721"/>
                                  </a:cubicBezTo>
                                  <a:cubicBezTo>
                                    <a:pt x="17907" y="56578"/>
                                    <a:pt x="19050" y="57245"/>
                                    <a:pt x="20383" y="57626"/>
                                  </a:cubicBezTo>
                                  <a:cubicBezTo>
                                    <a:pt x="21526" y="58007"/>
                                    <a:pt x="22860" y="58198"/>
                                    <a:pt x="24384" y="58198"/>
                                  </a:cubicBez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983241850" name="Freeform: Shape 1983241850"/>
                          <wps:cNvSpPr/>
                          <wps:spPr>
                            <a:xfrm>
                              <a:off x="1023080" y="415194"/>
                              <a:ext cx="41528" cy="81153"/>
                            </a:xfrm>
                            <a:custGeom>
                              <a:avLst/>
                              <a:gdLst>
                                <a:gd name="connsiteX0" fmla="*/ 8191 w 41528"/>
                                <a:gd name="connsiteY0" fmla="*/ 67818 h 81153"/>
                                <a:gd name="connsiteX1" fmla="*/ 8191 w 41528"/>
                                <a:gd name="connsiteY1" fmla="*/ 23717 h 81153"/>
                                <a:gd name="connsiteX2" fmla="*/ 0 w 41528"/>
                                <a:gd name="connsiteY2" fmla="*/ 23717 h 81153"/>
                                <a:gd name="connsiteX3" fmla="*/ 0 w 41528"/>
                                <a:gd name="connsiteY3" fmla="*/ 18383 h 81153"/>
                                <a:gd name="connsiteX4" fmla="*/ 3524 w 41528"/>
                                <a:gd name="connsiteY4" fmla="*/ 17240 h 81153"/>
                                <a:gd name="connsiteX5" fmla="*/ 6001 w 41528"/>
                                <a:gd name="connsiteY5" fmla="*/ 16097 h 81153"/>
                                <a:gd name="connsiteX6" fmla="*/ 9144 w 41528"/>
                                <a:gd name="connsiteY6" fmla="*/ 11906 h 81153"/>
                                <a:gd name="connsiteX7" fmla="*/ 10287 w 41528"/>
                                <a:gd name="connsiteY7" fmla="*/ 9239 h 81153"/>
                                <a:gd name="connsiteX8" fmla="*/ 11620 w 41528"/>
                                <a:gd name="connsiteY8" fmla="*/ 5810 h 81153"/>
                                <a:gd name="connsiteX9" fmla="*/ 12763 w 41528"/>
                                <a:gd name="connsiteY9" fmla="*/ 2476 h 81153"/>
                                <a:gd name="connsiteX10" fmla="*/ 13525 w 41528"/>
                                <a:gd name="connsiteY10" fmla="*/ 0 h 81153"/>
                                <a:gd name="connsiteX11" fmla="*/ 20764 w 41528"/>
                                <a:gd name="connsiteY11" fmla="*/ 0 h 81153"/>
                                <a:gd name="connsiteX12" fmla="*/ 20764 w 41528"/>
                                <a:gd name="connsiteY12" fmla="*/ 15621 h 81153"/>
                                <a:gd name="connsiteX13" fmla="*/ 39719 w 41528"/>
                                <a:gd name="connsiteY13" fmla="*/ 15621 h 81153"/>
                                <a:gd name="connsiteX14" fmla="*/ 39719 w 41528"/>
                                <a:gd name="connsiteY14" fmla="*/ 23813 h 81153"/>
                                <a:gd name="connsiteX15" fmla="*/ 20764 w 41528"/>
                                <a:gd name="connsiteY15" fmla="*/ 23813 h 81153"/>
                                <a:gd name="connsiteX16" fmla="*/ 20764 w 41528"/>
                                <a:gd name="connsiteY16" fmla="*/ 57626 h 81153"/>
                                <a:gd name="connsiteX17" fmla="*/ 20860 w 41528"/>
                                <a:gd name="connsiteY17" fmla="*/ 65437 h 81153"/>
                                <a:gd name="connsiteX18" fmla="*/ 21622 w 41528"/>
                                <a:gd name="connsiteY18" fmla="*/ 69628 h 81153"/>
                                <a:gd name="connsiteX19" fmla="*/ 23622 w 41528"/>
                                <a:gd name="connsiteY19" fmla="*/ 71247 h 81153"/>
                                <a:gd name="connsiteX20" fmla="*/ 27146 w 41528"/>
                                <a:gd name="connsiteY20" fmla="*/ 71533 h 81153"/>
                                <a:gd name="connsiteX21" fmla="*/ 27241 w 41528"/>
                                <a:gd name="connsiteY21" fmla="*/ 71533 h 81153"/>
                                <a:gd name="connsiteX22" fmla="*/ 30670 w 41528"/>
                                <a:gd name="connsiteY22" fmla="*/ 71342 h 81153"/>
                                <a:gd name="connsiteX23" fmla="*/ 34099 w 41528"/>
                                <a:gd name="connsiteY23" fmla="*/ 70771 h 81153"/>
                                <a:gd name="connsiteX24" fmla="*/ 37243 w 41528"/>
                                <a:gd name="connsiteY24" fmla="*/ 70104 h 81153"/>
                                <a:gd name="connsiteX25" fmla="*/ 39529 w 41528"/>
                                <a:gd name="connsiteY25" fmla="*/ 69437 h 81153"/>
                                <a:gd name="connsiteX26" fmla="*/ 39624 w 41528"/>
                                <a:gd name="connsiteY26" fmla="*/ 69437 h 81153"/>
                                <a:gd name="connsiteX27" fmla="*/ 41529 w 41528"/>
                                <a:gd name="connsiteY27" fmla="*/ 74962 h 81153"/>
                                <a:gd name="connsiteX28" fmla="*/ 37814 w 41528"/>
                                <a:gd name="connsiteY28" fmla="*/ 77057 h 81153"/>
                                <a:gd name="connsiteX29" fmla="*/ 32671 w 41528"/>
                                <a:gd name="connsiteY29" fmla="*/ 79057 h 81153"/>
                                <a:gd name="connsiteX30" fmla="*/ 26860 w 41528"/>
                                <a:gd name="connsiteY30" fmla="*/ 80581 h 81153"/>
                                <a:gd name="connsiteX31" fmla="*/ 21241 w 41528"/>
                                <a:gd name="connsiteY31" fmla="*/ 81153 h 81153"/>
                                <a:gd name="connsiteX32" fmla="*/ 21145 w 41528"/>
                                <a:gd name="connsiteY32" fmla="*/ 81153 h 81153"/>
                                <a:gd name="connsiteX33" fmla="*/ 15811 w 41528"/>
                                <a:gd name="connsiteY33" fmla="*/ 80486 h 81153"/>
                                <a:gd name="connsiteX34" fmla="*/ 11811 w 41528"/>
                                <a:gd name="connsiteY34" fmla="*/ 78296 h 81153"/>
                                <a:gd name="connsiteX35" fmla="*/ 9239 w 41528"/>
                                <a:gd name="connsiteY35" fmla="*/ 74200 h 81153"/>
                                <a:gd name="connsiteX36" fmla="*/ 8191 w 41528"/>
                                <a:gd name="connsiteY36" fmla="*/ 67818 h 8115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Lst>
                              <a:rect l="l" t="t" r="r" b="b"/>
                              <a:pathLst>
                                <a:path w="41528" h="81153">
                                  <a:moveTo>
                                    <a:pt x="8191" y="67818"/>
                                  </a:moveTo>
                                  <a:lnTo>
                                    <a:pt x="8191" y="23717"/>
                                  </a:lnTo>
                                  <a:lnTo>
                                    <a:pt x="0" y="23717"/>
                                  </a:lnTo>
                                  <a:lnTo>
                                    <a:pt x="0" y="18383"/>
                                  </a:lnTo>
                                  <a:cubicBezTo>
                                    <a:pt x="1143" y="18002"/>
                                    <a:pt x="2286" y="17621"/>
                                    <a:pt x="3524" y="17240"/>
                                  </a:cubicBezTo>
                                  <a:cubicBezTo>
                                    <a:pt x="4667" y="16859"/>
                                    <a:pt x="5524" y="16478"/>
                                    <a:pt x="6001" y="16097"/>
                                  </a:cubicBezTo>
                                  <a:cubicBezTo>
                                    <a:pt x="7239" y="15240"/>
                                    <a:pt x="8287" y="13811"/>
                                    <a:pt x="9144" y="11906"/>
                                  </a:cubicBezTo>
                                  <a:cubicBezTo>
                                    <a:pt x="9430" y="11240"/>
                                    <a:pt x="9811" y="10382"/>
                                    <a:pt x="10287" y="9239"/>
                                  </a:cubicBezTo>
                                  <a:cubicBezTo>
                                    <a:pt x="10763" y="8096"/>
                                    <a:pt x="11144" y="6953"/>
                                    <a:pt x="11620" y="5810"/>
                                  </a:cubicBezTo>
                                  <a:cubicBezTo>
                                    <a:pt x="12097" y="4667"/>
                                    <a:pt x="12478" y="3524"/>
                                    <a:pt x="12763" y="2476"/>
                                  </a:cubicBezTo>
                                  <a:cubicBezTo>
                                    <a:pt x="13144" y="1429"/>
                                    <a:pt x="13335" y="572"/>
                                    <a:pt x="13525" y="0"/>
                                  </a:cubicBezTo>
                                  <a:lnTo>
                                    <a:pt x="20764" y="0"/>
                                  </a:lnTo>
                                  <a:lnTo>
                                    <a:pt x="20764" y="15621"/>
                                  </a:lnTo>
                                  <a:lnTo>
                                    <a:pt x="39719" y="15621"/>
                                  </a:lnTo>
                                  <a:lnTo>
                                    <a:pt x="39719" y="23813"/>
                                  </a:lnTo>
                                  <a:lnTo>
                                    <a:pt x="20764" y="23813"/>
                                  </a:lnTo>
                                  <a:lnTo>
                                    <a:pt x="20764" y="57626"/>
                                  </a:lnTo>
                                  <a:cubicBezTo>
                                    <a:pt x="20764" y="60960"/>
                                    <a:pt x="20764" y="63627"/>
                                    <a:pt x="20860" y="65437"/>
                                  </a:cubicBezTo>
                                  <a:cubicBezTo>
                                    <a:pt x="20955" y="67342"/>
                                    <a:pt x="21241" y="68675"/>
                                    <a:pt x="21622" y="69628"/>
                                  </a:cubicBezTo>
                                  <a:cubicBezTo>
                                    <a:pt x="22098" y="70485"/>
                                    <a:pt x="22669" y="71056"/>
                                    <a:pt x="23622" y="71247"/>
                                  </a:cubicBezTo>
                                  <a:cubicBezTo>
                                    <a:pt x="24479" y="71438"/>
                                    <a:pt x="25622" y="71533"/>
                                    <a:pt x="27146" y="71533"/>
                                  </a:cubicBezTo>
                                  <a:lnTo>
                                    <a:pt x="27241" y="71533"/>
                                  </a:lnTo>
                                  <a:cubicBezTo>
                                    <a:pt x="28289" y="71533"/>
                                    <a:pt x="29432" y="71438"/>
                                    <a:pt x="30670" y="71342"/>
                                  </a:cubicBezTo>
                                  <a:cubicBezTo>
                                    <a:pt x="31909" y="71247"/>
                                    <a:pt x="33052" y="71056"/>
                                    <a:pt x="34099" y="70771"/>
                                  </a:cubicBezTo>
                                  <a:cubicBezTo>
                                    <a:pt x="35242" y="70580"/>
                                    <a:pt x="36290" y="70295"/>
                                    <a:pt x="37243" y="70104"/>
                                  </a:cubicBezTo>
                                  <a:cubicBezTo>
                                    <a:pt x="38195" y="69818"/>
                                    <a:pt x="38957" y="69628"/>
                                    <a:pt x="39529" y="69437"/>
                                  </a:cubicBezTo>
                                  <a:lnTo>
                                    <a:pt x="39624" y="69437"/>
                                  </a:lnTo>
                                  <a:lnTo>
                                    <a:pt x="41529" y="74962"/>
                                  </a:lnTo>
                                  <a:cubicBezTo>
                                    <a:pt x="40576" y="75628"/>
                                    <a:pt x="39433" y="76391"/>
                                    <a:pt x="37814" y="77057"/>
                                  </a:cubicBezTo>
                                  <a:cubicBezTo>
                                    <a:pt x="36195" y="77724"/>
                                    <a:pt x="34480" y="78486"/>
                                    <a:pt x="32671" y="79057"/>
                                  </a:cubicBezTo>
                                  <a:cubicBezTo>
                                    <a:pt x="30766" y="79629"/>
                                    <a:pt x="28861" y="80200"/>
                                    <a:pt x="26860" y="80581"/>
                                  </a:cubicBezTo>
                                  <a:cubicBezTo>
                                    <a:pt x="24860" y="80963"/>
                                    <a:pt x="22955" y="81153"/>
                                    <a:pt x="21241" y="81153"/>
                                  </a:cubicBezTo>
                                  <a:lnTo>
                                    <a:pt x="21145" y="81153"/>
                                  </a:lnTo>
                                  <a:cubicBezTo>
                                    <a:pt x="19145" y="81153"/>
                                    <a:pt x="17335" y="80963"/>
                                    <a:pt x="15811" y="80486"/>
                                  </a:cubicBezTo>
                                  <a:cubicBezTo>
                                    <a:pt x="14192" y="80010"/>
                                    <a:pt x="12859" y="79248"/>
                                    <a:pt x="11811" y="78296"/>
                                  </a:cubicBezTo>
                                  <a:cubicBezTo>
                                    <a:pt x="10668" y="77248"/>
                                    <a:pt x="9811" y="75914"/>
                                    <a:pt x="9239" y="74200"/>
                                  </a:cubicBezTo>
                                  <a:cubicBezTo>
                                    <a:pt x="8477" y="72390"/>
                                    <a:pt x="8191" y="70295"/>
                                    <a:pt x="8191" y="67818"/>
                                  </a:cubicBez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818194585" name="Freeform: Shape 818194585"/>
                          <wps:cNvSpPr/>
                          <wps:spPr>
                            <a:xfrm>
                              <a:off x="1071086" y="428910"/>
                              <a:ext cx="53244" cy="67437"/>
                            </a:xfrm>
                            <a:custGeom>
                              <a:avLst/>
                              <a:gdLst>
                                <a:gd name="connsiteX0" fmla="*/ 28861 w 53244"/>
                                <a:gd name="connsiteY0" fmla="*/ 67437 h 67437"/>
                                <a:gd name="connsiteX1" fmla="*/ 16288 w 53244"/>
                                <a:gd name="connsiteY1" fmla="*/ 64960 h 67437"/>
                                <a:gd name="connsiteX2" fmla="*/ 7239 w 53244"/>
                                <a:gd name="connsiteY2" fmla="*/ 58007 h 67437"/>
                                <a:gd name="connsiteX3" fmla="*/ 1810 w 53244"/>
                                <a:gd name="connsiteY3" fmla="*/ 47339 h 67437"/>
                                <a:gd name="connsiteX4" fmla="*/ 0 w 53244"/>
                                <a:gd name="connsiteY4" fmla="*/ 33719 h 67437"/>
                                <a:gd name="connsiteX5" fmla="*/ 2286 w 53244"/>
                                <a:gd name="connsiteY5" fmla="*/ 20003 h 67437"/>
                                <a:gd name="connsiteX6" fmla="*/ 8573 w 53244"/>
                                <a:gd name="connsiteY6" fmla="*/ 9334 h 67437"/>
                                <a:gd name="connsiteX7" fmla="*/ 18193 w 53244"/>
                                <a:gd name="connsiteY7" fmla="*/ 2477 h 67437"/>
                                <a:gd name="connsiteX8" fmla="*/ 30290 w 53244"/>
                                <a:gd name="connsiteY8" fmla="*/ 0 h 67437"/>
                                <a:gd name="connsiteX9" fmla="*/ 46863 w 53244"/>
                                <a:gd name="connsiteY9" fmla="*/ 5810 h 67437"/>
                                <a:gd name="connsiteX10" fmla="*/ 53245 w 53244"/>
                                <a:gd name="connsiteY10" fmla="*/ 22955 h 67437"/>
                                <a:gd name="connsiteX11" fmla="*/ 53150 w 53244"/>
                                <a:gd name="connsiteY11" fmla="*/ 29337 h 67437"/>
                                <a:gd name="connsiteX12" fmla="*/ 52578 w 53244"/>
                                <a:gd name="connsiteY12" fmla="*/ 34195 h 67437"/>
                                <a:gd name="connsiteX13" fmla="*/ 13430 w 53244"/>
                                <a:gd name="connsiteY13" fmla="*/ 34195 h 67437"/>
                                <a:gd name="connsiteX14" fmla="*/ 13430 w 53244"/>
                                <a:gd name="connsiteY14" fmla="*/ 34576 h 67437"/>
                                <a:gd name="connsiteX15" fmla="*/ 15335 w 53244"/>
                                <a:gd name="connsiteY15" fmla="*/ 45625 h 67437"/>
                                <a:gd name="connsiteX16" fmla="*/ 19622 w 53244"/>
                                <a:gd name="connsiteY16" fmla="*/ 53150 h 67437"/>
                                <a:gd name="connsiteX17" fmla="*/ 25622 w 53244"/>
                                <a:gd name="connsiteY17" fmla="*/ 57341 h 67437"/>
                                <a:gd name="connsiteX18" fmla="*/ 32671 w 53244"/>
                                <a:gd name="connsiteY18" fmla="*/ 58674 h 67437"/>
                                <a:gd name="connsiteX19" fmla="*/ 37624 w 53244"/>
                                <a:gd name="connsiteY19" fmla="*/ 58198 h 67437"/>
                                <a:gd name="connsiteX20" fmla="*/ 42386 w 53244"/>
                                <a:gd name="connsiteY20" fmla="*/ 57055 h 67437"/>
                                <a:gd name="connsiteX21" fmla="*/ 46577 w 53244"/>
                                <a:gd name="connsiteY21" fmla="*/ 55340 h 67437"/>
                                <a:gd name="connsiteX22" fmla="*/ 49721 w 53244"/>
                                <a:gd name="connsiteY22" fmla="*/ 53435 h 67437"/>
                                <a:gd name="connsiteX23" fmla="*/ 52102 w 53244"/>
                                <a:gd name="connsiteY23" fmla="*/ 58960 h 67437"/>
                                <a:gd name="connsiteX24" fmla="*/ 47911 w 53244"/>
                                <a:gd name="connsiteY24" fmla="*/ 62103 h 67437"/>
                                <a:gd name="connsiteX25" fmla="*/ 42291 w 53244"/>
                                <a:gd name="connsiteY25" fmla="*/ 64770 h 67437"/>
                                <a:gd name="connsiteX26" fmla="*/ 35719 w 53244"/>
                                <a:gd name="connsiteY26" fmla="*/ 66675 h 67437"/>
                                <a:gd name="connsiteX27" fmla="*/ 28861 w 53244"/>
                                <a:gd name="connsiteY27" fmla="*/ 67437 h 67437"/>
                                <a:gd name="connsiteX28" fmla="*/ 27432 w 53244"/>
                                <a:gd name="connsiteY28" fmla="*/ 6953 h 67437"/>
                                <a:gd name="connsiteX29" fmla="*/ 22193 w 53244"/>
                                <a:gd name="connsiteY29" fmla="*/ 7906 h 67437"/>
                                <a:gd name="connsiteX30" fmla="*/ 17907 w 53244"/>
                                <a:gd name="connsiteY30" fmla="*/ 11240 h 67437"/>
                                <a:gd name="connsiteX31" fmla="*/ 14954 w 53244"/>
                                <a:gd name="connsiteY31" fmla="*/ 17526 h 67437"/>
                                <a:gd name="connsiteX32" fmla="*/ 13526 w 53244"/>
                                <a:gd name="connsiteY32" fmla="*/ 27432 h 67437"/>
                                <a:gd name="connsiteX33" fmla="*/ 39719 w 53244"/>
                                <a:gd name="connsiteY33" fmla="*/ 27432 h 67437"/>
                                <a:gd name="connsiteX34" fmla="*/ 39815 w 53244"/>
                                <a:gd name="connsiteY34" fmla="*/ 25051 h 67437"/>
                                <a:gd name="connsiteX35" fmla="*/ 39815 w 53244"/>
                                <a:gd name="connsiteY35" fmla="*/ 22765 h 67437"/>
                                <a:gd name="connsiteX36" fmla="*/ 39148 w 53244"/>
                                <a:gd name="connsiteY36" fmla="*/ 16764 h 67437"/>
                                <a:gd name="connsiteX37" fmla="*/ 37052 w 53244"/>
                                <a:gd name="connsiteY37" fmla="*/ 11716 h 67437"/>
                                <a:gd name="connsiteX38" fmla="*/ 33242 w 53244"/>
                                <a:gd name="connsiteY38" fmla="*/ 8192 h 67437"/>
                                <a:gd name="connsiteX39" fmla="*/ 27432 w 53244"/>
                                <a:gd name="connsiteY39" fmla="*/ 6953 h 6743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Lst>
                              <a:rect l="l" t="t" r="r" b="b"/>
                              <a:pathLst>
                                <a:path w="53244" h="67437">
                                  <a:moveTo>
                                    <a:pt x="28861" y="67437"/>
                                  </a:moveTo>
                                  <a:cubicBezTo>
                                    <a:pt x="24098" y="67437"/>
                                    <a:pt x="19907" y="66580"/>
                                    <a:pt x="16288" y="64960"/>
                                  </a:cubicBezTo>
                                  <a:cubicBezTo>
                                    <a:pt x="12668" y="63341"/>
                                    <a:pt x="9716" y="60960"/>
                                    <a:pt x="7239" y="58007"/>
                                  </a:cubicBezTo>
                                  <a:cubicBezTo>
                                    <a:pt x="4858" y="55055"/>
                                    <a:pt x="3048" y="51435"/>
                                    <a:pt x="1810" y="47339"/>
                                  </a:cubicBezTo>
                                  <a:cubicBezTo>
                                    <a:pt x="572" y="43244"/>
                                    <a:pt x="0" y="38672"/>
                                    <a:pt x="0" y="33719"/>
                                  </a:cubicBezTo>
                                  <a:cubicBezTo>
                                    <a:pt x="0" y="28670"/>
                                    <a:pt x="762" y="24098"/>
                                    <a:pt x="2286" y="20003"/>
                                  </a:cubicBezTo>
                                  <a:cubicBezTo>
                                    <a:pt x="3810" y="15907"/>
                                    <a:pt x="5906" y="12383"/>
                                    <a:pt x="8573" y="9334"/>
                                  </a:cubicBezTo>
                                  <a:cubicBezTo>
                                    <a:pt x="11240" y="6382"/>
                                    <a:pt x="14478" y="4096"/>
                                    <a:pt x="18193" y="2477"/>
                                  </a:cubicBezTo>
                                  <a:cubicBezTo>
                                    <a:pt x="21908" y="857"/>
                                    <a:pt x="25908" y="0"/>
                                    <a:pt x="30290" y="0"/>
                                  </a:cubicBezTo>
                                  <a:cubicBezTo>
                                    <a:pt x="37433" y="0"/>
                                    <a:pt x="42958" y="1905"/>
                                    <a:pt x="46863" y="5810"/>
                                  </a:cubicBezTo>
                                  <a:cubicBezTo>
                                    <a:pt x="50768" y="9716"/>
                                    <a:pt x="52959" y="15431"/>
                                    <a:pt x="53245" y="22955"/>
                                  </a:cubicBezTo>
                                  <a:cubicBezTo>
                                    <a:pt x="53245" y="25432"/>
                                    <a:pt x="53245" y="27527"/>
                                    <a:pt x="53150" y="29337"/>
                                  </a:cubicBezTo>
                                  <a:cubicBezTo>
                                    <a:pt x="53054" y="31147"/>
                                    <a:pt x="52864" y="32766"/>
                                    <a:pt x="52578" y="34195"/>
                                  </a:cubicBezTo>
                                  <a:lnTo>
                                    <a:pt x="13430" y="34195"/>
                                  </a:lnTo>
                                  <a:lnTo>
                                    <a:pt x="13430" y="34576"/>
                                  </a:lnTo>
                                  <a:cubicBezTo>
                                    <a:pt x="13621" y="38862"/>
                                    <a:pt x="14192" y="42577"/>
                                    <a:pt x="15335" y="45625"/>
                                  </a:cubicBezTo>
                                  <a:cubicBezTo>
                                    <a:pt x="16383" y="48673"/>
                                    <a:pt x="17812" y="51149"/>
                                    <a:pt x="19622" y="53150"/>
                                  </a:cubicBezTo>
                                  <a:cubicBezTo>
                                    <a:pt x="21336" y="55055"/>
                                    <a:pt x="23336" y="56483"/>
                                    <a:pt x="25622" y="57341"/>
                                  </a:cubicBezTo>
                                  <a:cubicBezTo>
                                    <a:pt x="27908" y="58198"/>
                                    <a:pt x="30194" y="58674"/>
                                    <a:pt x="32671" y="58674"/>
                                  </a:cubicBezTo>
                                  <a:cubicBezTo>
                                    <a:pt x="34290" y="58674"/>
                                    <a:pt x="35909" y="58483"/>
                                    <a:pt x="37624" y="58198"/>
                                  </a:cubicBezTo>
                                  <a:cubicBezTo>
                                    <a:pt x="39243" y="57912"/>
                                    <a:pt x="40862" y="57531"/>
                                    <a:pt x="42386" y="57055"/>
                                  </a:cubicBezTo>
                                  <a:cubicBezTo>
                                    <a:pt x="43910" y="56579"/>
                                    <a:pt x="45339" y="56007"/>
                                    <a:pt x="46577" y="55340"/>
                                  </a:cubicBezTo>
                                  <a:cubicBezTo>
                                    <a:pt x="47816" y="54674"/>
                                    <a:pt x="48863" y="54102"/>
                                    <a:pt x="49721" y="53435"/>
                                  </a:cubicBezTo>
                                  <a:lnTo>
                                    <a:pt x="52102" y="58960"/>
                                  </a:lnTo>
                                  <a:cubicBezTo>
                                    <a:pt x="51054" y="60008"/>
                                    <a:pt x="49625" y="61151"/>
                                    <a:pt x="47911" y="62103"/>
                                  </a:cubicBezTo>
                                  <a:cubicBezTo>
                                    <a:pt x="46196" y="63151"/>
                                    <a:pt x="44387" y="64008"/>
                                    <a:pt x="42291" y="64770"/>
                                  </a:cubicBezTo>
                                  <a:cubicBezTo>
                                    <a:pt x="40196" y="65532"/>
                                    <a:pt x="38100" y="66199"/>
                                    <a:pt x="35719" y="66675"/>
                                  </a:cubicBezTo>
                                  <a:cubicBezTo>
                                    <a:pt x="33528" y="67151"/>
                                    <a:pt x="31242" y="67437"/>
                                    <a:pt x="28861" y="67437"/>
                                  </a:cubicBezTo>
                                  <a:close/>
                                  <a:moveTo>
                                    <a:pt x="27432" y="6953"/>
                                  </a:moveTo>
                                  <a:cubicBezTo>
                                    <a:pt x="25527" y="6953"/>
                                    <a:pt x="23813" y="7239"/>
                                    <a:pt x="22193" y="7906"/>
                                  </a:cubicBezTo>
                                  <a:cubicBezTo>
                                    <a:pt x="20574" y="8573"/>
                                    <a:pt x="19145" y="9716"/>
                                    <a:pt x="17907" y="11240"/>
                                  </a:cubicBezTo>
                                  <a:cubicBezTo>
                                    <a:pt x="16669" y="12859"/>
                                    <a:pt x="15716" y="14954"/>
                                    <a:pt x="14954" y="17526"/>
                                  </a:cubicBezTo>
                                  <a:cubicBezTo>
                                    <a:pt x="14192" y="20193"/>
                                    <a:pt x="13716" y="23432"/>
                                    <a:pt x="13526" y="27432"/>
                                  </a:cubicBezTo>
                                  <a:lnTo>
                                    <a:pt x="39719" y="27432"/>
                                  </a:lnTo>
                                  <a:cubicBezTo>
                                    <a:pt x="39815" y="26670"/>
                                    <a:pt x="39815" y="25908"/>
                                    <a:pt x="39815" y="25051"/>
                                  </a:cubicBezTo>
                                  <a:cubicBezTo>
                                    <a:pt x="39815" y="24194"/>
                                    <a:pt x="39815" y="23432"/>
                                    <a:pt x="39815" y="22765"/>
                                  </a:cubicBezTo>
                                  <a:cubicBezTo>
                                    <a:pt x="39815" y="20669"/>
                                    <a:pt x="39624" y="18669"/>
                                    <a:pt x="39148" y="16764"/>
                                  </a:cubicBezTo>
                                  <a:cubicBezTo>
                                    <a:pt x="38672" y="14859"/>
                                    <a:pt x="38005" y="13145"/>
                                    <a:pt x="37052" y="11716"/>
                                  </a:cubicBezTo>
                                  <a:cubicBezTo>
                                    <a:pt x="36100" y="10287"/>
                                    <a:pt x="34766" y="9049"/>
                                    <a:pt x="33242" y="8192"/>
                                  </a:cubicBezTo>
                                  <a:cubicBezTo>
                                    <a:pt x="31718" y="7334"/>
                                    <a:pt x="29813" y="6953"/>
                                    <a:pt x="27432" y="6953"/>
                                  </a:cubicBez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128765667" name="Freeform: Shape 2128765667"/>
                          <wps:cNvSpPr/>
                          <wps:spPr>
                            <a:xfrm>
                              <a:off x="1171956" y="408336"/>
                              <a:ext cx="65722" cy="86677"/>
                            </a:xfrm>
                            <a:custGeom>
                              <a:avLst/>
                              <a:gdLst>
                                <a:gd name="connsiteX0" fmla="*/ 0 w 65722"/>
                                <a:gd name="connsiteY0" fmla="*/ 86678 h 86677"/>
                                <a:gd name="connsiteX1" fmla="*/ 0 w 65722"/>
                                <a:gd name="connsiteY1" fmla="*/ 80486 h 86677"/>
                                <a:gd name="connsiteX2" fmla="*/ 9525 w 65722"/>
                                <a:gd name="connsiteY2" fmla="*/ 79057 h 86677"/>
                                <a:gd name="connsiteX3" fmla="*/ 9525 w 65722"/>
                                <a:gd name="connsiteY3" fmla="*/ 8477 h 86677"/>
                                <a:gd name="connsiteX4" fmla="*/ 667 w 65722"/>
                                <a:gd name="connsiteY4" fmla="*/ 6953 h 86677"/>
                                <a:gd name="connsiteX5" fmla="*/ 667 w 65722"/>
                                <a:gd name="connsiteY5" fmla="*/ 762 h 86677"/>
                                <a:gd name="connsiteX6" fmla="*/ 16002 w 65722"/>
                                <a:gd name="connsiteY6" fmla="*/ 762 h 86677"/>
                                <a:gd name="connsiteX7" fmla="*/ 20860 w 65722"/>
                                <a:gd name="connsiteY7" fmla="*/ 667 h 86677"/>
                                <a:gd name="connsiteX8" fmla="*/ 24956 w 65722"/>
                                <a:gd name="connsiteY8" fmla="*/ 381 h 86677"/>
                                <a:gd name="connsiteX9" fmla="*/ 29527 w 65722"/>
                                <a:gd name="connsiteY9" fmla="*/ 95 h 86677"/>
                                <a:gd name="connsiteX10" fmla="*/ 35719 w 65722"/>
                                <a:gd name="connsiteY10" fmla="*/ 0 h 86677"/>
                                <a:gd name="connsiteX11" fmla="*/ 50102 w 65722"/>
                                <a:gd name="connsiteY11" fmla="*/ 1619 h 86677"/>
                                <a:gd name="connsiteX12" fmla="*/ 59341 w 65722"/>
                                <a:gd name="connsiteY12" fmla="*/ 6382 h 86677"/>
                                <a:gd name="connsiteX13" fmla="*/ 64294 w 65722"/>
                                <a:gd name="connsiteY13" fmla="*/ 14097 h 86677"/>
                                <a:gd name="connsiteX14" fmla="*/ 65723 w 65722"/>
                                <a:gd name="connsiteY14" fmla="*/ 24479 h 86677"/>
                                <a:gd name="connsiteX15" fmla="*/ 63151 w 65722"/>
                                <a:gd name="connsiteY15" fmla="*/ 37243 h 86677"/>
                                <a:gd name="connsiteX16" fmla="*/ 56102 w 65722"/>
                                <a:gd name="connsiteY16" fmla="*/ 46673 h 86677"/>
                                <a:gd name="connsiteX17" fmla="*/ 45529 w 65722"/>
                                <a:gd name="connsiteY17" fmla="*/ 52483 h 86677"/>
                                <a:gd name="connsiteX18" fmla="*/ 32290 w 65722"/>
                                <a:gd name="connsiteY18" fmla="*/ 54483 h 86677"/>
                                <a:gd name="connsiteX19" fmla="*/ 29051 w 65722"/>
                                <a:gd name="connsiteY19" fmla="*/ 54388 h 86677"/>
                                <a:gd name="connsiteX20" fmla="*/ 26003 w 65722"/>
                                <a:gd name="connsiteY20" fmla="*/ 54293 h 86677"/>
                                <a:gd name="connsiteX21" fmla="*/ 23622 w 65722"/>
                                <a:gd name="connsiteY21" fmla="*/ 54102 h 86677"/>
                                <a:gd name="connsiteX22" fmla="*/ 22193 w 65722"/>
                                <a:gd name="connsiteY22" fmla="*/ 53912 h 86677"/>
                                <a:gd name="connsiteX23" fmla="*/ 22193 w 65722"/>
                                <a:gd name="connsiteY23" fmla="*/ 78867 h 86677"/>
                                <a:gd name="connsiteX24" fmla="*/ 37148 w 65722"/>
                                <a:gd name="connsiteY24" fmla="*/ 80391 h 86677"/>
                                <a:gd name="connsiteX25" fmla="*/ 37148 w 65722"/>
                                <a:gd name="connsiteY25" fmla="*/ 86582 h 86677"/>
                                <a:gd name="connsiteX26" fmla="*/ 0 w 65722"/>
                                <a:gd name="connsiteY26" fmla="*/ 86582 h 86677"/>
                                <a:gd name="connsiteX27" fmla="*/ 22384 w 65722"/>
                                <a:gd name="connsiteY27" fmla="*/ 47244 h 86677"/>
                                <a:gd name="connsiteX28" fmla="*/ 24098 w 65722"/>
                                <a:gd name="connsiteY28" fmla="*/ 47530 h 86677"/>
                                <a:gd name="connsiteX29" fmla="*/ 26194 w 65722"/>
                                <a:gd name="connsiteY29" fmla="*/ 47625 h 86677"/>
                                <a:gd name="connsiteX30" fmla="*/ 28956 w 65722"/>
                                <a:gd name="connsiteY30" fmla="*/ 47720 h 86677"/>
                                <a:gd name="connsiteX31" fmla="*/ 32575 w 65722"/>
                                <a:gd name="connsiteY31" fmla="*/ 47720 h 86677"/>
                                <a:gd name="connsiteX32" fmla="*/ 39815 w 65722"/>
                                <a:gd name="connsiteY32" fmla="*/ 46673 h 86677"/>
                                <a:gd name="connsiteX33" fmla="*/ 46101 w 65722"/>
                                <a:gd name="connsiteY33" fmla="*/ 42958 h 86677"/>
                                <a:gd name="connsiteX34" fmla="*/ 50578 w 65722"/>
                                <a:gd name="connsiteY34" fmla="*/ 35814 h 86677"/>
                                <a:gd name="connsiteX35" fmla="*/ 52197 w 65722"/>
                                <a:gd name="connsiteY35" fmla="*/ 24479 h 86677"/>
                                <a:gd name="connsiteX36" fmla="*/ 50959 w 65722"/>
                                <a:gd name="connsiteY36" fmla="*/ 16193 h 86677"/>
                                <a:gd name="connsiteX37" fmla="*/ 47244 w 65722"/>
                                <a:gd name="connsiteY37" fmla="*/ 10573 h 86677"/>
                                <a:gd name="connsiteX38" fmla="*/ 40957 w 65722"/>
                                <a:gd name="connsiteY38" fmla="*/ 7430 h 86677"/>
                                <a:gd name="connsiteX39" fmla="*/ 32194 w 65722"/>
                                <a:gd name="connsiteY39" fmla="*/ 6477 h 86677"/>
                                <a:gd name="connsiteX40" fmla="*/ 28765 w 65722"/>
                                <a:gd name="connsiteY40" fmla="*/ 6572 h 86677"/>
                                <a:gd name="connsiteX41" fmla="*/ 26289 w 65722"/>
                                <a:gd name="connsiteY41" fmla="*/ 6763 h 86677"/>
                                <a:gd name="connsiteX42" fmla="*/ 24289 w 65722"/>
                                <a:gd name="connsiteY42" fmla="*/ 7049 h 86677"/>
                                <a:gd name="connsiteX43" fmla="*/ 22384 w 65722"/>
                                <a:gd name="connsiteY43" fmla="*/ 7144 h 86677"/>
                                <a:gd name="connsiteX44" fmla="*/ 22384 w 65722"/>
                                <a:gd name="connsiteY44" fmla="*/ 47244 h 8667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Lst>
                              <a:rect l="l" t="t" r="r" b="b"/>
                              <a:pathLst>
                                <a:path w="65722" h="86677">
                                  <a:moveTo>
                                    <a:pt x="0" y="86678"/>
                                  </a:moveTo>
                                  <a:lnTo>
                                    <a:pt x="0" y="80486"/>
                                  </a:lnTo>
                                  <a:lnTo>
                                    <a:pt x="9525" y="79057"/>
                                  </a:lnTo>
                                  <a:lnTo>
                                    <a:pt x="9525" y="8477"/>
                                  </a:lnTo>
                                  <a:lnTo>
                                    <a:pt x="667" y="6953"/>
                                  </a:lnTo>
                                  <a:lnTo>
                                    <a:pt x="667" y="762"/>
                                  </a:lnTo>
                                  <a:lnTo>
                                    <a:pt x="16002" y="762"/>
                                  </a:lnTo>
                                  <a:cubicBezTo>
                                    <a:pt x="17907" y="762"/>
                                    <a:pt x="19526" y="762"/>
                                    <a:pt x="20860" y="667"/>
                                  </a:cubicBezTo>
                                  <a:cubicBezTo>
                                    <a:pt x="22193" y="572"/>
                                    <a:pt x="23622" y="476"/>
                                    <a:pt x="24956" y="381"/>
                                  </a:cubicBezTo>
                                  <a:cubicBezTo>
                                    <a:pt x="26384" y="286"/>
                                    <a:pt x="27908" y="191"/>
                                    <a:pt x="29527" y="95"/>
                                  </a:cubicBezTo>
                                  <a:cubicBezTo>
                                    <a:pt x="31242" y="0"/>
                                    <a:pt x="33242" y="0"/>
                                    <a:pt x="35719" y="0"/>
                                  </a:cubicBezTo>
                                  <a:cubicBezTo>
                                    <a:pt x="41434" y="0"/>
                                    <a:pt x="46196" y="572"/>
                                    <a:pt x="50102" y="1619"/>
                                  </a:cubicBezTo>
                                  <a:cubicBezTo>
                                    <a:pt x="54007" y="2762"/>
                                    <a:pt x="57055" y="4286"/>
                                    <a:pt x="59341" y="6382"/>
                                  </a:cubicBezTo>
                                  <a:cubicBezTo>
                                    <a:pt x="61627" y="8477"/>
                                    <a:pt x="63341" y="11049"/>
                                    <a:pt x="64294" y="14097"/>
                                  </a:cubicBezTo>
                                  <a:cubicBezTo>
                                    <a:pt x="65246" y="17145"/>
                                    <a:pt x="65723" y="20574"/>
                                    <a:pt x="65723" y="24479"/>
                                  </a:cubicBezTo>
                                  <a:cubicBezTo>
                                    <a:pt x="65723" y="29242"/>
                                    <a:pt x="64865" y="33528"/>
                                    <a:pt x="63151" y="37243"/>
                                  </a:cubicBezTo>
                                  <a:cubicBezTo>
                                    <a:pt x="61436" y="40957"/>
                                    <a:pt x="59150" y="44101"/>
                                    <a:pt x="56102" y="46673"/>
                                  </a:cubicBezTo>
                                  <a:cubicBezTo>
                                    <a:pt x="53149" y="49244"/>
                                    <a:pt x="49530" y="51149"/>
                                    <a:pt x="45529" y="52483"/>
                                  </a:cubicBezTo>
                                  <a:cubicBezTo>
                                    <a:pt x="41434" y="53816"/>
                                    <a:pt x="37052" y="54483"/>
                                    <a:pt x="32290" y="54483"/>
                                  </a:cubicBezTo>
                                  <a:cubicBezTo>
                                    <a:pt x="31242" y="54483"/>
                                    <a:pt x="30099" y="54483"/>
                                    <a:pt x="29051" y="54388"/>
                                  </a:cubicBezTo>
                                  <a:cubicBezTo>
                                    <a:pt x="28004" y="54388"/>
                                    <a:pt x="26956" y="54293"/>
                                    <a:pt x="26003" y="54293"/>
                                  </a:cubicBezTo>
                                  <a:cubicBezTo>
                                    <a:pt x="25051" y="54293"/>
                                    <a:pt x="24289" y="54197"/>
                                    <a:pt x="23622" y="54102"/>
                                  </a:cubicBezTo>
                                  <a:cubicBezTo>
                                    <a:pt x="22955" y="54007"/>
                                    <a:pt x="22479" y="54007"/>
                                    <a:pt x="22193" y="53912"/>
                                  </a:cubicBezTo>
                                  <a:lnTo>
                                    <a:pt x="22193" y="78867"/>
                                  </a:lnTo>
                                  <a:lnTo>
                                    <a:pt x="37148" y="80391"/>
                                  </a:lnTo>
                                  <a:lnTo>
                                    <a:pt x="37148" y="86582"/>
                                  </a:lnTo>
                                  <a:lnTo>
                                    <a:pt x="0" y="86582"/>
                                  </a:lnTo>
                                  <a:close/>
                                  <a:moveTo>
                                    <a:pt x="22384" y="47244"/>
                                  </a:moveTo>
                                  <a:cubicBezTo>
                                    <a:pt x="22955" y="47339"/>
                                    <a:pt x="23527" y="47434"/>
                                    <a:pt x="24098" y="47530"/>
                                  </a:cubicBezTo>
                                  <a:cubicBezTo>
                                    <a:pt x="24670" y="47625"/>
                                    <a:pt x="25432" y="47625"/>
                                    <a:pt x="26194" y="47625"/>
                                  </a:cubicBezTo>
                                  <a:cubicBezTo>
                                    <a:pt x="26956" y="47625"/>
                                    <a:pt x="27908" y="47720"/>
                                    <a:pt x="28956" y="47720"/>
                                  </a:cubicBezTo>
                                  <a:cubicBezTo>
                                    <a:pt x="30004" y="47720"/>
                                    <a:pt x="31242" y="47720"/>
                                    <a:pt x="32575" y="47720"/>
                                  </a:cubicBezTo>
                                  <a:cubicBezTo>
                                    <a:pt x="35052" y="47720"/>
                                    <a:pt x="37433" y="47339"/>
                                    <a:pt x="39815" y="46673"/>
                                  </a:cubicBezTo>
                                  <a:cubicBezTo>
                                    <a:pt x="42100" y="45910"/>
                                    <a:pt x="44196" y="44672"/>
                                    <a:pt x="46101" y="42958"/>
                                  </a:cubicBezTo>
                                  <a:cubicBezTo>
                                    <a:pt x="47911" y="41148"/>
                                    <a:pt x="49435" y="38767"/>
                                    <a:pt x="50578" y="35814"/>
                                  </a:cubicBezTo>
                                  <a:cubicBezTo>
                                    <a:pt x="51721" y="32766"/>
                                    <a:pt x="52197" y="29051"/>
                                    <a:pt x="52197" y="24479"/>
                                  </a:cubicBezTo>
                                  <a:cubicBezTo>
                                    <a:pt x="52197" y="21241"/>
                                    <a:pt x="51721" y="18479"/>
                                    <a:pt x="50959" y="16193"/>
                                  </a:cubicBezTo>
                                  <a:cubicBezTo>
                                    <a:pt x="50197" y="13907"/>
                                    <a:pt x="48863" y="12002"/>
                                    <a:pt x="47244" y="10573"/>
                                  </a:cubicBezTo>
                                  <a:cubicBezTo>
                                    <a:pt x="45625" y="9144"/>
                                    <a:pt x="43529" y="8096"/>
                                    <a:pt x="40957" y="7430"/>
                                  </a:cubicBezTo>
                                  <a:cubicBezTo>
                                    <a:pt x="38481" y="6763"/>
                                    <a:pt x="35528" y="6477"/>
                                    <a:pt x="32194" y="6477"/>
                                  </a:cubicBezTo>
                                  <a:cubicBezTo>
                                    <a:pt x="30861" y="6477"/>
                                    <a:pt x="29718" y="6477"/>
                                    <a:pt x="28765" y="6572"/>
                                  </a:cubicBezTo>
                                  <a:cubicBezTo>
                                    <a:pt x="27813" y="6668"/>
                                    <a:pt x="27051" y="6668"/>
                                    <a:pt x="26289" y="6763"/>
                                  </a:cubicBezTo>
                                  <a:cubicBezTo>
                                    <a:pt x="25622" y="6858"/>
                                    <a:pt x="24956" y="6953"/>
                                    <a:pt x="24289" y="7049"/>
                                  </a:cubicBezTo>
                                  <a:cubicBezTo>
                                    <a:pt x="23717" y="7144"/>
                                    <a:pt x="23050" y="7144"/>
                                    <a:pt x="22384" y="7144"/>
                                  </a:cubicBezTo>
                                  <a:lnTo>
                                    <a:pt x="22384" y="47244"/>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848773373" name="Freeform: Shape 1848773373"/>
                          <wps:cNvSpPr/>
                          <wps:spPr>
                            <a:xfrm>
                              <a:off x="1246060" y="429006"/>
                              <a:ext cx="64388" cy="67341"/>
                            </a:xfrm>
                            <a:custGeom>
                              <a:avLst/>
                              <a:gdLst>
                                <a:gd name="connsiteX0" fmla="*/ 53626 w 64388"/>
                                <a:gd name="connsiteY0" fmla="*/ 67342 h 67341"/>
                                <a:gd name="connsiteX1" fmla="*/ 48196 w 64388"/>
                                <a:gd name="connsiteY1" fmla="*/ 66008 h 67341"/>
                                <a:gd name="connsiteX2" fmla="*/ 46291 w 64388"/>
                                <a:gd name="connsiteY2" fmla="*/ 61150 h 67341"/>
                                <a:gd name="connsiteX3" fmla="*/ 46291 w 64388"/>
                                <a:gd name="connsiteY3" fmla="*/ 58865 h 67341"/>
                                <a:gd name="connsiteX4" fmla="*/ 42577 w 64388"/>
                                <a:gd name="connsiteY4" fmla="*/ 61722 h 67341"/>
                                <a:gd name="connsiteX5" fmla="*/ 37814 w 64388"/>
                                <a:gd name="connsiteY5" fmla="*/ 64484 h 67341"/>
                                <a:gd name="connsiteX6" fmla="*/ 32290 w 64388"/>
                                <a:gd name="connsiteY6" fmla="*/ 66484 h 67341"/>
                                <a:gd name="connsiteX7" fmla="*/ 26289 w 64388"/>
                                <a:gd name="connsiteY7" fmla="*/ 67246 h 67341"/>
                                <a:gd name="connsiteX8" fmla="*/ 17240 w 64388"/>
                                <a:gd name="connsiteY8" fmla="*/ 65913 h 67341"/>
                                <a:gd name="connsiteX9" fmla="*/ 11049 w 64388"/>
                                <a:gd name="connsiteY9" fmla="*/ 61531 h 67341"/>
                                <a:gd name="connsiteX10" fmla="*/ 7429 w 64388"/>
                                <a:gd name="connsiteY10" fmla="*/ 53816 h 67341"/>
                                <a:gd name="connsiteX11" fmla="*/ 6286 w 64388"/>
                                <a:gd name="connsiteY11" fmla="*/ 42196 h 67341"/>
                                <a:gd name="connsiteX12" fmla="*/ 6286 w 64388"/>
                                <a:gd name="connsiteY12" fmla="*/ 9811 h 67341"/>
                                <a:gd name="connsiteX13" fmla="*/ 0 w 64388"/>
                                <a:gd name="connsiteY13" fmla="*/ 7334 h 67341"/>
                                <a:gd name="connsiteX14" fmla="*/ 0 w 64388"/>
                                <a:gd name="connsiteY14" fmla="*/ 1905 h 67341"/>
                                <a:gd name="connsiteX15" fmla="*/ 16288 w 64388"/>
                                <a:gd name="connsiteY15" fmla="*/ 95 h 67341"/>
                                <a:gd name="connsiteX16" fmla="*/ 16383 w 64388"/>
                                <a:gd name="connsiteY16" fmla="*/ 95 h 67341"/>
                                <a:gd name="connsiteX17" fmla="*/ 18955 w 64388"/>
                                <a:gd name="connsiteY17" fmla="*/ 1715 h 67341"/>
                                <a:gd name="connsiteX18" fmla="*/ 18955 w 64388"/>
                                <a:gd name="connsiteY18" fmla="*/ 41529 h 67341"/>
                                <a:gd name="connsiteX19" fmla="*/ 19431 w 64388"/>
                                <a:gd name="connsiteY19" fmla="*/ 49435 h 67341"/>
                                <a:gd name="connsiteX20" fmla="*/ 21241 w 64388"/>
                                <a:gd name="connsiteY20" fmla="*/ 54673 h 67341"/>
                                <a:gd name="connsiteX21" fmla="*/ 24765 w 64388"/>
                                <a:gd name="connsiteY21" fmla="*/ 57626 h 67341"/>
                                <a:gd name="connsiteX22" fmla="*/ 30480 w 64388"/>
                                <a:gd name="connsiteY22" fmla="*/ 58483 h 67341"/>
                                <a:gd name="connsiteX23" fmla="*/ 35147 w 64388"/>
                                <a:gd name="connsiteY23" fmla="*/ 57912 h 67341"/>
                                <a:gd name="connsiteX24" fmla="*/ 39148 w 64388"/>
                                <a:gd name="connsiteY24" fmla="*/ 56578 h 67341"/>
                                <a:gd name="connsiteX25" fmla="*/ 42481 w 64388"/>
                                <a:gd name="connsiteY25" fmla="*/ 54959 h 67341"/>
                                <a:gd name="connsiteX26" fmla="*/ 44958 w 64388"/>
                                <a:gd name="connsiteY26" fmla="*/ 53340 h 67341"/>
                                <a:gd name="connsiteX27" fmla="*/ 44958 w 64388"/>
                                <a:gd name="connsiteY27" fmla="*/ 9716 h 67341"/>
                                <a:gd name="connsiteX28" fmla="*/ 36957 w 64388"/>
                                <a:gd name="connsiteY28" fmla="*/ 7239 h 67341"/>
                                <a:gd name="connsiteX29" fmla="*/ 36957 w 64388"/>
                                <a:gd name="connsiteY29" fmla="*/ 1715 h 67341"/>
                                <a:gd name="connsiteX30" fmla="*/ 54292 w 64388"/>
                                <a:gd name="connsiteY30" fmla="*/ 0 h 67341"/>
                                <a:gd name="connsiteX31" fmla="*/ 54388 w 64388"/>
                                <a:gd name="connsiteY31" fmla="*/ 0 h 67341"/>
                                <a:gd name="connsiteX32" fmla="*/ 57531 w 64388"/>
                                <a:gd name="connsiteY32" fmla="*/ 1619 h 67341"/>
                                <a:gd name="connsiteX33" fmla="*/ 57531 w 64388"/>
                                <a:gd name="connsiteY33" fmla="*/ 59341 h 67341"/>
                                <a:gd name="connsiteX34" fmla="*/ 64389 w 64388"/>
                                <a:gd name="connsiteY34" fmla="*/ 59341 h 67341"/>
                                <a:gd name="connsiteX35" fmla="*/ 64389 w 64388"/>
                                <a:gd name="connsiteY35" fmla="*/ 64960 h 67341"/>
                                <a:gd name="connsiteX36" fmla="*/ 59722 w 64388"/>
                                <a:gd name="connsiteY36" fmla="*/ 66389 h 67341"/>
                                <a:gd name="connsiteX37" fmla="*/ 53626 w 64388"/>
                                <a:gd name="connsiteY37" fmla="*/ 67342 h 6734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Lst>
                              <a:rect l="l" t="t" r="r" b="b"/>
                              <a:pathLst>
                                <a:path w="64388" h="67341">
                                  <a:moveTo>
                                    <a:pt x="53626" y="67342"/>
                                  </a:moveTo>
                                  <a:cubicBezTo>
                                    <a:pt x="51244" y="67342"/>
                                    <a:pt x="49435" y="66866"/>
                                    <a:pt x="48196" y="66008"/>
                                  </a:cubicBezTo>
                                  <a:cubicBezTo>
                                    <a:pt x="46958" y="65151"/>
                                    <a:pt x="46291" y="63532"/>
                                    <a:pt x="46291" y="61150"/>
                                  </a:cubicBezTo>
                                  <a:lnTo>
                                    <a:pt x="46291" y="58865"/>
                                  </a:lnTo>
                                  <a:cubicBezTo>
                                    <a:pt x="45244" y="59722"/>
                                    <a:pt x="44005" y="60674"/>
                                    <a:pt x="42577" y="61722"/>
                                  </a:cubicBezTo>
                                  <a:cubicBezTo>
                                    <a:pt x="41148" y="62674"/>
                                    <a:pt x="39529" y="63627"/>
                                    <a:pt x="37814" y="64484"/>
                                  </a:cubicBezTo>
                                  <a:cubicBezTo>
                                    <a:pt x="36100" y="65342"/>
                                    <a:pt x="34195" y="66008"/>
                                    <a:pt x="32290" y="66484"/>
                                  </a:cubicBezTo>
                                  <a:cubicBezTo>
                                    <a:pt x="30385" y="67056"/>
                                    <a:pt x="28384" y="67246"/>
                                    <a:pt x="26289" y="67246"/>
                                  </a:cubicBezTo>
                                  <a:cubicBezTo>
                                    <a:pt x="22765" y="67246"/>
                                    <a:pt x="19812" y="66770"/>
                                    <a:pt x="17240" y="65913"/>
                                  </a:cubicBezTo>
                                  <a:cubicBezTo>
                                    <a:pt x="14668" y="65056"/>
                                    <a:pt x="12668" y="63532"/>
                                    <a:pt x="11049" y="61531"/>
                                  </a:cubicBezTo>
                                  <a:cubicBezTo>
                                    <a:pt x="9430" y="59531"/>
                                    <a:pt x="8191" y="56959"/>
                                    <a:pt x="7429" y="53816"/>
                                  </a:cubicBezTo>
                                  <a:cubicBezTo>
                                    <a:pt x="6667" y="50673"/>
                                    <a:pt x="6286" y="46768"/>
                                    <a:pt x="6286" y="42196"/>
                                  </a:cubicBezTo>
                                  <a:lnTo>
                                    <a:pt x="6286" y="9811"/>
                                  </a:lnTo>
                                  <a:lnTo>
                                    <a:pt x="0" y="7334"/>
                                  </a:lnTo>
                                  <a:lnTo>
                                    <a:pt x="0" y="1905"/>
                                  </a:lnTo>
                                  <a:lnTo>
                                    <a:pt x="16288" y="95"/>
                                  </a:lnTo>
                                  <a:lnTo>
                                    <a:pt x="16383" y="95"/>
                                  </a:lnTo>
                                  <a:lnTo>
                                    <a:pt x="18955" y="1715"/>
                                  </a:lnTo>
                                  <a:lnTo>
                                    <a:pt x="18955" y="41529"/>
                                  </a:lnTo>
                                  <a:cubicBezTo>
                                    <a:pt x="18955" y="44672"/>
                                    <a:pt x="19145" y="47339"/>
                                    <a:pt x="19431" y="49435"/>
                                  </a:cubicBezTo>
                                  <a:cubicBezTo>
                                    <a:pt x="19717" y="51625"/>
                                    <a:pt x="20383" y="53340"/>
                                    <a:pt x="21241" y="54673"/>
                                  </a:cubicBezTo>
                                  <a:cubicBezTo>
                                    <a:pt x="22098" y="56007"/>
                                    <a:pt x="23241" y="57055"/>
                                    <a:pt x="24765" y="57626"/>
                                  </a:cubicBezTo>
                                  <a:cubicBezTo>
                                    <a:pt x="26289" y="58198"/>
                                    <a:pt x="28194" y="58483"/>
                                    <a:pt x="30480" y="58483"/>
                                  </a:cubicBezTo>
                                  <a:cubicBezTo>
                                    <a:pt x="32099" y="58483"/>
                                    <a:pt x="33718" y="58293"/>
                                    <a:pt x="35147" y="57912"/>
                                  </a:cubicBezTo>
                                  <a:cubicBezTo>
                                    <a:pt x="36576" y="57531"/>
                                    <a:pt x="37909" y="57150"/>
                                    <a:pt x="39148" y="56578"/>
                                  </a:cubicBezTo>
                                  <a:cubicBezTo>
                                    <a:pt x="40386" y="56102"/>
                                    <a:pt x="41529" y="55531"/>
                                    <a:pt x="42481" y="54959"/>
                                  </a:cubicBezTo>
                                  <a:cubicBezTo>
                                    <a:pt x="43434" y="54388"/>
                                    <a:pt x="44291" y="53816"/>
                                    <a:pt x="44958" y="53340"/>
                                  </a:cubicBezTo>
                                  <a:lnTo>
                                    <a:pt x="44958" y="9716"/>
                                  </a:lnTo>
                                  <a:lnTo>
                                    <a:pt x="36957" y="7239"/>
                                  </a:lnTo>
                                  <a:lnTo>
                                    <a:pt x="36957" y="1715"/>
                                  </a:lnTo>
                                  <a:lnTo>
                                    <a:pt x="54292" y="0"/>
                                  </a:lnTo>
                                  <a:lnTo>
                                    <a:pt x="54388" y="0"/>
                                  </a:lnTo>
                                  <a:lnTo>
                                    <a:pt x="57531" y="1619"/>
                                  </a:lnTo>
                                  <a:lnTo>
                                    <a:pt x="57531" y="59341"/>
                                  </a:lnTo>
                                  <a:lnTo>
                                    <a:pt x="64389" y="59341"/>
                                  </a:lnTo>
                                  <a:lnTo>
                                    <a:pt x="64389" y="64960"/>
                                  </a:lnTo>
                                  <a:cubicBezTo>
                                    <a:pt x="63055" y="65342"/>
                                    <a:pt x="61531" y="65818"/>
                                    <a:pt x="59722" y="66389"/>
                                  </a:cubicBezTo>
                                  <a:cubicBezTo>
                                    <a:pt x="57912" y="67151"/>
                                    <a:pt x="55912" y="67342"/>
                                    <a:pt x="53626" y="67342"/>
                                  </a:cubicBez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691057314" name="Freeform: Shape 691057314"/>
                          <wps:cNvSpPr/>
                          <wps:spPr>
                            <a:xfrm>
                              <a:off x="1314830" y="400050"/>
                              <a:ext cx="65341" cy="96202"/>
                            </a:xfrm>
                            <a:custGeom>
                              <a:avLst/>
                              <a:gdLst>
                                <a:gd name="connsiteX0" fmla="*/ 9239 w 65341"/>
                                <a:gd name="connsiteY0" fmla="*/ 91821 h 96202"/>
                                <a:gd name="connsiteX1" fmla="*/ 9239 w 65341"/>
                                <a:gd name="connsiteY1" fmla="*/ 8953 h 96202"/>
                                <a:gd name="connsiteX2" fmla="*/ 0 w 65341"/>
                                <a:gd name="connsiteY2" fmla="*/ 7906 h 96202"/>
                                <a:gd name="connsiteX3" fmla="*/ 0 w 65341"/>
                                <a:gd name="connsiteY3" fmla="*/ 2572 h 96202"/>
                                <a:gd name="connsiteX4" fmla="*/ 18860 w 65341"/>
                                <a:gd name="connsiteY4" fmla="*/ 0 h 96202"/>
                                <a:gd name="connsiteX5" fmla="*/ 19050 w 65341"/>
                                <a:gd name="connsiteY5" fmla="*/ 0 h 96202"/>
                                <a:gd name="connsiteX6" fmla="*/ 21908 w 65341"/>
                                <a:gd name="connsiteY6" fmla="*/ 1905 h 96202"/>
                                <a:gd name="connsiteX7" fmla="*/ 21908 w 65341"/>
                                <a:gd name="connsiteY7" fmla="*/ 36576 h 96202"/>
                                <a:gd name="connsiteX8" fmla="*/ 25241 w 65341"/>
                                <a:gd name="connsiteY8" fmla="*/ 33814 h 96202"/>
                                <a:gd name="connsiteX9" fmla="*/ 29337 w 65341"/>
                                <a:gd name="connsiteY9" fmla="*/ 31337 h 96202"/>
                                <a:gd name="connsiteX10" fmla="*/ 34290 w 65341"/>
                                <a:gd name="connsiteY10" fmla="*/ 29623 h 96202"/>
                                <a:gd name="connsiteX11" fmla="*/ 40100 w 65341"/>
                                <a:gd name="connsiteY11" fmla="*/ 28956 h 96202"/>
                                <a:gd name="connsiteX12" fmla="*/ 49530 w 65341"/>
                                <a:gd name="connsiteY12" fmla="*/ 30766 h 96202"/>
                                <a:gd name="connsiteX13" fmla="*/ 57626 w 65341"/>
                                <a:gd name="connsiteY13" fmla="*/ 36385 h 96202"/>
                                <a:gd name="connsiteX14" fmla="*/ 63246 w 65341"/>
                                <a:gd name="connsiteY14" fmla="*/ 46196 h 96202"/>
                                <a:gd name="connsiteX15" fmla="*/ 65342 w 65341"/>
                                <a:gd name="connsiteY15" fmla="*/ 60579 h 96202"/>
                                <a:gd name="connsiteX16" fmla="*/ 63056 w 65341"/>
                                <a:gd name="connsiteY16" fmla="*/ 74486 h 96202"/>
                                <a:gd name="connsiteX17" fmla="*/ 56483 w 65341"/>
                                <a:gd name="connsiteY17" fmla="*/ 85820 h 96202"/>
                                <a:gd name="connsiteX18" fmla="*/ 46006 w 65341"/>
                                <a:gd name="connsiteY18" fmla="*/ 93440 h 96202"/>
                                <a:gd name="connsiteX19" fmla="*/ 32195 w 65341"/>
                                <a:gd name="connsiteY19" fmla="*/ 96202 h 96202"/>
                                <a:gd name="connsiteX20" fmla="*/ 24098 w 65341"/>
                                <a:gd name="connsiteY20" fmla="*/ 95726 h 96202"/>
                                <a:gd name="connsiteX21" fmla="*/ 17145 w 65341"/>
                                <a:gd name="connsiteY21" fmla="*/ 94583 h 96202"/>
                                <a:gd name="connsiteX22" fmla="*/ 12097 w 65341"/>
                                <a:gd name="connsiteY22" fmla="*/ 93154 h 96202"/>
                                <a:gd name="connsiteX23" fmla="*/ 9239 w 65341"/>
                                <a:gd name="connsiteY23" fmla="*/ 91821 h 96202"/>
                                <a:gd name="connsiteX24" fmla="*/ 34671 w 65341"/>
                                <a:gd name="connsiteY24" fmla="*/ 37624 h 96202"/>
                                <a:gd name="connsiteX25" fmla="*/ 30385 w 65341"/>
                                <a:gd name="connsiteY25" fmla="*/ 38195 h 96202"/>
                                <a:gd name="connsiteX26" fmla="*/ 26765 w 65341"/>
                                <a:gd name="connsiteY26" fmla="*/ 39624 h 96202"/>
                                <a:gd name="connsiteX27" fmla="*/ 23908 w 65341"/>
                                <a:gd name="connsiteY27" fmla="*/ 41529 h 96202"/>
                                <a:gd name="connsiteX28" fmla="*/ 21812 w 65341"/>
                                <a:gd name="connsiteY28" fmla="*/ 43529 h 96202"/>
                                <a:gd name="connsiteX29" fmla="*/ 21812 w 65341"/>
                                <a:gd name="connsiteY29" fmla="*/ 86106 h 96202"/>
                                <a:gd name="connsiteX30" fmla="*/ 23241 w 65341"/>
                                <a:gd name="connsiteY30" fmla="*/ 87725 h 96202"/>
                                <a:gd name="connsiteX31" fmla="*/ 25718 w 65341"/>
                                <a:gd name="connsiteY31" fmla="*/ 88868 h 96202"/>
                                <a:gd name="connsiteX32" fmla="*/ 28956 w 65341"/>
                                <a:gd name="connsiteY32" fmla="*/ 89630 h 96202"/>
                                <a:gd name="connsiteX33" fmla="*/ 32766 w 65341"/>
                                <a:gd name="connsiteY33" fmla="*/ 89916 h 96202"/>
                                <a:gd name="connsiteX34" fmla="*/ 40100 w 65341"/>
                                <a:gd name="connsiteY34" fmla="*/ 88201 h 96202"/>
                                <a:gd name="connsiteX35" fmla="*/ 45911 w 65341"/>
                                <a:gd name="connsiteY35" fmla="*/ 83153 h 96202"/>
                                <a:gd name="connsiteX36" fmla="*/ 49816 w 65341"/>
                                <a:gd name="connsiteY36" fmla="*/ 74676 h 96202"/>
                                <a:gd name="connsiteX37" fmla="*/ 51340 w 65341"/>
                                <a:gd name="connsiteY37" fmla="*/ 62770 h 96202"/>
                                <a:gd name="connsiteX38" fmla="*/ 50197 w 65341"/>
                                <a:gd name="connsiteY38" fmla="*/ 51721 h 96202"/>
                                <a:gd name="connsiteX39" fmla="*/ 46673 w 65341"/>
                                <a:gd name="connsiteY39" fmla="*/ 43910 h 96202"/>
                                <a:gd name="connsiteX40" fmla="*/ 41339 w 65341"/>
                                <a:gd name="connsiteY40" fmla="*/ 39243 h 96202"/>
                                <a:gd name="connsiteX41" fmla="*/ 34671 w 65341"/>
                                <a:gd name="connsiteY41" fmla="*/ 37624 h 9620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Lst>
                              <a:rect l="l" t="t" r="r" b="b"/>
                              <a:pathLst>
                                <a:path w="65341" h="96202">
                                  <a:moveTo>
                                    <a:pt x="9239" y="91821"/>
                                  </a:moveTo>
                                  <a:lnTo>
                                    <a:pt x="9239" y="8953"/>
                                  </a:lnTo>
                                  <a:lnTo>
                                    <a:pt x="0" y="7906"/>
                                  </a:lnTo>
                                  <a:lnTo>
                                    <a:pt x="0" y="2572"/>
                                  </a:lnTo>
                                  <a:lnTo>
                                    <a:pt x="18860" y="0"/>
                                  </a:lnTo>
                                  <a:lnTo>
                                    <a:pt x="19050" y="0"/>
                                  </a:lnTo>
                                  <a:lnTo>
                                    <a:pt x="21908" y="1905"/>
                                  </a:lnTo>
                                  <a:lnTo>
                                    <a:pt x="21908" y="36576"/>
                                  </a:lnTo>
                                  <a:cubicBezTo>
                                    <a:pt x="22860" y="35624"/>
                                    <a:pt x="24003" y="34671"/>
                                    <a:pt x="25241" y="33814"/>
                                  </a:cubicBezTo>
                                  <a:cubicBezTo>
                                    <a:pt x="26480" y="32861"/>
                                    <a:pt x="27813" y="32099"/>
                                    <a:pt x="29337" y="31337"/>
                                  </a:cubicBezTo>
                                  <a:cubicBezTo>
                                    <a:pt x="30861" y="30575"/>
                                    <a:pt x="32480" y="30004"/>
                                    <a:pt x="34290" y="29623"/>
                                  </a:cubicBezTo>
                                  <a:cubicBezTo>
                                    <a:pt x="36100" y="29147"/>
                                    <a:pt x="38005" y="28956"/>
                                    <a:pt x="40100" y="28956"/>
                                  </a:cubicBezTo>
                                  <a:cubicBezTo>
                                    <a:pt x="43339" y="28956"/>
                                    <a:pt x="46482" y="29527"/>
                                    <a:pt x="49530" y="30766"/>
                                  </a:cubicBezTo>
                                  <a:cubicBezTo>
                                    <a:pt x="52578" y="32004"/>
                                    <a:pt x="55245" y="33814"/>
                                    <a:pt x="57626" y="36385"/>
                                  </a:cubicBezTo>
                                  <a:cubicBezTo>
                                    <a:pt x="60008" y="38957"/>
                                    <a:pt x="61817" y="42196"/>
                                    <a:pt x="63246" y="46196"/>
                                  </a:cubicBezTo>
                                  <a:cubicBezTo>
                                    <a:pt x="64675" y="50197"/>
                                    <a:pt x="65342" y="54959"/>
                                    <a:pt x="65342" y="60579"/>
                                  </a:cubicBezTo>
                                  <a:cubicBezTo>
                                    <a:pt x="65342" y="65532"/>
                                    <a:pt x="64580" y="70199"/>
                                    <a:pt x="63056" y="74486"/>
                                  </a:cubicBezTo>
                                  <a:cubicBezTo>
                                    <a:pt x="61532" y="78867"/>
                                    <a:pt x="59341" y="82582"/>
                                    <a:pt x="56483" y="85820"/>
                                  </a:cubicBezTo>
                                  <a:cubicBezTo>
                                    <a:pt x="53626" y="89059"/>
                                    <a:pt x="50102" y="91630"/>
                                    <a:pt x="46006" y="93440"/>
                                  </a:cubicBezTo>
                                  <a:cubicBezTo>
                                    <a:pt x="41910" y="95345"/>
                                    <a:pt x="37243" y="96202"/>
                                    <a:pt x="32195" y="96202"/>
                                  </a:cubicBezTo>
                                  <a:cubicBezTo>
                                    <a:pt x="29337" y="96202"/>
                                    <a:pt x="26670" y="96012"/>
                                    <a:pt x="24098" y="95726"/>
                                  </a:cubicBezTo>
                                  <a:cubicBezTo>
                                    <a:pt x="21527" y="95441"/>
                                    <a:pt x="19145" y="94964"/>
                                    <a:pt x="17145" y="94583"/>
                                  </a:cubicBezTo>
                                  <a:cubicBezTo>
                                    <a:pt x="15145" y="94107"/>
                                    <a:pt x="13430" y="93631"/>
                                    <a:pt x="12097" y="93154"/>
                                  </a:cubicBezTo>
                                  <a:cubicBezTo>
                                    <a:pt x="10478" y="92678"/>
                                    <a:pt x="9620" y="92202"/>
                                    <a:pt x="9239" y="91821"/>
                                  </a:cubicBezTo>
                                  <a:close/>
                                  <a:moveTo>
                                    <a:pt x="34671" y="37624"/>
                                  </a:moveTo>
                                  <a:cubicBezTo>
                                    <a:pt x="33147" y="37624"/>
                                    <a:pt x="31718" y="37814"/>
                                    <a:pt x="30385" y="38195"/>
                                  </a:cubicBezTo>
                                  <a:cubicBezTo>
                                    <a:pt x="29051" y="38576"/>
                                    <a:pt x="27908" y="39052"/>
                                    <a:pt x="26765" y="39624"/>
                                  </a:cubicBezTo>
                                  <a:cubicBezTo>
                                    <a:pt x="25718" y="40196"/>
                                    <a:pt x="24765" y="40767"/>
                                    <a:pt x="23908" y="41529"/>
                                  </a:cubicBezTo>
                                  <a:cubicBezTo>
                                    <a:pt x="23051" y="42196"/>
                                    <a:pt x="22384" y="42863"/>
                                    <a:pt x="21812" y="43529"/>
                                  </a:cubicBezTo>
                                  <a:lnTo>
                                    <a:pt x="21812" y="86106"/>
                                  </a:lnTo>
                                  <a:cubicBezTo>
                                    <a:pt x="22098" y="86773"/>
                                    <a:pt x="22574" y="87344"/>
                                    <a:pt x="23241" y="87725"/>
                                  </a:cubicBezTo>
                                  <a:cubicBezTo>
                                    <a:pt x="23908" y="88201"/>
                                    <a:pt x="24765" y="88582"/>
                                    <a:pt x="25718" y="88868"/>
                                  </a:cubicBezTo>
                                  <a:cubicBezTo>
                                    <a:pt x="26670" y="89154"/>
                                    <a:pt x="27813" y="89440"/>
                                    <a:pt x="28956" y="89630"/>
                                  </a:cubicBezTo>
                                  <a:cubicBezTo>
                                    <a:pt x="30194" y="89821"/>
                                    <a:pt x="31433" y="89916"/>
                                    <a:pt x="32766" y="89916"/>
                                  </a:cubicBezTo>
                                  <a:cubicBezTo>
                                    <a:pt x="35433" y="89916"/>
                                    <a:pt x="37910" y="89345"/>
                                    <a:pt x="40100" y="88201"/>
                                  </a:cubicBezTo>
                                  <a:cubicBezTo>
                                    <a:pt x="42386" y="87058"/>
                                    <a:pt x="44291" y="85344"/>
                                    <a:pt x="45911" y="83153"/>
                                  </a:cubicBezTo>
                                  <a:cubicBezTo>
                                    <a:pt x="47530" y="80867"/>
                                    <a:pt x="48863" y="78105"/>
                                    <a:pt x="49816" y="74676"/>
                                  </a:cubicBezTo>
                                  <a:cubicBezTo>
                                    <a:pt x="50768" y="71247"/>
                                    <a:pt x="51245" y="67342"/>
                                    <a:pt x="51340" y="62770"/>
                                  </a:cubicBezTo>
                                  <a:cubicBezTo>
                                    <a:pt x="51435" y="58579"/>
                                    <a:pt x="51054" y="54864"/>
                                    <a:pt x="50197" y="51721"/>
                                  </a:cubicBezTo>
                                  <a:cubicBezTo>
                                    <a:pt x="49340" y="48577"/>
                                    <a:pt x="48197" y="46006"/>
                                    <a:pt x="46673" y="43910"/>
                                  </a:cubicBezTo>
                                  <a:cubicBezTo>
                                    <a:pt x="45149" y="41815"/>
                                    <a:pt x="43339" y="40291"/>
                                    <a:pt x="41339" y="39243"/>
                                  </a:cubicBezTo>
                                  <a:cubicBezTo>
                                    <a:pt x="39338" y="38100"/>
                                    <a:pt x="37052" y="37624"/>
                                    <a:pt x="34671" y="37624"/>
                                  </a:cubicBez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382821728" name="Freeform: Shape 382821728"/>
                          <wps:cNvSpPr/>
                          <wps:spPr>
                            <a:xfrm>
                              <a:off x="1388840" y="400145"/>
                              <a:ext cx="31718" cy="94869"/>
                            </a:xfrm>
                            <a:custGeom>
                              <a:avLst/>
                              <a:gdLst>
                                <a:gd name="connsiteX0" fmla="*/ 0 w 31718"/>
                                <a:gd name="connsiteY0" fmla="*/ 94869 h 94869"/>
                                <a:gd name="connsiteX1" fmla="*/ 0 w 31718"/>
                                <a:gd name="connsiteY1" fmla="*/ 88678 h 94869"/>
                                <a:gd name="connsiteX2" fmla="*/ 9334 w 31718"/>
                                <a:gd name="connsiteY2" fmla="*/ 87725 h 94869"/>
                                <a:gd name="connsiteX3" fmla="*/ 9334 w 31718"/>
                                <a:gd name="connsiteY3" fmla="*/ 8954 h 94869"/>
                                <a:gd name="connsiteX4" fmla="*/ 0 w 31718"/>
                                <a:gd name="connsiteY4" fmla="*/ 7906 h 94869"/>
                                <a:gd name="connsiteX5" fmla="*/ 0 w 31718"/>
                                <a:gd name="connsiteY5" fmla="*/ 2572 h 94869"/>
                                <a:gd name="connsiteX6" fmla="*/ 18955 w 31718"/>
                                <a:gd name="connsiteY6" fmla="*/ 0 h 94869"/>
                                <a:gd name="connsiteX7" fmla="*/ 19050 w 31718"/>
                                <a:gd name="connsiteY7" fmla="*/ 0 h 94869"/>
                                <a:gd name="connsiteX8" fmla="*/ 21908 w 31718"/>
                                <a:gd name="connsiteY8" fmla="*/ 2000 h 94869"/>
                                <a:gd name="connsiteX9" fmla="*/ 21908 w 31718"/>
                                <a:gd name="connsiteY9" fmla="*/ 87725 h 94869"/>
                                <a:gd name="connsiteX10" fmla="*/ 31718 w 31718"/>
                                <a:gd name="connsiteY10" fmla="*/ 88678 h 94869"/>
                                <a:gd name="connsiteX11" fmla="*/ 31718 w 31718"/>
                                <a:gd name="connsiteY11" fmla="*/ 94869 h 94869"/>
                                <a:gd name="connsiteX12" fmla="*/ 0 w 31718"/>
                                <a:gd name="connsiteY12" fmla="*/ 94869 h 9486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31718" h="94869">
                                  <a:moveTo>
                                    <a:pt x="0" y="94869"/>
                                  </a:moveTo>
                                  <a:lnTo>
                                    <a:pt x="0" y="88678"/>
                                  </a:lnTo>
                                  <a:lnTo>
                                    <a:pt x="9334" y="87725"/>
                                  </a:lnTo>
                                  <a:lnTo>
                                    <a:pt x="9334" y="8954"/>
                                  </a:lnTo>
                                  <a:lnTo>
                                    <a:pt x="0" y="7906"/>
                                  </a:lnTo>
                                  <a:lnTo>
                                    <a:pt x="0" y="2572"/>
                                  </a:lnTo>
                                  <a:lnTo>
                                    <a:pt x="18955" y="0"/>
                                  </a:lnTo>
                                  <a:lnTo>
                                    <a:pt x="19050" y="0"/>
                                  </a:lnTo>
                                  <a:lnTo>
                                    <a:pt x="21908" y="2000"/>
                                  </a:lnTo>
                                  <a:lnTo>
                                    <a:pt x="21908" y="87725"/>
                                  </a:lnTo>
                                  <a:lnTo>
                                    <a:pt x="31718" y="88678"/>
                                  </a:lnTo>
                                  <a:lnTo>
                                    <a:pt x="31718" y="94869"/>
                                  </a:lnTo>
                                  <a:lnTo>
                                    <a:pt x="0" y="94869"/>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352087755" name="Freeform: Shape 1352087755"/>
                          <wps:cNvSpPr/>
                          <wps:spPr>
                            <a:xfrm>
                              <a:off x="1427987" y="401764"/>
                              <a:ext cx="31051" cy="93249"/>
                            </a:xfrm>
                            <a:custGeom>
                              <a:avLst/>
                              <a:gdLst>
                                <a:gd name="connsiteX0" fmla="*/ 0 w 31051"/>
                                <a:gd name="connsiteY0" fmla="*/ 93250 h 93249"/>
                                <a:gd name="connsiteX1" fmla="*/ 0 w 31051"/>
                                <a:gd name="connsiteY1" fmla="*/ 87058 h 93249"/>
                                <a:gd name="connsiteX2" fmla="*/ 9334 w 31051"/>
                                <a:gd name="connsiteY2" fmla="*/ 86106 h 93249"/>
                                <a:gd name="connsiteX3" fmla="*/ 9334 w 31051"/>
                                <a:gd name="connsiteY3" fmla="*/ 39052 h 93249"/>
                                <a:gd name="connsiteX4" fmla="*/ 1429 w 31051"/>
                                <a:gd name="connsiteY4" fmla="*/ 36576 h 93249"/>
                                <a:gd name="connsiteX5" fmla="*/ 1429 w 31051"/>
                                <a:gd name="connsiteY5" fmla="*/ 29813 h 93249"/>
                                <a:gd name="connsiteX6" fmla="*/ 18669 w 31051"/>
                                <a:gd name="connsiteY6" fmla="*/ 27527 h 93249"/>
                                <a:gd name="connsiteX7" fmla="*/ 18955 w 31051"/>
                                <a:gd name="connsiteY7" fmla="*/ 27527 h 93249"/>
                                <a:gd name="connsiteX8" fmla="*/ 21908 w 31051"/>
                                <a:gd name="connsiteY8" fmla="*/ 29813 h 93249"/>
                                <a:gd name="connsiteX9" fmla="*/ 21908 w 31051"/>
                                <a:gd name="connsiteY9" fmla="*/ 86201 h 93249"/>
                                <a:gd name="connsiteX10" fmla="*/ 31051 w 31051"/>
                                <a:gd name="connsiteY10" fmla="*/ 87058 h 93249"/>
                                <a:gd name="connsiteX11" fmla="*/ 31051 w 31051"/>
                                <a:gd name="connsiteY11" fmla="*/ 93250 h 93249"/>
                                <a:gd name="connsiteX12" fmla="*/ 0 w 31051"/>
                                <a:gd name="connsiteY12" fmla="*/ 93250 h 93249"/>
                                <a:gd name="connsiteX13" fmla="*/ 13716 w 31051"/>
                                <a:gd name="connsiteY13" fmla="*/ 16859 h 93249"/>
                                <a:gd name="connsiteX14" fmla="*/ 10668 w 31051"/>
                                <a:gd name="connsiteY14" fmla="*/ 16288 h 93249"/>
                                <a:gd name="connsiteX15" fmla="*/ 8382 w 31051"/>
                                <a:gd name="connsiteY15" fmla="*/ 14669 h 93249"/>
                                <a:gd name="connsiteX16" fmla="*/ 6953 w 31051"/>
                                <a:gd name="connsiteY16" fmla="*/ 12192 h 93249"/>
                                <a:gd name="connsiteX17" fmla="*/ 6477 w 31051"/>
                                <a:gd name="connsiteY17" fmla="*/ 9144 h 93249"/>
                                <a:gd name="connsiteX18" fmla="*/ 7049 w 31051"/>
                                <a:gd name="connsiteY18" fmla="*/ 5715 h 93249"/>
                                <a:gd name="connsiteX19" fmla="*/ 8668 w 31051"/>
                                <a:gd name="connsiteY19" fmla="*/ 2762 h 93249"/>
                                <a:gd name="connsiteX20" fmla="*/ 11335 w 31051"/>
                                <a:gd name="connsiteY20" fmla="*/ 762 h 93249"/>
                                <a:gd name="connsiteX21" fmla="*/ 15050 w 31051"/>
                                <a:gd name="connsiteY21" fmla="*/ 0 h 93249"/>
                                <a:gd name="connsiteX22" fmla="*/ 15145 w 31051"/>
                                <a:gd name="connsiteY22" fmla="*/ 0 h 93249"/>
                                <a:gd name="connsiteX23" fmla="*/ 18383 w 31051"/>
                                <a:gd name="connsiteY23" fmla="*/ 667 h 93249"/>
                                <a:gd name="connsiteX24" fmla="*/ 20765 w 31051"/>
                                <a:gd name="connsiteY24" fmla="*/ 2476 h 93249"/>
                                <a:gd name="connsiteX25" fmla="*/ 22193 w 31051"/>
                                <a:gd name="connsiteY25" fmla="*/ 4953 h 93249"/>
                                <a:gd name="connsiteX26" fmla="*/ 22670 w 31051"/>
                                <a:gd name="connsiteY26" fmla="*/ 7906 h 93249"/>
                                <a:gd name="connsiteX27" fmla="*/ 22098 w 31051"/>
                                <a:gd name="connsiteY27" fmla="*/ 11430 h 93249"/>
                                <a:gd name="connsiteX28" fmla="*/ 20479 w 31051"/>
                                <a:gd name="connsiteY28" fmla="*/ 14288 h 93249"/>
                                <a:gd name="connsiteX29" fmla="*/ 17717 w 31051"/>
                                <a:gd name="connsiteY29" fmla="*/ 16193 h 93249"/>
                                <a:gd name="connsiteX30" fmla="*/ 13716 w 31051"/>
                                <a:gd name="connsiteY30" fmla="*/ 16859 h 93249"/>
                                <a:gd name="connsiteX31" fmla="*/ 13716 w 31051"/>
                                <a:gd name="connsiteY31" fmla="*/ 16859 h 9324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Lst>
                              <a:rect l="l" t="t" r="r" b="b"/>
                              <a:pathLst>
                                <a:path w="31051" h="93249">
                                  <a:moveTo>
                                    <a:pt x="0" y="93250"/>
                                  </a:moveTo>
                                  <a:lnTo>
                                    <a:pt x="0" y="87058"/>
                                  </a:lnTo>
                                  <a:lnTo>
                                    <a:pt x="9334" y="86106"/>
                                  </a:lnTo>
                                  <a:lnTo>
                                    <a:pt x="9334" y="39052"/>
                                  </a:lnTo>
                                  <a:lnTo>
                                    <a:pt x="1429" y="36576"/>
                                  </a:lnTo>
                                  <a:lnTo>
                                    <a:pt x="1429" y="29813"/>
                                  </a:lnTo>
                                  <a:lnTo>
                                    <a:pt x="18669" y="27527"/>
                                  </a:lnTo>
                                  <a:lnTo>
                                    <a:pt x="18955" y="27527"/>
                                  </a:lnTo>
                                  <a:lnTo>
                                    <a:pt x="21908" y="29813"/>
                                  </a:lnTo>
                                  <a:lnTo>
                                    <a:pt x="21908" y="86201"/>
                                  </a:lnTo>
                                  <a:lnTo>
                                    <a:pt x="31051" y="87058"/>
                                  </a:lnTo>
                                  <a:lnTo>
                                    <a:pt x="31051" y="93250"/>
                                  </a:lnTo>
                                  <a:lnTo>
                                    <a:pt x="0" y="93250"/>
                                  </a:lnTo>
                                  <a:close/>
                                  <a:moveTo>
                                    <a:pt x="13716" y="16859"/>
                                  </a:moveTo>
                                  <a:cubicBezTo>
                                    <a:pt x="12668" y="16859"/>
                                    <a:pt x="11621" y="16669"/>
                                    <a:pt x="10668" y="16288"/>
                                  </a:cubicBezTo>
                                  <a:cubicBezTo>
                                    <a:pt x="9811" y="15907"/>
                                    <a:pt x="8954" y="15335"/>
                                    <a:pt x="8382" y="14669"/>
                                  </a:cubicBezTo>
                                  <a:cubicBezTo>
                                    <a:pt x="7715" y="14002"/>
                                    <a:pt x="7239" y="13145"/>
                                    <a:pt x="6953" y="12192"/>
                                  </a:cubicBezTo>
                                  <a:cubicBezTo>
                                    <a:pt x="6572" y="11240"/>
                                    <a:pt x="6477" y="10192"/>
                                    <a:pt x="6477" y="9144"/>
                                  </a:cubicBezTo>
                                  <a:cubicBezTo>
                                    <a:pt x="6477" y="7906"/>
                                    <a:pt x="6667" y="6763"/>
                                    <a:pt x="7049" y="5715"/>
                                  </a:cubicBezTo>
                                  <a:cubicBezTo>
                                    <a:pt x="7429" y="4667"/>
                                    <a:pt x="7906" y="3620"/>
                                    <a:pt x="8668" y="2762"/>
                                  </a:cubicBezTo>
                                  <a:cubicBezTo>
                                    <a:pt x="9334" y="1905"/>
                                    <a:pt x="10192" y="1238"/>
                                    <a:pt x="11335" y="762"/>
                                  </a:cubicBezTo>
                                  <a:cubicBezTo>
                                    <a:pt x="12383" y="286"/>
                                    <a:pt x="13621" y="0"/>
                                    <a:pt x="15050" y="0"/>
                                  </a:cubicBezTo>
                                  <a:lnTo>
                                    <a:pt x="15145" y="0"/>
                                  </a:lnTo>
                                  <a:cubicBezTo>
                                    <a:pt x="16383" y="0"/>
                                    <a:pt x="17526" y="191"/>
                                    <a:pt x="18383" y="667"/>
                                  </a:cubicBezTo>
                                  <a:cubicBezTo>
                                    <a:pt x="19336" y="1143"/>
                                    <a:pt x="20098" y="1715"/>
                                    <a:pt x="20765" y="2476"/>
                                  </a:cubicBezTo>
                                  <a:cubicBezTo>
                                    <a:pt x="21431" y="3239"/>
                                    <a:pt x="21908" y="4096"/>
                                    <a:pt x="22193" y="4953"/>
                                  </a:cubicBezTo>
                                  <a:cubicBezTo>
                                    <a:pt x="22574" y="5905"/>
                                    <a:pt x="22670" y="6858"/>
                                    <a:pt x="22670" y="7906"/>
                                  </a:cubicBezTo>
                                  <a:cubicBezTo>
                                    <a:pt x="22670" y="9144"/>
                                    <a:pt x="22479" y="10382"/>
                                    <a:pt x="22098" y="11430"/>
                                  </a:cubicBezTo>
                                  <a:cubicBezTo>
                                    <a:pt x="21717" y="12478"/>
                                    <a:pt x="21241" y="13430"/>
                                    <a:pt x="20479" y="14288"/>
                                  </a:cubicBezTo>
                                  <a:cubicBezTo>
                                    <a:pt x="19717" y="15145"/>
                                    <a:pt x="18859" y="15716"/>
                                    <a:pt x="17717" y="16193"/>
                                  </a:cubicBezTo>
                                  <a:cubicBezTo>
                                    <a:pt x="16574" y="16573"/>
                                    <a:pt x="15240" y="16859"/>
                                    <a:pt x="13716" y="16859"/>
                                  </a:cubicBezTo>
                                  <a:lnTo>
                                    <a:pt x="13716" y="16859"/>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62691539" name="Freeform: Shape 162691539"/>
                          <wps:cNvSpPr/>
                          <wps:spPr>
                            <a:xfrm>
                              <a:off x="1467707" y="429196"/>
                              <a:ext cx="50482" cy="67341"/>
                            </a:xfrm>
                            <a:custGeom>
                              <a:avLst/>
                              <a:gdLst>
                                <a:gd name="connsiteX0" fmla="*/ 0 w 50482"/>
                                <a:gd name="connsiteY0" fmla="*/ 34671 h 67341"/>
                                <a:gd name="connsiteX1" fmla="*/ 2191 w 50482"/>
                                <a:gd name="connsiteY1" fmla="*/ 21336 h 67341"/>
                                <a:gd name="connsiteX2" fmla="*/ 8573 w 50482"/>
                                <a:gd name="connsiteY2" fmla="*/ 10287 h 67341"/>
                                <a:gd name="connsiteX3" fmla="*/ 18860 w 50482"/>
                                <a:gd name="connsiteY3" fmla="*/ 2762 h 67341"/>
                                <a:gd name="connsiteX4" fmla="*/ 32671 w 50482"/>
                                <a:gd name="connsiteY4" fmla="*/ 0 h 67341"/>
                                <a:gd name="connsiteX5" fmla="*/ 38100 w 50482"/>
                                <a:gd name="connsiteY5" fmla="*/ 381 h 67341"/>
                                <a:gd name="connsiteX6" fmla="*/ 42958 w 50482"/>
                                <a:gd name="connsiteY6" fmla="*/ 1238 h 67341"/>
                                <a:gd name="connsiteX7" fmla="*/ 46958 w 50482"/>
                                <a:gd name="connsiteY7" fmla="*/ 2381 h 67341"/>
                                <a:gd name="connsiteX8" fmla="*/ 49816 w 50482"/>
                                <a:gd name="connsiteY8" fmla="*/ 3524 h 67341"/>
                                <a:gd name="connsiteX9" fmla="*/ 49244 w 50482"/>
                                <a:gd name="connsiteY9" fmla="*/ 20098 h 67341"/>
                                <a:gd name="connsiteX10" fmla="*/ 41624 w 50482"/>
                                <a:gd name="connsiteY10" fmla="*/ 20098 h 67341"/>
                                <a:gd name="connsiteX11" fmla="*/ 39053 w 50482"/>
                                <a:gd name="connsiteY11" fmla="*/ 10763 h 67341"/>
                                <a:gd name="connsiteX12" fmla="*/ 35338 w 50482"/>
                                <a:gd name="connsiteY12" fmla="*/ 7810 h 67341"/>
                                <a:gd name="connsiteX13" fmla="*/ 29908 w 50482"/>
                                <a:gd name="connsiteY13" fmla="*/ 6763 h 67341"/>
                                <a:gd name="connsiteX14" fmla="*/ 23717 w 50482"/>
                                <a:gd name="connsiteY14" fmla="*/ 8191 h 67341"/>
                                <a:gd name="connsiteX15" fmla="*/ 18479 w 50482"/>
                                <a:gd name="connsiteY15" fmla="*/ 12668 h 67341"/>
                                <a:gd name="connsiteX16" fmla="*/ 14764 w 50482"/>
                                <a:gd name="connsiteY16" fmla="*/ 20098 h 67341"/>
                                <a:gd name="connsiteX17" fmla="*/ 13335 w 50482"/>
                                <a:gd name="connsiteY17" fmla="*/ 30480 h 67341"/>
                                <a:gd name="connsiteX18" fmla="*/ 14859 w 50482"/>
                                <a:gd name="connsiteY18" fmla="*/ 43434 h 67341"/>
                                <a:gd name="connsiteX19" fmla="*/ 19050 w 50482"/>
                                <a:gd name="connsiteY19" fmla="*/ 52197 h 67341"/>
                                <a:gd name="connsiteX20" fmla="*/ 25051 w 50482"/>
                                <a:gd name="connsiteY20" fmla="*/ 57055 h 67341"/>
                                <a:gd name="connsiteX21" fmla="*/ 32195 w 50482"/>
                                <a:gd name="connsiteY21" fmla="*/ 58579 h 67341"/>
                                <a:gd name="connsiteX22" fmla="*/ 37243 w 50482"/>
                                <a:gd name="connsiteY22" fmla="*/ 58102 h 67341"/>
                                <a:gd name="connsiteX23" fmla="*/ 41529 w 50482"/>
                                <a:gd name="connsiteY23" fmla="*/ 56959 h 67341"/>
                                <a:gd name="connsiteX24" fmla="*/ 45149 w 50482"/>
                                <a:gd name="connsiteY24" fmla="*/ 55340 h 67341"/>
                                <a:gd name="connsiteX25" fmla="*/ 48006 w 50482"/>
                                <a:gd name="connsiteY25" fmla="*/ 53530 h 67341"/>
                                <a:gd name="connsiteX26" fmla="*/ 50483 w 50482"/>
                                <a:gd name="connsiteY26" fmla="*/ 58960 h 67341"/>
                                <a:gd name="connsiteX27" fmla="*/ 46673 w 50482"/>
                                <a:gd name="connsiteY27" fmla="*/ 62008 h 67341"/>
                                <a:gd name="connsiteX28" fmla="*/ 41624 w 50482"/>
                                <a:gd name="connsiteY28" fmla="*/ 64675 h 67341"/>
                                <a:gd name="connsiteX29" fmla="*/ 35719 w 50482"/>
                                <a:gd name="connsiteY29" fmla="*/ 66580 h 67341"/>
                                <a:gd name="connsiteX30" fmla="*/ 29432 w 50482"/>
                                <a:gd name="connsiteY30" fmla="*/ 67342 h 67341"/>
                                <a:gd name="connsiteX31" fmla="*/ 16669 w 50482"/>
                                <a:gd name="connsiteY31" fmla="*/ 64865 h 67341"/>
                                <a:gd name="connsiteX32" fmla="*/ 7429 w 50482"/>
                                <a:gd name="connsiteY32" fmla="*/ 58007 h 67341"/>
                                <a:gd name="connsiteX33" fmla="*/ 1810 w 50482"/>
                                <a:gd name="connsiteY33" fmla="*/ 47720 h 67341"/>
                                <a:gd name="connsiteX34" fmla="*/ 0 w 50482"/>
                                <a:gd name="connsiteY34" fmla="*/ 34671 h 6734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Lst>
                              <a:rect l="l" t="t" r="r" b="b"/>
                              <a:pathLst>
                                <a:path w="50482" h="67341">
                                  <a:moveTo>
                                    <a:pt x="0" y="34671"/>
                                  </a:moveTo>
                                  <a:cubicBezTo>
                                    <a:pt x="0" y="30004"/>
                                    <a:pt x="762" y="25527"/>
                                    <a:pt x="2191" y="21336"/>
                                  </a:cubicBezTo>
                                  <a:cubicBezTo>
                                    <a:pt x="3620" y="17145"/>
                                    <a:pt x="5810" y="13430"/>
                                    <a:pt x="8573" y="10287"/>
                                  </a:cubicBezTo>
                                  <a:cubicBezTo>
                                    <a:pt x="11335" y="7144"/>
                                    <a:pt x="14859" y="4572"/>
                                    <a:pt x="18860" y="2762"/>
                                  </a:cubicBezTo>
                                  <a:cubicBezTo>
                                    <a:pt x="22955" y="857"/>
                                    <a:pt x="27527" y="0"/>
                                    <a:pt x="32671" y="0"/>
                                  </a:cubicBezTo>
                                  <a:cubicBezTo>
                                    <a:pt x="34576" y="0"/>
                                    <a:pt x="36386" y="95"/>
                                    <a:pt x="38100" y="381"/>
                                  </a:cubicBezTo>
                                  <a:cubicBezTo>
                                    <a:pt x="39815" y="667"/>
                                    <a:pt x="41434" y="952"/>
                                    <a:pt x="42958" y="1238"/>
                                  </a:cubicBezTo>
                                  <a:cubicBezTo>
                                    <a:pt x="44482" y="1619"/>
                                    <a:pt x="45815" y="2000"/>
                                    <a:pt x="46958" y="2381"/>
                                  </a:cubicBezTo>
                                  <a:cubicBezTo>
                                    <a:pt x="48101" y="2762"/>
                                    <a:pt x="49054" y="3143"/>
                                    <a:pt x="49816" y="3524"/>
                                  </a:cubicBezTo>
                                  <a:lnTo>
                                    <a:pt x="49244" y="20098"/>
                                  </a:lnTo>
                                  <a:lnTo>
                                    <a:pt x="41624" y="20098"/>
                                  </a:lnTo>
                                  <a:lnTo>
                                    <a:pt x="39053" y="10763"/>
                                  </a:lnTo>
                                  <a:cubicBezTo>
                                    <a:pt x="38100" y="9525"/>
                                    <a:pt x="36862" y="8477"/>
                                    <a:pt x="35338" y="7810"/>
                                  </a:cubicBezTo>
                                  <a:cubicBezTo>
                                    <a:pt x="33814" y="7144"/>
                                    <a:pt x="32004" y="6763"/>
                                    <a:pt x="29908" y="6763"/>
                                  </a:cubicBezTo>
                                  <a:cubicBezTo>
                                    <a:pt x="27718" y="6763"/>
                                    <a:pt x="25717" y="7239"/>
                                    <a:pt x="23717" y="8191"/>
                                  </a:cubicBezTo>
                                  <a:cubicBezTo>
                                    <a:pt x="21717" y="9144"/>
                                    <a:pt x="20003" y="10668"/>
                                    <a:pt x="18479" y="12668"/>
                                  </a:cubicBezTo>
                                  <a:cubicBezTo>
                                    <a:pt x="16954" y="14668"/>
                                    <a:pt x="15716" y="17145"/>
                                    <a:pt x="14764" y="20098"/>
                                  </a:cubicBezTo>
                                  <a:cubicBezTo>
                                    <a:pt x="13811" y="23050"/>
                                    <a:pt x="13335" y="26479"/>
                                    <a:pt x="13335" y="30480"/>
                                  </a:cubicBezTo>
                                  <a:cubicBezTo>
                                    <a:pt x="13335" y="35528"/>
                                    <a:pt x="13811" y="39910"/>
                                    <a:pt x="14859" y="43434"/>
                                  </a:cubicBezTo>
                                  <a:cubicBezTo>
                                    <a:pt x="15907" y="47053"/>
                                    <a:pt x="17240" y="49911"/>
                                    <a:pt x="19050" y="52197"/>
                                  </a:cubicBezTo>
                                  <a:cubicBezTo>
                                    <a:pt x="20765" y="54483"/>
                                    <a:pt x="22765" y="56102"/>
                                    <a:pt x="25051" y="57055"/>
                                  </a:cubicBezTo>
                                  <a:cubicBezTo>
                                    <a:pt x="27337" y="58102"/>
                                    <a:pt x="29718" y="58579"/>
                                    <a:pt x="32195" y="58579"/>
                                  </a:cubicBezTo>
                                  <a:cubicBezTo>
                                    <a:pt x="34004" y="58579"/>
                                    <a:pt x="35624" y="58388"/>
                                    <a:pt x="37243" y="58102"/>
                                  </a:cubicBezTo>
                                  <a:cubicBezTo>
                                    <a:pt x="38767" y="57817"/>
                                    <a:pt x="40291" y="57436"/>
                                    <a:pt x="41529" y="56959"/>
                                  </a:cubicBezTo>
                                  <a:cubicBezTo>
                                    <a:pt x="42863" y="56483"/>
                                    <a:pt x="44006" y="55912"/>
                                    <a:pt x="45149" y="55340"/>
                                  </a:cubicBezTo>
                                  <a:cubicBezTo>
                                    <a:pt x="46196" y="54673"/>
                                    <a:pt x="47244" y="54102"/>
                                    <a:pt x="48006" y="53530"/>
                                  </a:cubicBezTo>
                                  <a:lnTo>
                                    <a:pt x="50483" y="58960"/>
                                  </a:lnTo>
                                  <a:cubicBezTo>
                                    <a:pt x="49435" y="60007"/>
                                    <a:pt x="48196" y="61055"/>
                                    <a:pt x="46673" y="62008"/>
                                  </a:cubicBezTo>
                                  <a:cubicBezTo>
                                    <a:pt x="45149" y="62960"/>
                                    <a:pt x="43529" y="63913"/>
                                    <a:pt x="41624" y="64675"/>
                                  </a:cubicBezTo>
                                  <a:cubicBezTo>
                                    <a:pt x="39719" y="65437"/>
                                    <a:pt x="37814" y="66103"/>
                                    <a:pt x="35719" y="66580"/>
                                  </a:cubicBezTo>
                                  <a:cubicBezTo>
                                    <a:pt x="33623" y="67056"/>
                                    <a:pt x="31528" y="67342"/>
                                    <a:pt x="29432" y="67342"/>
                                  </a:cubicBezTo>
                                  <a:cubicBezTo>
                                    <a:pt x="24575" y="67342"/>
                                    <a:pt x="20288" y="66484"/>
                                    <a:pt x="16669" y="64865"/>
                                  </a:cubicBezTo>
                                  <a:cubicBezTo>
                                    <a:pt x="12954" y="63151"/>
                                    <a:pt x="9906" y="60865"/>
                                    <a:pt x="7429" y="58007"/>
                                  </a:cubicBezTo>
                                  <a:cubicBezTo>
                                    <a:pt x="4953" y="55150"/>
                                    <a:pt x="3048" y="51625"/>
                                    <a:pt x="1810" y="47720"/>
                                  </a:cubicBezTo>
                                  <a:cubicBezTo>
                                    <a:pt x="571" y="43815"/>
                                    <a:pt x="0" y="39243"/>
                                    <a:pt x="0" y="34671"/>
                                  </a:cubicBez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773838945" name="Freeform: Shape 1773838945"/>
                          <wps:cNvSpPr/>
                          <wps:spPr>
                            <a:xfrm>
                              <a:off x="1526190" y="396144"/>
                              <a:ext cx="56673" cy="100298"/>
                            </a:xfrm>
                            <a:custGeom>
                              <a:avLst/>
                              <a:gdLst>
                                <a:gd name="connsiteX0" fmla="*/ 0 w 56673"/>
                                <a:gd name="connsiteY0" fmla="*/ 81915 h 100298"/>
                                <a:gd name="connsiteX1" fmla="*/ 1524 w 56673"/>
                                <a:gd name="connsiteY1" fmla="*/ 74676 h 100298"/>
                                <a:gd name="connsiteX2" fmla="*/ 5715 w 56673"/>
                                <a:gd name="connsiteY2" fmla="*/ 69056 h 100298"/>
                                <a:gd name="connsiteX3" fmla="*/ 12002 w 56673"/>
                                <a:gd name="connsiteY3" fmla="*/ 64960 h 100298"/>
                                <a:gd name="connsiteX4" fmla="*/ 19717 w 56673"/>
                                <a:gd name="connsiteY4" fmla="*/ 62198 h 100298"/>
                                <a:gd name="connsiteX5" fmla="*/ 28385 w 56673"/>
                                <a:gd name="connsiteY5" fmla="*/ 60579 h 100298"/>
                                <a:gd name="connsiteX6" fmla="*/ 37243 w 56673"/>
                                <a:gd name="connsiteY6" fmla="*/ 59912 h 100298"/>
                                <a:gd name="connsiteX7" fmla="*/ 37243 w 56673"/>
                                <a:gd name="connsiteY7" fmla="*/ 56959 h 100298"/>
                                <a:gd name="connsiteX8" fmla="*/ 36671 w 56673"/>
                                <a:gd name="connsiteY8" fmla="*/ 50292 h 100298"/>
                                <a:gd name="connsiteX9" fmla="*/ 34766 w 56673"/>
                                <a:gd name="connsiteY9" fmla="*/ 45815 h 100298"/>
                                <a:gd name="connsiteX10" fmla="*/ 31052 w 56673"/>
                                <a:gd name="connsiteY10" fmla="*/ 43339 h 100298"/>
                                <a:gd name="connsiteX11" fmla="*/ 25146 w 56673"/>
                                <a:gd name="connsiteY11" fmla="*/ 42577 h 100298"/>
                                <a:gd name="connsiteX12" fmla="*/ 19050 w 56673"/>
                                <a:gd name="connsiteY12" fmla="*/ 43148 h 100298"/>
                                <a:gd name="connsiteX13" fmla="*/ 13240 w 56673"/>
                                <a:gd name="connsiteY13" fmla="*/ 44577 h 100298"/>
                                <a:gd name="connsiteX14" fmla="*/ 8096 w 56673"/>
                                <a:gd name="connsiteY14" fmla="*/ 46292 h 100298"/>
                                <a:gd name="connsiteX15" fmla="*/ 4191 w 56673"/>
                                <a:gd name="connsiteY15" fmla="*/ 48006 h 100298"/>
                                <a:gd name="connsiteX16" fmla="*/ 4096 w 56673"/>
                                <a:gd name="connsiteY16" fmla="*/ 48006 h 100298"/>
                                <a:gd name="connsiteX17" fmla="*/ 1524 w 56673"/>
                                <a:gd name="connsiteY17" fmla="*/ 42577 h 100298"/>
                                <a:gd name="connsiteX18" fmla="*/ 5334 w 56673"/>
                                <a:gd name="connsiteY18" fmla="*/ 40005 h 100298"/>
                                <a:gd name="connsiteX19" fmla="*/ 11716 w 56673"/>
                                <a:gd name="connsiteY19" fmla="*/ 36957 h 100298"/>
                                <a:gd name="connsiteX20" fmla="*/ 19717 w 56673"/>
                                <a:gd name="connsiteY20" fmla="*/ 34385 h 100298"/>
                                <a:gd name="connsiteX21" fmla="*/ 28194 w 56673"/>
                                <a:gd name="connsiteY21" fmla="*/ 33338 h 100298"/>
                                <a:gd name="connsiteX22" fmla="*/ 38195 w 56673"/>
                                <a:gd name="connsiteY22" fmla="*/ 34576 h 100298"/>
                                <a:gd name="connsiteX23" fmla="*/ 44863 w 56673"/>
                                <a:gd name="connsiteY23" fmla="*/ 38481 h 100298"/>
                                <a:gd name="connsiteX24" fmla="*/ 48482 w 56673"/>
                                <a:gd name="connsiteY24" fmla="*/ 45434 h 100298"/>
                                <a:gd name="connsiteX25" fmla="*/ 49625 w 56673"/>
                                <a:gd name="connsiteY25" fmla="*/ 55817 h 100298"/>
                                <a:gd name="connsiteX26" fmla="*/ 49625 w 56673"/>
                                <a:gd name="connsiteY26" fmla="*/ 92678 h 100298"/>
                                <a:gd name="connsiteX27" fmla="*/ 56674 w 56673"/>
                                <a:gd name="connsiteY27" fmla="*/ 92678 h 100298"/>
                                <a:gd name="connsiteX28" fmla="*/ 56674 w 56673"/>
                                <a:gd name="connsiteY28" fmla="*/ 98203 h 100298"/>
                                <a:gd name="connsiteX29" fmla="*/ 54102 w 56673"/>
                                <a:gd name="connsiteY29" fmla="*/ 98870 h 100298"/>
                                <a:gd name="connsiteX30" fmla="*/ 50959 w 56673"/>
                                <a:gd name="connsiteY30" fmla="*/ 99536 h 100298"/>
                                <a:gd name="connsiteX31" fmla="*/ 47625 w 56673"/>
                                <a:gd name="connsiteY31" fmla="*/ 100108 h 100298"/>
                                <a:gd name="connsiteX32" fmla="*/ 44387 w 56673"/>
                                <a:gd name="connsiteY32" fmla="*/ 100298 h 100298"/>
                                <a:gd name="connsiteX33" fmla="*/ 41624 w 56673"/>
                                <a:gd name="connsiteY33" fmla="*/ 100203 h 100298"/>
                                <a:gd name="connsiteX34" fmla="*/ 39719 w 56673"/>
                                <a:gd name="connsiteY34" fmla="*/ 99441 h 100298"/>
                                <a:gd name="connsiteX35" fmla="*/ 38576 w 56673"/>
                                <a:gd name="connsiteY35" fmla="*/ 97631 h 100298"/>
                                <a:gd name="connsiteX36" fmla="*/ 38195 w 56673"/>
                                <a:gd name="connsiteY36" fmla="*/ 94393 h 100298"/>
                                <a:gd name="connsiteX37" fmla="*/ 38195 w 56673"/>
                                <a:gd name="connsiteY37" fmla="*/ 92297 h 100298"/>
                                <a:gd name="connsiteX38" fmla="*/ 35814 w 56673"/>
                                <a:gd name="connsiteY38" fmla="*/ 94298 h 100298"/>
                                <a:gd name="connsiteX39" fmla="*/ 31718 w 56673"/>
                                <a:gd name="connsiteY39" fmla="*/ 96965 h 100298"/>
                                <a:gd name="connsiteX40" fmla="*/ 26194 w 56673"/>
                                <a:gd name="connsiteY40" fmla="*/ 99250 h 100298"/>
                                <a:gd name="connsiteX41" fmla="*/ 19526 w 56673"/>
                                <a:gd name="connsiteY41" fmla="*/ 100203 h 100298"/>
                                <a:gd name="connsiteX42" fmla="*/ 12097 w 56673"/>
                                <a:gd name="connsiteY42" fmla="*/ 99155 h 100298"/>
                                <a:gd name="connsiteX43" fmla="*/ 5906 w 56673"/>
                                <a:gd name="connsiteY43" fmla="*/ 95917 h 100298"/>
                                <a:gd name="connsiteX44" fmla="*/ 1619 w 56673"/>
                                <a:gd name="connsiteY44" fmla="*/ 90202 h 100298"/>
                                <a:gd name="connsiteX45" fmla="*/ 0 w 56673"/>
                                <a:gd name="connsiteY45" fmla="*/ 81915 h 100298"/>
                                <a:gd name="connsiteX46" fmla="*/ 27242 w 56673"/>
                                <a:gd name="connsiteY46" fmla="*/ 22479 h 100298"/>
                                <a:gd name="connsiteX47" fmla="*/ 19241 w 56673"/>
                                <a:gd name="connsiteY47" fmla="*/ 20860 h 100298"/>
                                <a:gd name="connsiteX48" fmla="*/ 13240 w 56673"/>
                                <a:gd name="connsiteY48" fmla="*/ 16574 h 100298"/>
                                <a:gd name="connsiteX49" fmla="*/ 9525 w 56673"/>
                                <a:gd name="connsiteY49" fmla="*/ 10382 h 100298"/>
                                <a:gd name="connsiteX50" fmla="*/ 8192 w 56673"/>
                                <a:gd name="connsiteY50" fmla="*/ 3048 h 100298"/>
                                <a:gd name="connsiteX51" fmla="*/ 8192 w 56673"/>
                                <a:gd name="connsiteY51" fmla="*/ 1429 h 100298"/>
                                <a:gd name="connsiteX52" fmla="*/ 8382 w 56673"/>
                                <a:gd name="connsiteY52" fmla="*/ 0 h 100298"/>
                                <a:gd name="connsiteX53" fmla="*/ 15145 w 56673"/>
                                <a:gd name="connsiteY53" fmla="*/ 0 h 100298"/>
                                <a:gd name="connsiteX54" fmla="*/ 15145 w 56673"/>
                                <a:gd name="connsiteY54" fmla="*/ 857 h 100298"/>
                                <a:gd name="connsiteX55" fmla="*/ 15240 w 56673"/>
                                <a:gd name="connsiteY55" fmla="*/ 2096 h 100298"/>
                                <a:gd name="connsiteX56" fmla="*/ 16097 w 56673"/>
                                <a:gd name="connsiteY56" fmla="*/ 5239 h 100298"/>
                                <a:gd name="connsiteX57" fmla="*/ 18098 w 56673"/>
                                <a:gd name="connsiteY57" fmla="*/ 8573 h 100298"/>
                                <a:gd name="connsiteX58" fmla="*/ 21717 w 56673"/>
                                <a:gd name="connsiteY58" fmla="*/ 11240 h 100298"/>
                                <a:gd name="connsiteX59" fmla="*/ 27337 w 56673"/>
                                <a:gd name="connsiteY59" fmla="*/ 12287 h 100298"/>
                                <a:gd name="connsiteX60" fmla="*/ 32861 w 56673"/>
                                <a:gd name="connsiteY60" fmla="*/ 11240 h 100298"/>
                                <a:gd name="connsiteX61" fmla="*/ 36386 w 56673"/>
                                <a:gd name="connsiteY61" fmla="*/ 8573 h 100298"/>
                                <a:gd name="connsiteX62" fmla="*/ 38291 w 56673"/>
                                <a:gd name="connsiteY62" fmla="*/ 5239 h 100298"/>
                                <a:gd name="connsiteX63" fmla="*/ 39148 w 56673"/>
                                <a:gd name="connsiteY63" fmla="*/ 2096 h 100298"/>
                                <a:gd name="connsiteX64" fmla="*/ 39338 w 56673"/>
                                <a:gd name="connsiteY64" fmla="*/ 95 h 100298"/>
                                <a:gd name="connsiteX65" fmla="*/ 45815 w 56673"/>
                                <a:gd name="connsiteY65" fmla="*/ 95 h 100298"/>
                                <a:gd name="connsiteX66" fmla="*/ 45911 w 56673"/>
                                <a:gd name="connsiteY66" fmla="*/ 1524 h 100298"/>
                                <a:gd name="connsiteX67" fmla="*/ 46006 w 56673"/>
                                <a:gd name="connsiteY67" fmla="*/ 3143 h 100298"/>
                                <a:gd name="connsiteX68" fmla="*/ 44672 w 56673"/>
                                <a:gd name="connsiteY68" fmla="*/ 10477 h 100298"/>
                                <a:gd name="connsiteX69" fmla="*/ 40958 w 56673"/>
                                <a:gd name="connsiteY69" fmla="*/ 16669 h 100298"/>
                                <a:gd name="connsiteX70" fmla="*/ 35052 w 56673"/>
                                <a:gd name="connsiteY70" fmla="*/ 20955 h 100298"/>
                                <a:gd name="connsiteX71" fmla="*/ 27242 w 56673"/>
                                <a:gd name="connsiteY71" fmla="*/ 22479 h 100298"/>
                                <a:gd name="connsiteX72" fmla="*/ 24384 w 56673"/>
                                <a:gd name="connsiteY72" fmla="*/ 91535 h 100298"/>
                                <a:gd name="connsiteX73" fmla="*/ 27242 w 56673"/>
                                <a:gd name="connsiteY73" fmla="*/ 91249 h 100298"/>
                                <a:gd name="connsiteX74" fmla="*/ 30671 w 56673"/>
                                <a:gd name="connsiteY74" fmla="*/ 90392 h 100298"/>
                                <a:gd name="connsiteX75" fmla="*/ 34195 w 56673"/>
                                <a:gd name="connsiteY75" fmla="*/ 88964 h 100298"/>
                                <a:gd name="connsiteX76" fmla="*/ 37338 w 56673"/>
                                <a:gd name="connsiteY76" fmla="*/ 87058 h 100298"/>
                                <a:gd name="connsiteX77" fmla="*/ 37338 w 56673"/>
                                <a:gd name="connsiteY77" fmla="*/ 66294 h 100298"/>
                                <a:gd name="connsiteX78" fmla="*/ 26003 w 56673"/>
                                <a:gd name="connsiteY78" fmla="*/ 67437 h 100298"/>
                                <a:gd name="connsiteX79" fmla="*/ 18764 w 56673"/>
                                <a:gd name="connsiteY79" fmla="*/ 70580 h 100298"/>
                                <a:gd name="connsiteX80" fmla="*/ 14954 w 56673"/>
                                <a:gd name="connsiteY80" fmla="*/ 75057 h 100298"/>
                                <a:gd name="connsiteX81" fmla="*/ 13811 w 56673"/>
                                <a:gd name="connsiteY81" fmla="*/ 80296 h 100298"/>
                                <a:gd name="connsiteX82" fmla="*/ 14669 w 56673"/>
                                <a:gd name="connsiteY82" fmla="*/ 85534 h 100298"/>
                                <a:gd name="connsiteX83" fmla="*/ 16954 w 56673"/>
                                <a:gd name="connsiteY83" fmla="*/ 89059 h 100298"/>
                                <a:gd name="connsiteX84" fmla="*/ 20383 w 56673"/>
                                <a:gd name="connsiteY84" fmla="*/ 90964 h 100298"/>
                                <a:gd name="connsiteX85" fmla="*/ 24384 w 56673"/>
                                <a:gd name="connsiteY85" fmla="*/ 91535 h 10029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Lst>
                              <a:rect l="l" t="t" r="r" b="b"/>
                              <a:pathLst>
                                <a:path w="56673" h="100298">
                                  <a:moveTo>
                                    <a:pt x="0" y="81915"/>
                                  </a:moveTo>
                                  <a:cubicBezTo>
                                    <a:pt x="0" y="79248"/>
                                    <a:pt x="476" y="76772"/>
                                    <a:pt x="1524" y="74676"/>
                                  </a:cubicBezTo>
                                  <a:cubicBezTo>
                                    <a:pt x="2572" y="72580"/>
                                    <a:pt x="3905" y="70675"/>
                                    <a:pt x="5715" y="69056"/>
                                  </a:cubicBezTo>
                                  <a:cubicBezTo>
                                    <a:pt x="7525" y="67437"/>
                                    <a:pt x="9525" y="66103"/>
                                    <a:pt x="12002" y="64960"/>
                                  </a:cubicBezTo>
                                  <a:cubicBezTo>
                                    <a:pt x="14383" y="63818"/>
                                    <a:pt x="16954" y="62865"/>
                                    <a:pt x="19717" y="62198"/>
                                  </a:cubicBezTo>
                                  <a:cubicBezTo>
                                    <a:pt x="22479" y="61531"/>
                                    <a:pt x="25337" y="60960"/>
                                    <a:pt x="28385" y="60579"/>
                                  </a:cubicBezTo>
                                  <a:cubicBezTo>
                                    <a:pt x="31337" y="60198"/>
                                    <a:pt x="34385" y="60007"/>
                                    <a:pt x="37243" y="59912"/>
                                  </a:cubicBezTo>
                                  <a:lnTo>
                                    <a:pt x="37243" y="56959"/>
                                  </a:lnTo>
                                  <a:cubicBezTo>
                                    <a:pt x="37243" y="54293"/>
                                    <a:pt x="37052" y="52102"/>
                                    <a:pt x="36671" y="50292"/>
                                  </a:cubicBezTo>
                                  <a:cubicBezTo>
                                    <a:pt x="36290" y="48482"/>
                                    <a:pt x="35624" y="46958"/>
                                    <a:pt x="34766" y="45815"/>
                                  </a:cubicBezTo>
                                  <a:cubicBezTo>
                                    <a:pt x="33814" y="44672"/>
                                    <a:pt x="32575" y="43815"/>
                                    <a:pt x="31052" y="43339"/>
                                  </a:cubicBezTo>
                                  <a:cubicBezTo>
                                    <a:pt x="29528" y="42863"/>
                                    <a:pt x="27527" y="42577"/>
                                    <a:pt x="25146" y="42577"/>
                                  </a:cubicBezTo>
                                  <a:cubicBezTo>
                                    <a:pt x="23146" y="42577"/>
                                    <a:pt x="21050" y="42767"/>
                                    <a:pt x="19050" y="43148"/>
                                  </a:cubicBezTo>
                                  <a:cubicBezTo>
                                    <a:pt x="17050" y="43529"/>
                                    <a:pt x="15050" y="44005"/>
                                    <a:pt x="13240" y="44577"/>
                                  </a:cubicBezTo>
                                  <a:cubicBezTo>
                                    <a:pt x="11335" y="45149"/>
                                    <a:pt x="9620" y="45720"/>
                                    <a:pt x="8096" y="46292"/>
                                  </a:cubicBezTo>
                                  <a:cubicBezTo>
                                    <a:pt x="6572" y="46958"/>
                                    <a:pt x="5239" y="47530"/>
                                    <a:pt x="4191" y="48006"/>
                                  </a:cubicBezTo>
                                  <a:lnTo>
                                    <a:pt x="4096" y="48006"/>
                                  </a:lnTo>
                                  <a:lnTo>
                                    <a:pt x="1524" y="42577"/>
                                  </a:lnTo>
                                  <a:cubicBezTo>
                                    <a:pt x="2286" y="41910"/>
                                    <a:pt x="3524" y="41053"/>
                                    <a:pt x="5334" y="40005"/>
                                  </a:cubicBezTo>
                                  <a:cubicBezTo>
                                    <a:pt x="7144" y="38957"/>
                                    <a:pt x="9239" y="37909"/>
                                    <a:pt x="11716" y="36957"/>
                                  </a:cubicBezTo>
                                  <a:cubicBezTo>
                                    <a:pt x="14192" y="36004"/>
                                    <a:pt x="16859" y="35147"/>
                                    <a:pt x="19717" y="34385"/>
                                  </a:cubicBezTo>
                                  <a:cubicBezTo>
                                    <a:pt x="22574" y="33623"/>
                                    <a:pt x="25432" y="33338"/>
                                    <a:pt x="28194" y="33338"/>
                                  </a:cubicBezTo>
                                  <a:cubicBezTo>
                                    <a:pt x="32195" y="33338"/>
                                    <a:pt x="35528" y="33719"/>
                                    <a:pt x="38195" y="34576"/>
                                  </a:cubicBezTo>
                                  <a:cubicBezTo>
                                    <a:pt x="40958" y="35433"/>
                                    <a:pt x="43148" y="36671"/>
                                    <a:pt x="44863" y="38481"/>
                                  </a:cubicBezTo>
                                  <a:cubicBezTo>
                                    <a:pt x="46577" y="40291"/>
                                    <a:pt x="47816" y="42577"/>
                                    <a:pt x="48482" y="45434"/>
                                  </a:cubicBezTo>
                                  <a:cubicBezTo>
                                    <a:pt x="49244" y="48292"/>
                                    <a:pt x="49625" y="51721"/>
                                    <a:pt x="49625" y="55817"/>
                                  </a:cubicBezTo>
                                  <a:lnTo>
                                    <a:pt x="49625" y="92678"/>
                                  </a:lnTo>
                                  <a:lnTo>
                                    <a:pt x="56674" y="92678"/>
                                  </a:lnTo>
                                  <a:lnTo>
                                    <a:pt x="56674" y="98203"/>
                                  </a:lnTo>
                                  <a:cubicBezTo>
                                    <a:pt x="55912" y="98393"/>
                                    <a:pt x="55150" y="98584"/>
                                    <a:pt x="54102" y="98870"/>
                                  </a:cubicBezTo>
                                  <a:cubicBezTo>
                                    <a:pt x="53150" y="99155"/>
                                    <a:pt x="52102" y="99346"/>
                                    <a:pt x="50959" y="99536"/>
                                  </a:cubicBezTo>
                                  <a:cubicBezTo>
                                    <a:pt x="49911" y="99727"/>
                                    <a:pt x="48768" y="99917"/>
                                    <a:pt x="47625" y="100108"/>
                                  </a:cubicBezTo>
                                  <a:cubicBezTo>
                                    <a:pt x="46482" y="100298"/>
                                    <a:pt x="45434" y="100298"/>
                                    <a:pt x="44387" y="100298"/>
                                  </a:cubicBezTo>
                                  <a:cubicBezTo>
                                    <a:pt x="43339" y="100298"/>
                                    <a:pt x="42386" y="100298"/>
                                    <a:pt x="41624" y="100203"/>
                                  </a:cubicBezTo>
                                  <a:cubicBezTo>
                                    <a:pt x="40862" y="100108"/>
                                    <a:pt x="40196" y="99822"/>
                                    <a:pt x="39719" y="99441"/>
                                  </a:cubicBezTo>
                                  <a:cubicBezTo>
                                    <a:pt x="39243" y="99060"/>
                                    <a:pt x="38862" y="98489"/>
                                    <a:pt x="38576" y="97631"/>
                                  </a:cubicBezTo>
                                  <a:cubicBezTo>
                                    <a:pt x="38291" y="96869"/>
                                    <a:pt x="38195" y="95726"/>
                                    <a:pt x="38195" y="94393"/>
                                  </a:cubicBezTo>
                                  <a:lnTo>
                                    <a:pt x="38195" y="92297"/>
                                  </a:lnTo>
                                  <a:cubicBezTo>
                                    <a:pt x="37719" y="92774"/>
                                    <a:pt x="36862" y="93440"/>
                                    <a:pt x="35814" y="94298"/>
                                  </a:cubicBezTo>
                                  <a:cubicBezTo>
                                    <a:pt x="34671" y="95155"/>
                                    <a:pt x="33338" y="96107"/>
                                    <a:pt x="31718" y="96965"/>
                                  </a:cubicBezTo>
                                  <a:cubicBezTo>
                                    <a:pt x="30099" y="97822"/>
                                    <a:pt x="28289" y="98584"/>
                                    <a:pt x="26194" y="99250"/>
                                  </a:cubicBezTo>
                                  <a:cubicBezTo>
                                    <a:pt x="24098" y="99917"/>
                                    <a:pt x="21908" y="100203"/>
                                    <a:pt x="19526" y="100203"/>
                                  </a:cubicBezTo>
                                  <a:cubicBezTo>
                                    <a:pt x="16954" y="100203"/>
                                    <a:pt x="14478" y="99822"/>
                                    <a:pt x="12097" y="99155"/>
                                  </a:cubicBezTo>
                                  <a:cubicBezTo>
                                    <a:pt x="9716" y="98489"/>
                                    <a:pt x="7715" y="97346"/>
                                    <a:pt x="5906" y="95917"/>
                                  </a:cubicBezTo>
                                  <a:cubicBezTo>
                                    <a:pt x="4096" y="94488"/>
                                    <a:pt x="2667" y="92583"/>
                                    <a:pt x="1619" y="90202"/>
                                  </a:cubicBezTo>
                                  <a:cubicBezTo>
                                    <a:pt x="571" y="87916"/>
                                    <a:pt x="0" y="85153"/>
                                    <a:pt x="0" y="81915"/>
                                  </a:cubicBezTo>
                                  <a:close/>
                                  <a:moveTo>
                                    <a:pt x="27242" y="22479"/>
                                  </a:moveTo>
                                  <a:cubicBezTo>
                                    <a:pt x="24289" y="22479"/>
                                    <a:pt x="21622" y="21907"/>
                                    <a:pt x="19241" y="20860"/>
                                  </a:cubicBezTo>
                                  <a:cubicBezTo>
                                    <a:pt x="16859" y="19812"/>
                                    <a:pt x="14859" y="18383"/>
                                    <a:pt x="13240" y="16574"/>
                                  </a:cubicBezTo>
                                  <a:cubicBezTo>
                                    <a:pt x="11621" y="14764"/>
                                    <a:pt x="10382" y="12764"/>
                                    <a:pt x="9525" y="10382"/>
                                  </a:cubicBezTo>
                                  <a:cubicBezTo>
                                    <a:pt x="8668" y="8001"/>
                                    <a:pt x="8192" y="5620"/>
                                    <a:pt x="8192" y="3048"/>
                                  </a:cubicBezTo>
                                  <a:cubicBezTo>
                                    <a:pt x="8192" y="2476"/>
                                    <a:pt x="8192" y="2000"/>
                                    <a:pt x="8192" y="1429"/>
                                  </a:cubicBezTo>
                                  <a:cubicBezTo>
                                    <a:pt x="8192" y="857"/>
                                    <a:pt x="8287" y="381"/>
                                    <a:pt x="8382" y="0"/>
                                  </a:cubicBezTo>
                                  <a:lnTo>
                                    <a:pt x="15145" y="0"/>
                                  </a:lnTo>
                                  <a:cubicBezTo>
                                    <a:pt x="15145" y="191"/>
                                    <a:pt x="15145" y="476"/>
                                    <a:pt x="15145" y="857"/>
                                  </a:cubicBezTo>
                                  <a:cubicBezTo>
                                    <a:pt x="15145" y="1238"/>
                                    <a:pt x="15240" y="1619"/>
                                    <a:pt x="15240" y="2096"/>
                                  </a:cubicBezTo>
                                  <a:cubicBezTo>
                                    <a:pt x="15431" y="2953"/>
                                    <a:pt x="15716" y="4000"/>
                                    <a:pt x="16097" y="5239"/>
                                  </a:cubicBezTo>
                                  <a:cubicBezTo>
                                    <a:pt x="16574" y="6382"/>
                                    <a:pt x="17240" y="7525"/>
                                    <a:pt x="18098" y="8573"/>
                                  </a:cubicBezTo>
                                  <a:cubicBezTo>
                                    <a:pt x="19050" y="9620"/>
                                    <a:pt x="20193" y="10477"/>
                                    <a:pt x="21717" y="11240"/>
                                  </a:cubicBezTo>
                                  <a:cubicBezTo>
                                    <a:pt x="23146" y="12001"/>
                                    <a:pt x="25051" y="12287"/>
                                    <a:pt x="27337" y="12287"/>
                                  </a:cubicBezTo>
                                  <a:cubicBezTo>
                                    <a:pt x="29528" y="12287"/>
                                    <a:pt x="31433" y="11906"/>
                                    <a:pt x="32861" y="11240"/>
                                  </a:cubicBezTo>
                                  <a:cubicBezTo>
                                    <a:pt x="34290" y="10573"/>
                                    <a:pt x="35433" y="9620"/>
                                    <a:pt x="36386" y="8573"/>
                                  </a:cubicBezTo>
                                  <a:cubicBezTo>
                                    <a:pt x="37243" y="7525"/>
                                    <a:pt x="37910" y="6382"/>
                                    <a:pt x="38291" y="5239"/>
                                  </a:cubicBezTo>
                                  <a:cubicBezTo>
                                    <a:pt x="38671" y="4096"/>
                                    <a:pt x="38957" y="3048"/>
                                    <a:pt x="39148" y="2096"/>
                                  </a:cubicBezTo>
                                  <a:cubicBezTo>
                                    <a:pt x="39243" y="1238"/>
                                    <a:pt x="39338" y="476"/>
                                    <a:pt x="39338" y="95"/>
                                  </a:cubicBezTo>
                                  <a:lnTo>
                                    <a:pt x="45815" y="95"/>
                                  </a:lnTo>
                                  <a:cubicBezTo>
                                    <a:pt x="45815" y="476"/>
                                    <a:pt x="45911" y="952"/>
                                    <a:pt x="45911" y="1524"/>
                                  </a:cubicBezTo>
                                  <a:cubicBezTo>
                                    <a:pt x="45911" y="2096"/>
                                    <a:pt x="46006" y="2572"/>
                                    <a:pt x="46006" y="3143"/>
                                  </a:cubicBezTo>
                                  <a:cubicBezTo>
                                    <a:pt x="46006" y="5715"/>
                                    <a:pt x="45529" y="8192"/>
                                    <a:pt x="44672" y="10477"/>
                                  </a:cubicBezTo>
                                  <a:cubicBezTo>
                                    <a:pt x="43815" y="12859"/>
                                    <a:pt x="42577" y="14859"/>
                                    <a:pt x="40958" y="16669"/>
                                  </a:cubicBezTo>
                                  <a:cubicBezTo>
                                    <a:pt x="39338" y="18478"/>
                                    <a:pt x="37338" y="19907"/>
                                    <a:pt x="35052" y="20955"/>
                                  </a:cubicBezTo>
                                  <a:cubicBezTo>
                                    <a:pt x="32575" y="22003"/>
                                    <a:pt x="30004" y="22479"/>
                                    <a:pt x="27242" y="22479"/>
                                  </a:cubicBezTo>
                                  <a:close/>
                                  <a:moveTo>
                                    <a:pt x="24384" y="91535"/>
                                  </a:moveTo>
                                  <a:cubicBezTo>
                                    <a:pt x="25146" y="91535"/>
                                    <a:pt x="26099" y="91440"/>
                                    <a:pt x="27242" y="91249"/>
                                  </a:cubicBezTo>
                                  <a:cubicBezTo>
                                    <a:pt x="28289" y="91059"/>
                                    <a:pt x="29432" y="90773"/>
                                    <a:pt x="30671" y="90392"/>
                                  </a:cubicBezTo>
                                  <a:cubicBezTo>
                                    <a:pt x="31909" y="90011"/>
                                    <a:pt x="32957" y="89535"/>
                                    <a:pt x="34195" y="88964"/>
                                  </a:cubicBezTo>
                                  <a:cubicBezTo>
                                    <a:pt x="35338" y="88392"/>
                                    <a:pt x="36386" y="87821"/>
                                    <a:pt x="37338" y="87058"/>
                                  </a:cubicBezTo>
                                  <a:lnTo>
                                    <a:pt x="37338" y="66294"/>
                                  </a:lnTo>
                                  <a:cubicBezTo>
                                    <a:pt x="32861" y="66294"/>
                                    <a:pt x="29051" y="66675"/>
                                    <a:pt x="26003" y="67437"/>
                                  </a:cubicBezTo>
                                  <a:cubicBezTo>
                                    <a:pt x="22955" y="68199"/>
                                    <a:pt x="20574" y="69247"/>
                                    <a:pt x="18764" y="70580"/>
                                  </a:cubicBezTo>
                                  <a:cubicBezTo>
                                    <a:pt x="16954" y="71914"/>
                                    <a:pt x="15716" y="73343"/>
                                    <a:pt x="14954" y="75057"/>
                                  </a:cubicBezTo>
                                  <a:cubicBezTo>
                                    <a:pt x="14192" y="76676"/>
                                    <a:pt x="13811" y="78486"/>
                                    <a:pt x="13811" y="80296"/>
                                  </a:cubicBezTo>
                                  <a:cubicBezTo>
                                    <a:pt x="13811" y="82391"/>
                                    <a:pt x="14097" y="84106"/>
                                    <a:pt x="14669" y="85534"/>
                                  </a:cubicBezTo>
                                  <a:cubicBezTo>
                                    <a:pt x="15240" y="86963"/>
                                    <a:pt x="16002" y="88106"/>
                                    <a:pt x="16954" y="89059"/>
                                  </a:cubicBezTo>
                                  <a:cubicBezTo>
                                    <a:pt x="17907" y="89916"/>
                                    <a:pt x="19050" y="90583"/>
                                    <a:pt x="20383" y="90964"/>
                                  </a:cubicBezTo>
                                  <a:cubicBezTo>
                                    <a:pt x="21527" y="91345"/>
                                    <a:pt x="22955" y="91535"/>
                                    <a:pt x="24384" y="91535"/>
                                  </a:cubicBez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g:grpSp>
                        <wpg:cNvPr id="2025351936" name="Graphic 1"/>
                        <wpg:cNvGrpSpPr/>
                        <wpg:grpSpPr>
                          <a:xfrm>
                            <a:off x="0" y="59634"/>
                            <a:ext cx="436880" cy="572135"/>
                            <a:chOff x="0" y="62388"/>
                            <a:chExt cx="437197" cy="572261"/>
                          </a:xfrm>
                          <a:solidFill>
                            <a:srgbClr val="FFFFFF"/>
                          </a:solidFill>
                        </wpg:grpSpPr>
                        <wps:wsp>
                          <wps:cNvPr id="1706646313" name="Freeform: Shape 1706646313"/>
                          <wps:cNvSpPr/>
                          <wps:spPr>
                            <a:xfrm>
                              <a:off x="332422" y="126587"/>
                              <a:ext cx="67627" cy="67627"/>
                            </a:xfrm>
                            <a:custGeom>
                              <a:avLst/>
                              <a:gdLst>
                                <a:gd name="connsiteX0" fmla="*/ 33814 w 67627"/>
                                <a:gd name="connsiteY0" fmla="*/ 67627 h 67627"/>
                                <a:gd name="connsiteX1" fmla="*/ 67627 w 67627"/>
                                <a:gd name="connsiteY1" fmla="*/ 33814 h 67627"/>
                                <a:gd name="connsiteX2" fmla="*/ 33814 w 67627"/>
                                <a:gd name="connsiteY2" fmla="*/ 0 h 67627"/>
                                <a:gd name="connsiteX3" fmla="*/ 0 w 67627"/>
                                <a:gd name="connsiteY3" fmla="*/ 33814 h 67627"/>
                                <a:gd name="connsiteX4" fmla="*/ 33814 w 67627"/>
                                <a:gd name="connsiteY4" fmla="*/ 67627 h 67627"/>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67627" h="67627">
                                  <a:moveTo>
                                    <a:pt x="33814" y="67627"/>
                                  </a:moveTo>
                                  <a:cubicBezTo>
                                    <a:pt x="52483" y="67627"/>
                                    <a:pt x="67627" y="52483"/>
                                    <a:pt x="67627" y="33814"/>
                                  </a:cubicBezTo>
                                  <a:cubicBezTo>
                                    <a:pt x="67627" y="15145"/>
                                    <a:pt x="52483" y="0"/>
                                    <a:pt x="33814" y="0"/>
                                  </a:cubicBezTo>
                                  <a:cubicBezTo>
                                    <a:pt x="15145" y="0"/>
                                    <a:pt x="0" y="15145"/>
                                    <a:pt x="0" y="33814"/>
                                  </a:cubicBezTo>
                                  <a:cubicBezTo>
                                    <a:pt x="0" y="52483"/>
                                    <a:pt x="15145" y="67627"/>
                                    <a:pt x="33814" y="67627"/>
                                  </a:cubicBez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025552749" name="Freeform: Shape 1025552749"/>
                          <wps:cNvSpPr/>
                          <wps:spPr>
                            <a:xfrm>
                              <a:off x="240410" y="111347"/>
                              <a:ext cx="71056" cy="71056"/>
                            </a:xfrm>
                            <a:custGeom>
                              <a:avLst/>
                              <a:gdLst>
                                <a:gd name="connsiteX0" fmla="*/ 35529 w 71056"/>
                                <a:gd name="connsiteY0" fmla="*/ 71057 h 71056"/>
                                <a:gd name="connsiteX1" fmla="*/ 71057 w 71056"/>
                                <a:gd name="connsiteY1" fmla="*/ 35528 h 71056"/>
                                <a:gd name="connsiteX2" fmla="*/ 35529 w 71056"/>
                                <a:gd name="connsiteY2" fmla="*/ 0 h 71056"/>
                                <a:gd name="connsiteX3" fmla="*/ 0 w 71056"/>
                                <a:gd name="connsiteY3" fmla="*/ 35528 h 71056"/>
                                <a:gd name="connsiteX4" fmla="*/ 35529 w 71056"/>
                                <a:gd name="connsiteY4" fmla="*/ 71057 h 71056"/>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71056" h="71056">
                                  <a:moveTo>
                                    <a:pt x="35529" y="71057"/>
                                  </a:moveTo>
                                  <a:cubicBezTo>
                                    <a:pt x="55150" y="71057"/>
                                    <a:pt x="71057" y="55150"/>
                                    <a:pt x="71057" y="35528"/>
                                  </a:cubicBezTo>
                                  <a:cubicBezTo>
                                    <a:pt x="71057" y="15907"/>
                                    <a:pt x="55150" y="0"/>
                                    <a:pt x="35529" y="0"/>
                                  </a:cubicBezTo>
                                  <a:cubicBezTo>
                                    <a:pt x="15907" y="0"/>
                                    <a:pt x="0" y="15907"/>
                                    <a:pt x="0" y="35528"/>
                                  </a:cubicBezTo>
                                  <a:cubicBezTo>
                                    <a:pt x="-95" y="55150"/>
                                    <a:pt x="15907" y="71057"/>
                                    <a:pt x="35529" y="71057"/>
                                  </a:cubicBez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065229289" name="Freeform: Shape 1065229289"/>
                          <wps:cNvSpPr/>
                          <wps:spPr>
                            <a:xfrm>
                              <a:off x="0" y="62388"/>
                              <a:ext cx="437197" cy="572261"/>
                            </a:xfrm>
                            <a:custGeom>
                              <a:avLst/>
                              <a:gdLst>
                                <a:gd name="connsiteX0" fmla="*/ 218694 w 437197"/>
                                <a:gd name="connsiteY0" fmla="*/ 0 h 572261"/>
                                <a:gd name="connsiteX1" fmla="*/ 218694 w 437197"/>
                                <a:gd name="connsiteY1" fmla="*/ 0 h 572261"/>
                                <a:gd name="connsiteX2" fmla="*/ 218599 w 437197"/>
                                <a:gd name="connsiteY2" fmla="*/ 0 h 572261"/>
                                <a:gd name="connsiteX3" fmla="*/ 206978 w 437197"/>
                                <a:gd name="connsiteY3" fmla="*/ 95 h 572261"/>
                                <a:gd name="connsiteX4" fmla="*/ 197072 w 437197"/>
                                <a:gd name="connsiteY4" fmla="*/ 286 h 572261"/>
                                <a:gd name="connsiteX5" fmla="*/ 197072 w 437197"/>
                                <a:gd name="connsiteY5" fmla="*/ 286 h 572261"/>
                                <a:gd name="connsiteX6" fmla="*/ 0 w 437197"/>
                                <a:gd name="connsiteY6" fmla="*/ 27051 h 572261"/>
                                <a:gd name="connsiteX7" fmla="*/ 0 w 437197"/>
                                <a:gd name="connsiteY7" fmla="*/ 350711 h 572261"/>
                                <a:gd name="connsiteX8" fmla="*/ 64580 w 437197"/>
                                <a:gd name="connsiteY8" fmla="*/ 470630 h 572261"/>
                                <a:gd name="connsiteX9" fmla="*/ 218599 w 437197"/>
                                <a:gd name="connsiteY9" fmla="*/ 572262 h 572261"/>
                                <a:gd name="connsiteX10" fmla="*/ 372618 w 437197"/>
                                <a:gd name="connsiteY10" fmla="*/ 470630 h 572261"/>
                                <a:gd name="connsiteX11" fmla="*/ 437198 w 437197"/>
                                <a:gd name="connsiteY11" fmla="*/ 350711 h 572261"/>
                                <a:gd name="connsiteX12" fmla="*/ 437198 w 437197"/>
                                <a:gd name="connsiteY12" fmla="*/ 27051 h 572261"/>
                                <a:gd name="connsiteX13" fmla="*/ 218694 w 437197"/>
                                <a:gd name="connsiteY13" fmla="*/ 0 h 572261"/>
                                <a:gd name="connsiteX14" fmla="*/ 161354 w 437197"/>
                                <a:gd name="connsiteY14" fmla="*/ 48863 h 572261"/>
                                <a:gd name="connsiteX15" fmla="*/ 196882 w 437197"/>
                                <a:gd name="connsiteY15" fmla="*/ 84392 h 572261"/>
                                <a:gd name="connsiteX16" fmla="*/ 161354 w 437197"/>
                                <a:gd name="connsiteY16" fmla="*/ 119920 h 572261"/>
                                <a:gd name="connsiteX17" fmla="*/ 125825 w 437197"/>
                                <a:gd name="connsiteY17" fmla="*/ 84392 h 572261"/>
                                <a:gd name="connsiteX18" fmla="*/ 161354 w 437197"/>
                                <a:gd name="connsiteY18" fmla="*/ 48863 h 572261"/>
                                <a:gd name="connsiteX19" fmla="*/ 65818 w 437197"/>
                                <a:gd name="connsiteY19" fmla="*/ 64294 h 572261"/>
                                <a:gd name="connsiteX20" fmla="*/ 99632 w 437197"/>
                                <a:gd name="connsiteY20" fmla="*/ 98012 h 572261"/>
                                <a:gd name="connsiteX21" fmla="*/ 65818 w 437197"/>
                                <a:gd name="connsiteY21" fmla="*/ 131826 h 572261"/>
                                <a:gd name="connsiteX22" fmla="*/ 32004 w 437197"/>
                                <a:gd name="connsiteY22" fmla="*/ 98012 h 572261"/>
                                <a:gd name="connsiteX23" fmla="*/ 65818 w 437197"/>
                                <a:gd name="connsiteY23" fmla="*/ 64294 h 572261"/>
                                <a:gd name="connsiteX24" fmla="*/ 416719 w 437197"/>
                                <a:gd name="connsiteY24" fmla="*/ 183928 h 572261"/>
                                <a:gd name="connsiteX25" fmla="*/ 218599 w 437197"/>
                                <a:gd name="connsiteY25" fmla="*/ 161925 h 572261"/>
                                <a:gd name="connsiteX26" fmla="*/ 218599 w 437197"/>
                                <a:gd name="connsiteY26" fmla="*/ 161925 h 572261"/>
                                <a:gd name="connsiteX27" fmla="*/ 218599 w 437197"/>
                                <a:gd name="connsiteY27" fmla="*/ 259271 h 572261"/>
                                <a:gd name="connsiteX28" fmla="*/ 271082 w 437197"/>
                                <a:gd name="connsiteY28" fmla="*/ 230410 h 572261"/>
                                <a:gd name="connsiteX29" fmla="*/ 333470 w 437197"/>
                                <a:gd name="connsiteY29" fmla="*/ 292799 h 572261"/>
                                <a:gd name="connsiteX30" fmla="*/ 218599 w 437197"/>
                                <a:gd name="connsiteY30" fmla="*/ 436436 h 572261"/>
                                <a:gd name="connsiteX31" fmla="*/ 218599 w 437197"/>
                                <a:gd name="connsiteY31" fmla="*/ 547783 h 572261"/>
                                <a:gd name="connsiteX32" fmla="*/ 198215 w 437197"/>
                                <a:gd name="connsiteY32" fmla="*/ 534162 h 572261"/>
                                <a:gd name="connsiteX33" fmla="*/ 75819 w 437197"/>
                                <a:gd name="connsiteY33" fmla="*/ 453485 h 572261"/>
                                <a:gd name="connsiteX34" fmla="*/ 20479 w 437197"/>
                                <a:gd name="connsiteY34" fmla="*/ 350615 h 572261"/>
                                <a:gd name="connsiteX35" fmla="*/ 20479 w 437197"/>
                                <a:gd name="connsiteY35" fmla="*/ 183928 h 572261"/>
                                <a:gd name="connsiteX36" fmla="*/ 218599 w 437197"/>
                                <a:gd name="connsiteY36" fmla="*/ 161925 h 572261"/>
                                <a:gd name="connsiteX37" fmla="*/ 218694 w 437197"/>
                                <a:gd name="connsiteY37" fmla="*/ 161925 h 572261"/>
                                <a:gd name="connsiteX38" fmla="*/ 218694 w 437197"/>
                                <a:gd name="connsiteY38" fmla="*/ 20383 h 572261"/>
                                <a:gd name="connsiteX39" fmla="*/ 218694 w 437197"/>
                                <a:gd name="connsiteY39" fmla="*/ 20383 h 572261"/>
                                <a:gd name="connsiteX40" fmla="*/ 416814 w 437197"/>
                                <a:gd name="connsiteY40" fmla="*/ 42863 h 572261"/>
                                <a:gd name="connsiteX41" fmla="*/ 416814 w 437197"/>
                                <a:gd name="connsiteY41" fmla="*/ 183928 h 57226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Lst>
                              <a:rect l="l" t="t" r="r" b="b"/>
                              <a:pathLst>
                                <a:path w="437197" h="572261">
                                  <a:moveTo>
                                    <a:pt x="218694" y="0"/>
                                  </a:moveTo>
                                  <a:cubicBezTo>
                                    <a:pt x="218599" y="0"/>
                                    <a:pt x="218599" y="0"/>
                                    <a:pt x="218694" y="0"/>
                                  </a:cubicBezTo>
                                  <a:cubicBezTo>
                                    <a:pt x="218599" y="0"/>
                                    <a:pt x="218599" y="0"/>
                                    <a:pt x="218599" y="0"/>
                                  </a:cubicBezTo>
                                  <a:cubicBezTo>
                                    <a:pt x="214694" y="0"/>
                                    <a:pt x="210884" y="95"/>
                                    <a:pt x="206978" y="95"/>
                                  </a:cubicBezTo>
                                  <a:cubicBezTo>
                                    <a:pt x="203644" y="95"/>
                                    <a:pt x="200406" y="190"/>
                                    <a:pt x="197072" y="286"/>
                                  </a:cubicBezTo>
                                  <a:cubicBezTo>
                                    <a:pt x="197072" y="286"/>
                                    <a:pt x="197072" y="286"/>
                                    <a:pt x="197072" y="286"/>
                                  </a:cubicBezTo>
                                  <a:cubicBezTo>
                                    <a:pt x="126302" y="1905"/>
                                    <a:pt x="59531" y="11335"/>
                                    <a:pt x="0" y="27051"/>
                                  </a:cubicBezTo>
                                  <a:lnTo>
                                    <a:pt x="0" y="350711"/>
                                  </a:lnTo>
                                  <a:cubicBezTo>
                                    <a:pt x="0" y="399002"/>
                                    <a:pt x="24194" y="444055"/>
                                    <a:pt x="64580" y="470630"/>
                                  </a:cubicBezTo>
                                  <a:lnTo>
                                    <a:pt x="218599" y="572262"/>
                                  </a:lnTo>
                                  <a:lnTo>
                                    <a:pt x="372618" y="470630"/>
                                  </a:lnTo>
                                  <a:cubicBezTo>
                                    <a:pt x="413004" y="444055"/>
                                    <a:pt x="437198" y="399002"/>
                                    <a:pt x="437198" y="350711"/>
                                  </a:cubicBezTo>
                                  <a:lnTo>
                                    <a:pt x="437198" y="27051"/>
                                  </a:lnTo>
                                  <a:cubicBezTo>
                                    <a:pt x="371666" y="9811"/>
                                    <a:pt x="297275" y="0"/>
                                    <a:pt x="218694" y="0"/>
                                  </a:cubicBezTo>
                                  <a:close/>
                                  <a:moveTo>
                                    <a:pt x="161354" y="48863"/>
                                  </a:moveTo>
                                  <a:cubicBezTo>
                                    <a:pt x="180975" y="48863"/>
                                    <a:pt x="196882" y="64770"/>
                                    <a:pt x="196882" y="84392"/>
                                  </a:cubicBezTo>
                                  <a:cubicBezTo>
                                    <a:pt x="196882" y="104013"/>
                                    <a:pt x="180975" y="119920"/>
                                    <a:pt x="161354" y="119920"/>
                                  </a:cubicBezTo>
                                  <a:cubicBezTo>
                                    <a:pt x="141732" y="119920"/>
                                    <a:pt x="125825" y="104013"/>
                                    <a:pt x="125825" y="84392"/>
                                  </a:cubicBezTo>
                                  <a:cubicBezTo>
                                    <a:pt x="125730" y="64770"/>
                                    <a:pt x="141637" y="48863"/>
                                    <a:pt x="161354" y="48863"/>
                                  </a:cubicBezTo>
                                  <a:close/>
                                  <a:moveTo>
                                    <a:pt x="65818" y="64294"/>
                                  </a:moveTo>
                                  <a:cubicBezTo>
                                    <a:pt x="84487" y="64294"/>
                                    <a:pt x="99632" y="79439"/>
                                    <a:pt x="99632" y="98012"/>
                                  </a:cubicBezTo>
                                  <a:cubicBezTo>
                                    <a:pt x="99632" y="116681"/>
                                    <a:pt x="84487" y="131826"/>
                                    <a:pt x="65818" y="131826"/>
                                  </a:cubicBezTo>
                                  <a:cubicBezTo>
                                    <a:pt x="47149" y="131826"/>
                                    <a:pt x="32004" y="116681"/>
                                    <a:pt x="32004" y="98012"/>
                                  </a:cubicBezTo>
                                  <a:cubicBezTo>
                                    <a:pt x="32004" y="79343"/>
                                    <a:pt x="47149" y="64294"/>
                                    <a:pt x="65818" y="64294"/>
                                  </a:cubicBezTo>
                                  <a:close/>
                                  <a:moveTo>
                                    <a:pt x="416719" y="183928"/>
                                  </a:moveTo>
                                  <a:cubicBezTo>
                                    <a:pt x="356330" y="169831"/>
                                    <a:pt x="289274" y="161925"/>
                                    <a:pt x="218599" y="161925"/>
                                  </a:cubicBezTo>
                                  <a:cubicBezTo>
                                    <a:pt x="218599" y="161925"/>
                                    <a:pt x="218599" y="161925"/>
                                    <a:pt x="218599" y="161925"/>
                                  </a:cubicBezTo>
                                  <a:lnTo>
                                    <a:pt x="218599" y="259271"/>
                                  </a:lnTo>
                                  <a:cubicBezTo>
                                    <a:pt x="229648" y="241935"/>
                                    <a:pt x="249079" y="230410"/>
                                    <a:pt x="271082" y="230410"/>
                                  </a:cubicBezTo>
                                  <a:cubicBezTo>
                                    <a:pt x="305467" y="230410"/>
                                    <a:pt x="333470" y="258318"/>
                                    <a:pt x="333470" y="292799"/>
                                  </a:cubicBezTo>
                                  <a:cubicBezTo>
                                    <a:pt x="333470" y="373666"/>
                                    <a:pt x="218599" y="436436"/>
                                    <a:pt x="218599" y="436436"/>
                                  </a:cubicBezTo>
                                  <a:lnTo>
                                    <a:pt x="218599" y="547783"/>
                                  </a:lnTo>
                                  <a:lnTo>
                                    <a:pt x="198215" y="534162"/>
                                  </a:lnTo>
                                  <a:lnTo>
                                    <a:pt x="75819" y="453485"/>
                                  </a:lnTo>
                                  <a:cubicBezTo>
                                    <a:pt x="41148" y="430625"/>
                                    <a:pt x="20479" y="392144"/>
                                    <a:pt x="20479" y="350615"/>
                                  </a:cubicBezTo>
                                  <a:lnTo>
                                    <a:pt x="20479" y="183928"/>
                                  </a:lnTo>
                                  <a:cubicBezTo>
                                    <a:pt x="80867" y="169831"/>
                                    <a:pt x="147923" y="161925"/>
                                    <a:pt x="218599" y="161925"/>
                                  </a:cubicBezTo>
                                  <a:cubicBezTo>
                                    <a:pt x="218599" y="161925"/>
                                    <a:pt x="218599" y="161925"/>
                                    <a:pt x="218694" y="161925"/>
                                  </a:cubicBezTo>
                                  <a:lnTo>
                                    <a:pt x="218694" y="20383"/>
                                  </a:lnTo>
                                  <a:lnTo>
                                    <a:pt x="218694" y="20383"/>
                                  </a:lnTo>
                                  <a:cubicBezTo>
                                    <a:pt x="287179" y="20383"/>
                                    <a:pt x="355283" y="28099"/>
                                    <a:pt x="416814" y="42863"/>
                                  </a:cubicBezTo>
                                  <a:lnTo>
                                    <a:pt x="416814" y="183928"/>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993586349" name="Freeform: Shape 1993586349"/>
                          <wps:cNvSpPr/>
                          <wps:spPr>
                            <a:xfrm>
                              <a:off x="103727" y="292798"/>
                              <a:ext cx="114871" cy="206025"/>
                            </a:xfrm>
                            <a:custGeom>
                              <a:avLst/>
                              <a:gdLst>
                                <a:gd name="connsiteX0" fmla="*/ 114872 w 114871"/>
                                <a:gd name="connsiteY0" fmla="*/ 28861 h 206025"/>
                                <a:gd name="connsiteX1" fmla="*/ 114872 w 114871"/>
                                <a:gd name="connsiteY1" fmla="*/ 206026 h 206025"/>
                                <a:gd name="connsiteX2" fmla="*/ 0 w 114871"/>
                                <a:gd name="connsiteY2" fmla="*/ 62389 h 206025"/>
                                <a:gd name="connsiteX3" fmla="*/ 62294 w 114871"/>
                                <a:gd name="connsiteY3" fmla="*/ 0 h 206025"/>
                                <a:gd name="connsiteX4" fmla="*/ 114872 w 114871"/>
                                <a:gd name="connsiteY4" fmla="*/ 28861 h 20602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14871" h="206025">
                                  <a:moveTo>
                                    <a:pt x="114872" y="28861"/>
                                  </a:moveTo>
                                  <a:lnTo>
                                    <a:pt x="114872" y="206026"/>
                                  </a:lnTo>
                                  <a:cubicBezTo>
                                    <a:pt x="114872" y="206026"/>
                                    <a:pt x="0" y="143256"/>
                                    <a:pt x="0" y="62389"/>
                                  </a:cubicBezTo>
                                  <a:cubicBezTo>
                                    <a:pt x="0" y="27908"/>
                                    <a:pt x="27908" y="0"/>
                                    <a:pt x="62294" y="0"/>
                                  </a:cubicBezTo>
                                  <a:cubicBezTo>
                                    <a:pt x="84392" y="0"/>
                                    <a:pt x="103727" y="11525"/>
                                    <a:pt x="114872" y="28861"/>
                                  </a:cubicBez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s:wsp>
                        <wps:cNvPr id="1821943432" name="Freeform: Shape 3"/>
                        <wps:cNvSpPr/>
                        <wps:spPr>
                          <a:xfrm>
                            <a:off x="107343" y="0"/>
                            <a:ext cx="220980" cy="35560"/>
                          </a:xfrm>
                          <a:custGeom>
                            <a:avLst/>
                            <a:gdLst>
                              <a:gd name="connsiteX0" fmla="*/ 0 w 221170"/>
                              <a:gd name="connsiteY0" fmla="*/ 0 h 36099"/>
                              <a:gd name="connsiteX1" fmla="*/ 0 w 221170"/>
                              <a:gd name="connsiteY1" fmla="*/ 36100 h 36099"/>
                              <a:gd name="connsiteX2" fmla="*/ 221171 w 221170"/>
                              <a:gd name="connsiteY2" fmla="*/ 36100 h 36099"/>
                              <a:gd name="connsiteX3" fmla="*/ 221171 w 221170"/>
                              <a:gd name="connsiteY3" fmla="*/ 0 h 36099"/>
                              <a:gd name="connsiteX4" fmla="*/ 0 w 221170"/>
                              <a:gd name="connsiteY4" fmla="*/ 0 h 36099"/>
                              <a:gd name="connsiteX5" fmla="*/ 110585 w 221170"/>
                              <a:gd name="connsiteY5" fmla="*/ 24098 h 36099"/>
                              <a:gd name="connsiteX6" fmla="*/ 12002 w 221170"/>
                              <a:gd name="connsiteY6" fmla="*/ 24098 h 36099"/>
                              <a:gd name="connsiteX7" fmla="*/ 12002 w 221170"/>
                              <a:gd name="connsiteY7" fmla="*/ 12002 h 36099"/>
                              <a:gd name="connsiteX8" fmla="*/ 110585 w 221170"/>
                              <a:gd name="connsiteY8" fmla="*/ 12002 h 36099"/>
                              <a:gd name="connsiteX9" fmla="*/ 110585 w 221170"/>
                              <a:gd name="connsiteY9" fmla="*/ 24098 h 3609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221170" h="36099">
                                <a:moveTo>
                                  <a:pt x="0" y="0"/>
                                </a:moveTo>
                                <a:lnTo>
                                  <a:pt x="0" y="36100"/>
                                </a:lnTo>
                                <a:lnTo>
                                  <a:pt x="221171" y="36100"/>
                                </a:lnTo>
                                <a:lnTo>
                                  <a:pt x="221171" y="0"/>
                                </a:lnTo>
                                <a:lnTo>
                                  <a:pt x="0" y="0"/>
                                </a:lnTo>
                                <a:close/>
                                <a:moveTo>
                                  <a:pt x="110585" y="24098"/>
                                </a:moveTo>
                                <a:lnTo>
                                  <a:pt x="12002" y="24098"/>
                                </a:lnTo>
                                <a:lnTo>
                                  <a:pt x="12002" y="12002"/>
                                </a:lnTo>
                                <a:lnTo>
                                  <a:pt x="110585" y="12002"/>
                                </a:lnTo>
                                <a:lnTo>
                                  <a:pt x="110585" y="24098"/>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1CB219D" id="Group 64" o:spid="_x0000_s1026" style="position:absolute;margin-left:119pt;margin-top:54.5pt;width:166.15pt;height:66.25pt;z-index:251656192;mso-position-horizontal-relative:page;mso-position-vertical-relative:page;mso-width-relative:margin;mso-height-relative:margin" coordsize="15830,63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">
                <o:lock v:ext="edit" aspectratio="t"/>
                <v:group id="Graphic 1" o:spid="_x0000_s1027" style="position:absolute;left:6361;top:1351;width:9469;height:3584" coordorigin="6358,1382" coordsize="9469,35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">
                  <v:shape id="Freeform: Shape 1804678668" o:spid="_x0000_s1028" style="position:absolute;left:6369;top:1471;width:333;height:859;visibility:visible;mso-wrap-style:square;v-text-anchor:middle" coordsize="33337,85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" path="m,85915l,79724,10192,78200r,-70485l,6191,,,33338,r,6191l23241,7715r,70485l33338,79915r,6000l,85915xe" stroked="f">
                    <v:stroke joinstyle="miter"/>
                    <v:path arrowok="t" o:connecttype="custom" o:connectlocs="0,85915;0,79724;10192,78200;10192,7715;0,6191;0,0;33338,0;33338,6191;23241,7715;23241,78200;33338,79915;33338,85915;0,85915" o:connectangles="0,0,0,0,0,0,0,0,0,0,0,0,0"/>
                  </v:shape>
                  <v:shape id="Freeform: Shape 921133837" o:spid="_x0000_s1029" style="position:absolute;left:6829;top:1673;width:690;height:657;visibility:visible;mso-wrap-style:square;v-text-anchor:middle" coordsize="69056,657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" path="m286,65723r,-6192l7906,58579r,-47054l,9049,,2286,16097,r286,l19145,2286r,4382l19050,9049c20288,7906,21812,6858,23622,5715,25432,4667,27432,3715,29432,2858,31528,2000,33623,1333,35814,762,38005,191,40100,,42101,v3714,,6762,476,9239,1524c53721,2572,55626,4096,57055,6286v1333,2191,2286,4954,2857,8383c60484,18002,60674,22098,60674,26860r,31719l69056,59531r,6192l40672,65723r,-6192l48101,58579r,-31719c48101,23813,48006,21241,47720,18955v-285,-2286,-762,-4191,-1619,-5620c45244,11811,44101,10668,42577,9906,41053,9144,39053,8763,36671,8763v-2857,,-5715,476,-8572,1524c25241,11335,22670,12668,20574,14192r,44387l28575,59531r,6192l286,65723xe" stroked="f">
                    <v:stroke joinstyle="miter"/>
                    <v:path arrowok="t" o:connecttype="custom" o:connectlocs="286,65723;286,59531;7906,58579;7906,11525;0,9049;0,2286;16097,0;16383,0;19145,2286;19145,6668;19050,9049;23622,5715;29432,2858;35814,762;42101,0;51340,1524;57055,6286;59912,14669;60674,26860;60674,58579;69056,59531;69056,65723;40672,65723;40672,59531;48101,58579;48101,26860;47720,18955;46101,13335;42577,9906;36671,8763;28099,10287;20574,14192;20574,58579;28575,59531;28575,65723;286,65723" o:connectangles="0,0,0,0,0,0,0,0,0,0,0,0,0,0,0,0,0,0,0,0,0,0,0,0,0,0,0,0,0,0,0,0,0,0,0,0"/>
                  </v:shape>
                  <v:shape id="Freeform: Shape 1630785999" o:spid="_x0000_s1030" style="position:absolute;left:7623;top:1673;width:469;height:669;visibility:visible;mso-wrap-style:square;v-text-anchor:middle" coordsize="46862,66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" path="m,62103l,47339r8001,l10287,55721v381,572,953,1238,1715,1810c12859,58103,13811,58674,14954,59150v1143,477,2381,858,3810,1143c20193,60579,21622,60674,23146,60674v2381,,4286,-285,5810,-762c30480,59436,31623,58769,32480,57912v858,-857,1429,-1810,1810,-2953c34576,53816,34766,52673,34766,51530v,-1428,-285,-2762,-952,-4000c33147,46387,32099,45244,30766,44101,29432,43053,27623,42005,25527,40958,23431,39910,20860,38862,17907,37719,14859,36576,12192,35338,10001,34004,7810,32671,5906,31242,4477,29528,3048,27908,1905,26098,1238,24003,571,22003,190,19717,190,17145v,-2572,572,-4953,1810,-7049c3143,8001,4858,6191,6953,4667,9049,3143,11525,2000,14383,1238,17240,381,20288,,23622,v2286,,4477,95,6477,381c32099,667,33814,1048,35433,1429v1619,381,2953,762,4191,1238c40767,3048,41719,3429,42481,3620r,14097l34957,17621,32480,10287c32004,9334,30956,8382,29337,7525,27718,6668,25622,6286,23050,6286v-2000,,-3619,191,-5048,572c16573,7239,15526,7810,14573,8572v-857,762,-1524,1524,-1905,2477c12287,12002,12097,13049,12097,14097v,2000,476,3715,1333,4953c14288,20288,15431,21431,16859,22289v1429,857,3048,1714,4858,2381c23527,25336,25336,26098,27242,26956v2571,1143,5048,2286,7429,3524c37052,31718,39148,33147,40957,34766v1810,1619,3239,3429,4287,5620c46292,42482,46863,45053,46863,47911v,2857,-571,5429,-1619,7810c44101,58103,42481,60008,40386,61722v-2096,1619,-4667,2858,-7715,3810c29623,66389,26194,66866,22384,66866v-2001,,-4096,-191,-6287,-477c13906,66008,11811,65627,9811,65151,7810,64675,6001,64103,4286,63532,2286,63151,952,62579,,62103xe" stroked="f">
                    <v:stroke joinstyle="miter"/>
                    <v:path arrowok="t" o:connecttype="custom" o:connectlocs="0,62103;0,47339;8001,47339;10287,55721;12002,57531;14954,59150;18764,60293;23146,60674;28956,59912;32480,57912;34290,54959;34766,51530;33814,47530;30766,44101;25527,40958;17907,37719;10001,34004;4477,29528;1238,24003;190,17145;2000,10096;6953,4667;14383,1238;23622,0;30099,381;35433,1429;39624,2667;42481,3620;42481,17717;34957,17621;32480,10287;29337,7525;23050,6286;18002,6858;14573,8572;12668,11049;12097,14097;13430,19050;16859,22289;21717,24670;27242,26956;34671,30480;40957,34766;45244,40386;46863,47911;45244,55721;40386,61722;32671,65532;22384,66866;16097,66389;9811,65151;4286,63532;0,62103" o:connectangles="0,0,0,0,0,0,0,0,0,0,0,0,0,0,0,0,0,0,0,0,0,0,0,0,0,0,0,0,0,0,0,0,0,0,0,0,0,0,0,0,0,0,0,0,0,0,0,0,0,0,0,0,0"/>
                  </v:shape>
                  <v:shape id="Freeform: Shape 1202899484" o:spid="_x0000_s1031" style="position:absolute;left:8185;top:1532;width:416;height:812;visibility:visible;mso-wrap-style:square;v-text-anchor:middle" coordsize="41529,811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" path="m8192,67818r,-44101l,23717,,18383v1143,-381,2286,-762,3524,-1143c4667,16859,5524,16478,6001,16097v1238,-857,2286,-2286,3143,-4191c9430,11240,9811,10382,10287,9239v476,-1143,857,-2286,1334,-3429c12097,4667,12478,3524,12763,2477,13144,1429,13335,571,13525,r7240,l20765,15621r18954,l39719,23813r-18954,l20765,57626v,3334,,6001,95,7811c20955,67246,21241,68675,21622,69628v476,857,1047,1428,1905,1619c24384,71438,25622,71533,27051,71533r95,c28194,71533,29337,71438,30575,71342v1143,-190,2381,-286,3524,-571c35242,70580,36290,70294,37243,70104v952,-286,1714,-476,2286,-667l39624,69437r1905,5525c40576,75629,39338,76391,37814,77057v-1619,762,-3334,1429,-5143,2000c30766,79629,28861,80201,26860,80581v-2000,382,-3905,572,-5619,572l21146,81153v-2001,,-3811,-190,-5335,-667c14192,80010,12859,79248,11811,78295,10668,77248,9811,75914,9239,74200,8477,72390,8192,70294,8192,67818xe" stroked="f">
                    <v:stroke joinstyle="miter"/>
                    <v:path arrowok="t" o:connecttype="custom" o:connectlocs="8192,67818;8192,23717;0,23717;0,18383;3524,17240;6001,16097;9144,11906;10287,9239;11621,5810;12763,2477;13525,0;20765,0;20765,15621;39719,15621;39719,23813;20765,23813;20765,57626;20860,65437;21622,69628;23527,71247;27051,71533;27146,71533;30575,71342;34099,70771;37243,70104;39529,69437;39624,69437;41529,74962;37814,77057;32671,79057;26860,80581;21241,81153;21146,81153;15811,80486;11811,78295;9239,74200;8192,67818" o:connectangles="0,0,0,0,0,0,0,0,0,0,0,0,0,0,0,0,0,0,0,0,0,0,0,0,0,0,0,0,0,0,0,0,0,0,0,0,0"/>
                  </v:shape>
                  <v:shape id="Freeform: Shape 1911111106" o:spid="_x0000_s1032" style="position:absolute;left:8661;top:1398;width:310;height:932;visibility:visible;mso-wrap-style:square;v-text-anchor:middle" coordsize="31051,932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" path="m,93250l,87058r9335,-952l9335,39053,1429,36576r,-6763l18669,27527r286,l21908,29813r,56388l31052,87058r,6192l,93250xm13716,16859v-1048,,-2095,-190,-3048,-571c9811,15907,8954,15335,8382,14668,7810,14002,7239,13144,6953,12192,6572,11239,6477,10192,6477,9144v,-1238,190,-2381,571,-3429c7429,4667,7906,3620,8668,2762,9335,1905,10192,1238,11335,762,12383,286,13621,,15050,r95,c16383,,17526,190,18383,667v953,476,1715,1047,2382,1809c21431,3239,21908,4096,22193,4953v381,952,476,1905,476,2953c22669,9144,22479,10382,22098,11430v-381,1048,-857,2000,-1619,2858c19717,15145,18860,15716,17717,16192v-1144,381,-2477,667,-4001,667l13716,16859xe" stroked="f">
                    <v:stroke joinstyle="miter"/>
                    <v:path arrowok="t" o:connecttype="custom" o:connectlocs="0,93250;0,87058;9335,86106;9335,39053;1429,36576;1429,29813;18669,27527;18955,27527;21908,29813;21908,86201;31052,87058;31052,93250;0,93250;13716,16859;10668,16288;8382,14668;6953,12192;6477,9144;7048,5715;8668,2762;11335,762;15050,0;15145,0;18383,667;20765,2476;22193,4953;22669,7906;22098,11430;20479,14288;17717,16192;13716,16859;13716,16859" o:connectangles="0,0,0,0,0,0,0,0,0,0,0,0,0,0,0,0,0,0,0,0,0,0,0,0,0,0,0,0,0,0,0,0"/>
                  </v:shape>
                  <v:shape id="Freeform: Shape 988306844" o:spid="_x0000_s1033" style="position:absolute;left:9052;top:1532;width:415;height:812;visibility:visible;mso-wrap-style:square;v-text-anchor:middle" coordsize="41529,811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" path="m8192,67818r,-44101l,23717,,18383v1143,-381,2286,-762,3524,-1143c4667,16859,5525,16478,6001,16097v1238,-857,2286,-2286,3143,-4191c9430,11240,9811,10382,10287,9239v476,-1143,857,-2286,1334,-3429c12097,4667,12478,3524,12763,2477,13144,1429,13335,571,13525,r7240,l20765,15621r18954,l39719,23813r-18954,l20765,57626v,3334,,6001,95,7811c20955,67342,21241,68675,21622,69628v476,857,1047,1428,1905,1619c24384,71438,25622,71533,27051,71533r95,c28194,71533,29337,71438,30575,71342v1143,-190,2381,-286,3525,-571c35242,70580,36290,70294,37243,70104v952,-286,1714,-476,2286,-667l39624,69437r1905,5525c40577,75629,39338,76391,37814,77057v-1619,762,-3333,1429,-5143,2000c30766,79629,28861,80201,26860,80581v-2000,382,-3905,572,-5619,572l21146,81153v-2001,,-3811,-190,-5335,-667c14288,80010,12859,79248,11811,78295,10668,77248,9811,75914,9239,74200,8477,72390,8192,70294,8192,67818xe" stroked="f">
                    <v:stroke joinstyle="miter"/>
                    <v:path arrowok="t" o:connecttype="custom" o:connectlocs="8192,67818;8192,23717;0,23717;0,18383;3524,17240;6001,16097;9144,11906;10287,9239;11621,5810;12763,2477;13525,0;20765,0;20765,15621;39719,15621;39719,23813;20765,23813;20765,57626;20860,65437;21622,69628;23527,71247;27051,71533;27146,71533;30575,71342;34100,70771;37243,70104;39529,69437;39624,69437;41529,74962;37814,77057;32671,79057;26860,80581;21241,81153;21146,81153;15811,80486;11811,78295;9239,74200;8192,67818" o:connectangles="0,0,0,0,0,0,0,0,0,0,0,0,0,0,0,0,0,0,0,0,0,0,0,0,0,0,0,0,0,0,0,0,0,0,0,0,0"/>
                  </v:shape>
                  <v:shape id="Freeform: Shape 333474738" o:spid="_x0000_s1034" style="position:absolute;left:9536;top:1671;width:645;height:674;visibility:visible;mso-wrap-style:square;v-text-anchor:middle" coordsize="64484,673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" path="m53626,67342v-2382,,-4191,-476,-5430,-1334c46958,65151,46292,63532,46292,61151r,-2286c45244,59722,44005,60674,42577,61722v-1429,953,-3048,1905,-4763,2762c36100,65342,34195,66008,32290,66485v-1905,571,-3906,762,-6001,762c22765,67247,19812,66770,17240,65913v-2571,-857,-4572,-2381,-6191,-4381c9430,59531,8192,56960,7429,53816,6667,50673,6286,46768,6286,42196r,-32385l,7334,,1905,16288,95r95,l18955,1715r,39814c18955,44672,19145,47339,19431,49435v286,2191,952,3905,1810,5239c22098,56007,23241,57055,24765,57626v1524,572,3429,858,5715,858c32099,58484,33719,58293,35147,57912v1429,-381,2762,-762,4096,-1333c40481,56102,41624,55531,42577,54959v952,-571,1809,-1143,2476,-1619l45053,9716,37052,7239r,-5524l54388,r95,l57626,1619r,57722l64484,59341r,5620c63151,65342,61627,65818,59817,66389v-1810,667,-3905,953,-6191,953xe" stroked="f">
                    <v:stroke joinstyle="miter"/>
                    <v:path arrowok="t" o:connecttype="custom" o:connectlocs="53626,67342;48196,66008;46292,61151;46292,58865;42577,61722;37814,64484;32290,66485;26289,67247;17240,65913;11049,61532;7429,53816;6286,42196;6286,9811;0,7334;0,1905;16288,95;16383,95;18955,1715;18955,41529;19431,49435;21241,54674;24765,57626;30480,58484;35147,57912;39243,56579;42577,54959;45053,53340;45053,9716;37052,7239;37052,1715;54388,0;54483,0;57626,1619;57626,59341;64484,59341;64484,64961;59817,66389;53626,67342" o:connectangles="0,0,0,0,0,0,0,0,0,0,0,0,0,0,0,0,0,0,0,0,0,0,0,0,0,0,0,0,0,0,0,0,0,0,0,0,0,0"/>
                  </v:shape>
                  <v:shape id="Freeform: Shape 1196684303" o:spid="_x0000_s1035" style="position:absolute;left:10271;top:1532;width:416;height:812;visibility:visible;mso-wrap-style:square;v-text-anchor:middle" coordsize="41529,811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" path="m8192,67818r,-44101l,23717,,18383v1143,-381,2286,-762,3524,-1143c4667,16859,5525,16478,6001,16097v1238,-857,2286,-2286,3143,-4191c9430,11240,9811,10382,10287,9239v476,-1143,857,-2286,1334,-3429c12097,4667,12478,3524,12764,2477,13145,1429,13335,571,13526,r7239,l20765,15621r18954,l39719,23813r-18954,l20765,57626v,3334,,6001,95,7811c20955,67342,21241,68675,21622,69628v476,857,1048,1428,1905,1619c24384,71438,25622,71533,27051,71533r95,c28194,71533,29337,71438,30575,71342v1143,-190,2382,-286,3525,-571c35243,70580,36290,70294,37243,70104v952,-286,1714,-476,2286,-667l39624,69437r1905,5525c40577,75629,39338,76391,37814,77057v-1619,762,-3333,1429,-5143,2000c30766,79629,28861,80201,26861,80581v-2001,382,-3906,572,-5620,572l21146,81153v-2001,,-3810,-190,-5334,-667c14192,80010,12859,79248,11811,78295,10668,77248,9811,75914,9239,74200,8477,72390,8192,70294,8192,67818xe" stroked="f">
                    <v:stroke joinstyle="miter"/>
                    <v:path arrowok="t" o:connecttype="custom" o:connectlocs="8192,67818;8192,23717;0,23717;0,18383;3524,17240;6001,16097;9144,11906;10287,9239;11621,5810;12764,2477;13526,0;20765,0;20765,15621;39719,15621;39719,23813;20765,23813;20765,57626;20860,65437;21622,69628;23527,71247;27051,71533;27146,71533;30575,71342;34100,70771;37243,70104;39529,69437;39624,69437;41529,74962;37814,77057;32671,79057;26861,80581;21241,81153;21146,81153;15812,80486;11811,78295;9239,74200;8192,67818" o:connectangles="0,0,0,0,0,0,0,0,0,0,0,0,0,0,0,0,0,0,0,0,0,0,0,0,0,0,0,0,0,0,0,0,0,0,0,0,0"/>
                  </v:shape>
                  <v:shape id="Freeform: Shape 1706161647" o:spid="_x0000_s1036" style="position:absolute;left:10756;top:1671;width:645;height:674;visibility:visible;mso-wrap-style:square;v-text-anchor:middle" coordsize="64484,673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" path="m53626,67342v-2382,,-4191,-476,-5430,-1334c46958,65151,46292,63532,46292,61151r,-2286c45244,59722,44006,60674,42577,61722v-1429,953,-3048,1905,-4763,2762c36100,65342,34195,66008,32290,66485v-1905,571,-3905,762,-6001,762c22765,67247,19812,66770,17240,65913v-2571,-857,-4572,-2381,-6191,-4381c9430,59531,8192,56960,7429,53816,6667,50673,6286,46768,6286,42196r,-32385l,7334,,1905,16288,95r95,l18955,1715r,39814c18955,44672,19145,47339,19431,49435v286,2191,952,3905,1810,5239c22098,56007,23241,57055,24765,57626v1524,572,3429,858,5715,858c32099,58484,33719,58293,35147,57912v1429,-381,2763,-762,4096,-1333c40481,56102,41624,55531,42577,54959v952,-571,1809,-1143,2476,-1619l45053,9716,37052,7239r,-5524l54388,r95,l57626,1619r,57722l64484,59341r,5620c63151,65342,61627,65818,59817,66389v-1905,667,-4000,953,-6191,953xe" stroked="f">
                    <v:stroke joinstyle="miter"/>
                    <v:path arrowok="t" o:connecttype="custom" o:connectlocs="53626,67342;48196,66008;46292,61151;46292,58865;42577,61722;37814,64484;32290,66485;26289,67247;17240,65913;11049,61532;7429,53816;6286,42196;6286,9811;0,7334;0,1905;16288,95;16383,95;18955,1715;18955,41529;19431,49435;21241,54674;24765,57626;30480,58484;35147,57912;39243,56579;42577,54959;45053,53340;45053,9716;37052,7239;37052,1715;54388,0;54483,0;57626,1619;57626,59341;64484,59341;64484,64961;59817,66389;53626,67342" o:connectangles="0,0,0,0,0,0,0,0,0,0,0,0,0,0,0,0,0,0,0,0,0,0,0,0,0,0,0,0,0,0,0,0,0,0,0,0,0,0"/>
                  </v:shape>
                  <v:shape id="Freeform: Shape 1684581408" o:spid="_x0000_s1037" style="position:absolute;left:11487;top:1382;width:317;height:948;visibility:visible;mso-wrap-style:square;v-text-anchor:middle" coordsize="31718,948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" path="m,94869l,88678r9335,-953l9335,8953,,7906,,2572,18955,r95,l21908,2000r,85725l31718,88678r,6191l,94869xe" stroked="f">
                    <v:stroke joinstyle="miter"/>
                    <v:path arrowok="t" o:connecttype="custom" o:connectlocs="0,94869;0,88678;9335,87725;9335,8953;0,7906;0,2572;18955,0;19050,0;21908,2000;21908,87725;31718,88678;31718,94869;0,94869" o:connectangles="0,0,0,0,0,0,0,0,0,0,0,0,0"/>
                  </v:shape>
                  <v:shape id="Freeform: Shape 2086716908" o:spid="_x0000_s1038" style="position:absolute;left:6358;top:2781;width:843;height:861;visibility:visible;mso-wrap-style:square;v-text-anchor:middle" coordsize="84296,86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" path="m,85916l,79724,9430,78200r,-70485l,6191,,,21907,,60484,55721r5619,10478l66103,7810,55912,6286r,-6191l84296,95r,6191l74771,7906r,78200l66389,86106,26956,29527,18193,14478r,63913l28670,79915r,6191l,86106r,-190xe" stroked="f">
                    <v:stroke joinstyle="miter"/>
                    <v:path arrowok="t" o:connecttype="custom" o:connectlocs="0,85916;0,79724;9430,78200;9430,7715;0,6191;0,0;21907,0;60484,55721;66103,66199;66103,7810;55912,6286;55912,95;84296,95;84296,6286;74771,7906;74771,86106;66389,86106;26956,29527;18193,14478;18193,78391;28670,79915;28670,86106;0,86106" o:connectangles="0,0,0,0,0,0,0,0,0,0,0,0,0,0,0,0,0,0,0,0,0,0,0"/>
                  </v:shape>
                  <v:shape id="Freeform: Shape 1482486308" o:spid="_x0000_s1039" style="position:absolute;left:7276;top:2985;width:566;height:669;visibility:visible;mso-wrap-style:square;v-text-anchor:middle" coordsize="56673,66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" path="m,48577c,45910,476,43434,1524,41339,2572,39243,3905,37338,5715,35719v1810,-1620,3810,-2953,6287,-4096c14383,30480,16954,29527,19717,28861v2762,-762,5620,-1238,8668,-1619c31337,26860,34385,26670,37243,26575r,-2953c37243,20955,37052,18764,36671,16954v-381,-1809,-1048,-3333,-1905,-4476c33814,11335,32575,10477,31052,10001,29527,9525,27527,9239,25146,9239v-2000,,-4096,191,-6096,572c17050,10192,15050,10668,13240,11240v-1905,571,-3620,1142,-5144,1714c6572,13621,5239,14192,4191,14669r-95,l1524,9239c2286,8573,3524,7715,5334,6668,7144,5620,9239,4572,11716,3619v2476,-952,5143,-1809,8001,-2571c22574,286,25432,,28194,v4000,,7334,381,10001,1238c40958,2095,43148,3334,44863,5143v1714,1810,2953,4096,3619,6954c49244,14954,49625,18383,49625,22479r,36862l56674,59341r,5524c55912,65056,55150,65246,54102,65532v-952,286,-2000,476,-3143,667c49911,66389,48768,66580,47625,66770v-1143,191,-2191,191,-3238,191c43339,66961,42386,66961,41624,66866v-762,-96,-1428,-382,-1905,-763c39243,65723,38862,65151,38576,64294v-285,-762,-381,-1905,-381,-3239l38195,58960v-476,476,-1333,1143,-2381,2000c34671,61817,33338,62770,31718,63627v-1619,857,-3429,1619,-5524,2286c24098,66580,21908,66866,19526,66866v-2572,,-5048,-382,-7429,-1048c9716,65151,7715,64008,5906,62579,4096,61150,2667,59246,1619,56864,571,54578,,51816,,48577xm24384,58198v762,,1714,-96,2858,-286c28289,57722,29432,57436,30671,57055v1238,-381,2285,-857,3524,-1429c35338,55054,36385,54483,37338,53721r,-20765c32861,32956,29051,33338,26003,34099v-3048,763,-5429,1810,-7239,3144c16954,38576,15716,40005,14954,41720v-762,1619,-1143,3429,-1143,5238c13811,49054,14097,50768,14669,52197v571,1429,1333,2572,2285,3524c17907,56578,19050,57245,20383,57626v1144,381,2572,572,4001,572xe" stroked="f">
                    <v:stroke joinstyle="miter"/>
                    <v:path arrowok="t" o:connecttype="custom" o:connectlocs="0,48577;1524,41339;5715,35719;12002,31623;19717,28861;28385,27242;37243,26575;37243,23622;36671,16954;34766,12478;31052,10001;25146,9239;19050,9811;13240,11240;8096,12954;4191,14669;4096,14669;1524,9239;5334,6668;11716,3619;19717,1048;28194,0;38195,1238;44863,5143;48482,12097;49625,22479;49625,59341;56674,59341;56674,64865;54102,65532;50959,66199;47625,66770;44387,66961;41624,66866;39719,66103;38576,64294;38195,61055;38195,58960;35814,60960;31718,63627;26194,65913;19526,66866;12097,65818;5906,62579;1619,56864;0,48577;24384,58198;27242,57912;30671,57055;34195,55626;37338,53721;37338,32956;26003,34099;18764,37243;14954,41720;13811,46958;14669,52197;16954,55721;20383,57626;24384,58198" o:connectangles="0,0,0,0,0,0,0,0,0,0,0,0,0,0,0,0,0,0,0,0,0,0,0,0,0,0,0,0,0,0,0,0,0,0,0,0,0,0,0,0,0,0,0,0,0,0,0,0,0,0,0,0,0,0,0,0,0,0,0,0"/>
                  </v:shape>
                  <v:shape id="Freeform: Shape 1373384413" o:spid="_x0000_s1040" style="position:absolute;left:7919;top:2842;width:415;height:1114;visibility:visible;mso-wrap-style:square;v-text-anchor:middle" coordsize="41529,111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" path="m8192,67818r,-44101l,23717,,18383v1143,-381,2286,-762,3524,-1143c4667,16859,5525,16478,6001,16097v1238,-857,2286,-2286,3143,-4191c9430,11240,9811,10382,10287,9239v476,-1143,857,-2286,1334,-3429c12097,4667,12478,3524,12764,2477,13144,1429,13335,571,13525,r7240,l20765,15621r18954,l39719,23813r-18954,l20765,57626v,3334,,6001,95,7811c20955,67342,21241,68675,21622,69628v476,857,1047,1428,1905,1619c24384,71438,25622,71533,27051,71533r95,c28194,71533,29337,71438,30575,71342v1239,-95,2381,-286,3525,-571c35242,70580,36290,70295,37243,70104v952,-286,1714,-476,2286,-667l39624,69437r1905,5525c40577,75628,39338,76391,37814,77057v-1619,762,-3333,1429,-5143,2000c30766,79629,28861,80200,26860,80581v-2000,382,-3905,572,-5619,572l21146,81153v-2001,,-3811,-190,-5334,-667c14192,80010,12859,79248,11811,78296,10668,77248,9811,75914,9239,74200,8477,72390,8192,70295,8192,67818xm21717,111443r-3715,-2858l18002,107918v572,-286,1048,-667,1429,-1143c19812,106204,20193,105632,20479,104966v286,-667,476,-1429,667,-2191c21336,102013,21336,101346,21336,100679v,-952,-286,-1714,-762,-2095c20098,98203,19526,97726,18860,97441v-667,-381,-1334,-953,-1810,-1715c16478,94964,16192,93917,16192,92393v,-1334,191,-2382,667,-3239c17335,88297,17907,87725,18574,87249v667,-476,1428,-762,2095,-952c21431,86106,22003,86011,22479,86011r571,c25622,86011,27623,86868,29051,88678v1429,1714,2191,4000,2191,6858c31242,98203,30766,100489,29813,102489v-952,2000,-2095,3619,-3238,4953c25432,108775,24289,109823,23336,110395v-1047,667,-1524,952,-1619,952l21717,111347r,96xe" stroked="f">
                    <v:stroke joinstyle="miter"/>
                    <v:path arrowok="t" o:connecttype="custom" o:connectlocs="8192,67818;8192,23717;0,23717;0,18383;3524,17240;6001,16097;9144,11906;10287,9239;11621,5810;12764,2477;13525,0;20765,0;20765,15621;39719,15621;39719,23813;20765,23813;20765,57626;20860,65437;21622,69628;23527,71247;27051,71533;27146,71533;30575,71342;34100,70771;37243,70104;39529,69437;39624,69437;41529,74962;37814,77057;32671,79057;26860,80581;21241,81153;21146,81153;15812,80486;11811,78296;9239,74200;8192,67818;21717,111443;18002,108585;18002,107918;19431,106775;20479,104966;21146,102775;21336,100679;20574,98584;18860,97441;17050,95726;16192,92393;16859,89154;18574,87249;20669,86297;22479,86011;23050,86011;29051,88678;31242,95536;29813,102489;26575,107442;23336,110395;21717,111347;21717,111347" o:connectangles="0,0,0,0,0,0,0,0,0,0,0,0,0,0,0,0,0,0,0,0,0,0,0,0,0,0,0,0,0,0,0,0,0,0,0,0,0,0,0,0,0,0,0,0,0,0,0,0,0,0,0,0,0,0,0,0,0,0,0,0"/>
                  </v:shape>
                  <v:shape id="Freeform: Shape 895671526" o:spid="_x0000_s1041" style="position:absolute;left:8394;top:2707;width:311;height:933;visibility:visible;mso-wrap-style:square;v-text-anchor:middle" coordsize="31146,932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" path="m,93250l,87058r9335,-952l9335,39052,1429,36576r,-6763l18669,27527r286,l22003,29813r,56388l31147,87058r,6192l,93250xm13811,16859v-1047,,-2095,-190,-2953,-571c9906,15907,9144,15335,8573,14668,7906,14002,7430,13144,7144,12192,6763,11240,6668,10192,6668,9144v,-1238,190,-2381,571,-3429c7620,4667,8096,3619,8858,2762,9525,1905,10382,1238,11525,762,12573,286,13811,,15145,r95,c16478,,17621,191,18479,667v952,476,1714,1048,2381,1810c21527,3239,22003,4096,22289,4953v381,952,476,1905,476,2953c22765,9144,22574,10382,22193,11430v-381,1048,-952,2000,-1619,2858c19812,15145,18955,15716,17812,16192v-1238,381,-2477,667,-4001,667l13811,16859xe" stroked="f">
                    <v:stroke joinstyle="miter"/>
                    <v:path arrowok="t" o:connecttype="custom" o:connectlocs="0,93250;0,87058;9335,86106;9335,39052;1429,36576;1429,29813;18669,27527;18955,27527;22003,29813;22003,86201;31147,87058;31147,93250;0,93250;13811,16859;10858,16288;8573,14668;7144,12192;6668,9144;7239,5715;8858,2762;11525,762;15145,0;15240,0;18479,667;20860,2477;22289,4953;22765,7906;22193,11430;20574,14288;17812,16192;13811,16859;13811,16859" o:connectangles="0,0,0,0,0,0,0,0,0,0,0,0,0,0,0,0,0,0,0,0,0,0,0,0,0,0,0,0,0,0,0,0"/>
                  </v:shape>
                  <v:shape id="Freeform: Shape 361457784" o:spid="_x0000_s1042" style="position:absolute;left:8783;top:2980;width:596;height:674;visibility:visible;mso-wrap-style:square;v-text-anchor:middle" coordsize="59531,674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" path="m,33623c,28289,857,23527,2667,19336,4381,15145,6763,11620,9620,8763,12478,5905,15716,3715,19431,2191,23050,667,26765,,30575,v5144,,9621,857,13240,2667c47434,4381,50482,6858,52769,9906v2381,3048,4095,6667,5143,10763c58960,24765,59531,29146,59531,33814v,5429,-857,10191,-2667,14382c55150,52388,52769,55912,50006,58769v-2857,2858,-6096,5049,-9715,6477c36671,66675,32861,67437,29146,67437v-5143,,-9525,-857,-13144,-2667c12382,63055,9334,60579,6953,57531,4572,54483,2857,50864,1810,46768,571,42672,,38291,,33623xm29718,60389v5429,,9334,-2096,11906,-6382c44196,49720,45434,43339,45434,34862v,-3906,-286,-7525,-857,-10859c44005,20574,43148,17621,41910,15145,40672,12668,39052,10668,37052,9239,35052,7810,32671,7048,29813,7048v-5429,,-9334,2096,-11906,6382c15335,17717,14097,24098,14097,32575v,3906,286,7525,857,10859c15526,46768,16478,49720,17717,52292v1238,2477,2857,4477,4857,6001c24479,59626,26860,60389,29718,60389xe" stroked="f">
                    <v:stroke joinstyle="miter"/>
                    <v:path arrowok="t" o:connecttype="custom" o:connectlocs="0,33623;2667,19336;9620,8763;19431,2191;30575,0;43815,2667;52769,9906;57912,20669;59531,33814;56864,48196;50006,58769;40291,65246;29146,67437;16002,64770;6953,57531;1810,46768;0,33623;29718,60389;41624,54007;45434,34862;44577,24003;41910,15145;37052,9239;29813,7048;17907,13430;14097,32575;14954,43434;17717,52292;22574,58293;29718,60389" o:connectangles="0,0,0,0,0,0,0,0,0,0,0,0,0,0,0,0,0,0,0,0,0,0,0,0,0,0,0,0,0,0"/>
                  </v:shape>
                  <v:shape id="Freeform: Shape 1881051036" o:spid="_x0000_s1043" style="position:absolute;left:9482;top:2983;width:690;height:657;visibility:visible;mso-wrap-style:square;v-text-anchor:middle" coordsize="69056,657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" path="m381,65723r,-6192l7906,58579r,-47054l,9049,,2286,16097,r286,l19145,2286r,4382l19050,9049c20288,7906,21812,6858,23622,5715,25432,4667,27432,3715,29432,2858,31528,2000,33623,1333,35814,762,38005,191,40100,,42100,v3715,,6763,476,9240,1524c53721,2572,55626,4096,57055,6286v1333,2191,2286,4954,2857,8383c60388,18002,60674,22098,60674,26860r,31719l69056,59531r,6192l40672,65723r,-6192l48101,58579r,-31719c48101,23813,48006,21241,47720,18955v-286,-2286,-762,-4191,-1619,-5620c45244,11811,44101,10668,42577,9906,41053,9144,39052,8763,36671,8763v-2857,,-5715,476,-8572,1524c25241,11335,22669,12668,20574,14192r,44387l28575,59531r,6192l381,65723xe" stroked="f">
                    <v:stroke joinstyle="miter"/>
                    <v:path arrowok="t" o:connecttype="custom" o:connectlocs="381,65723;381,59531;7906,58579;7906,11525;0,9049;0,2286;16097,0;16383,0;19145,2286;19145,6668;19050,9049;23622,5715;29432,2858;35814,762;42100,0;51340,1524;57055,6286;59912,14669;60674,26860;60674,58579;69056,59531;69056,65723;40672,65723;40672,59531;48101,58579;48101,26860;47720,18955;46101,13335;42577,9906;36671,8763;28099,10287;20574,14192;20574,58579;28575,59531;28575,65723;381,65723" o:connectangles="0,0,0,0,0,0,0,0,0,0,0,0,0,0,0,0,0,0,0,0,0,0,0,0,0,0,0,0,0,0,0,0,0,0,0,0"/>
                  </v:shape>
                  <v:shape id="Freeform: Shape 1051109488" o:spid="_x0000_s1044" style="position:absolute;left:10251;top:2985;width:567;height:669;visibility:visible;mso-wrap-style:square;v-text-anchor:middle" coordsize="56673,66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" path="m,48577c,45910,476,43434,1524,41339,2572,39243,3905,37338,5715,35719v1810,-1620,3810,-2953,6287,-4096c14383,30480,16955,29527,19717,28861v2762,-762,5620,-1238,8668,-1619c31337,26860,34385,26670,37243,26575r,-2953c37243,20955,37052,18764,36671,16954v-381,-1809,-1047,-3333,-1905,-4476c33814,11335,32576,10477,31052,10001,29528,9525,27527,9239,25146,9239v-2000,,-4096,191,-6096,572c17050,10192,15050,10668,13240,11240v-1905,571,-3620,1142,-5144,1714c6572,13621,5239,14192,4191,14669r-95,l1524,9239c2191,8573,3524,7715,5334,6668,7144,5620,9239,4572,11716,3619v2476,-952,5143,-1809,8001,-2571c22574,286,25432,,28194,v4001,,7334,381,10001,1238c40958,2095,43148,3334,44863,5143v1714,1810,2953,4096,3619,6954c49244,14954,49625,18383,49625,22479r,36862l56674,59341r,5524c55912,65056,55055,65246,54102,65532v-1048,286,-2000,476,-3143,667c49911,66389,48768,66580,47625,66770v-1143,191,-2191,191,-3238,191c43339,66961,42386,66961,41624,66866v-762,-96,-1428,-382,-1905,-763c39243,65723,38862,65151,38672,64294v-286,-762,-381,-1905,-381,-3239l38291,58960v-477,476,-1334,1143,-2382,2000c34766,61817,33433,62770,31814,63627v-1620,857,-3429,1619,-5525,2286c24194,66580,22003,66866,19622,66866v-2572,,-5049,-382,-7430,-1048c9811,65151,7810,64008,6001,62579,4191,61150,2762,59246,1715,56864,572,54578,,51816,,48577xm24384,58198v762,,1715,-96,2858,-286c28289,57722,29432,57436,30671,57055v1143,-381,2285,-857,3524,-1429c35433,55054,36385,54483,37338,53721r,-20765c32861,32956,29051,33338,26003,34099v-3048,763,-5429,1810,-7239,3144c16955,38576,15716,40005,14954,41720v-762,1619,-1143,3429,-1143,5238c13811,49054,14097,50768,14669,52197v571,1429,1333,2572,2286,3524c17907,56578,19050,57245,20383,57626v1144,381,2477,572,4001,572xe" stroked="f">
                    <v:stroke joinstyle="miter"/>
                    <v:path arrowok="t" o:connecttype="custom" o:connectlocs="0,48577;1524,41339;5715,35719;12002,31623;19717,28861;28385,27242;37243,26575;37243,23622;36671,16954;34766,12478;31052,10001;25146,9239;19050,9811;13240,11240;8096,12954;4191,14669;4096,14669;1524,9239;5334,6668;11716,3619;19717,1048;28194,0;38195,1238;44863,5143;48482,12097;49625,22479;49625,59341;56674,59341;56674,64865;54102,65532;50959,66199;47625,66770;44387,66961;41624,66866;39719,66103;38672,64294;38291,61055;38291,58960;35909,60960;31814,63627;26289,65913;19622,66866;12192,65818;6001,62579;1715,56864;0,48577;24384,58198;27242,57912;30671,57055;34195,55626;37338,53721;37338,32956;26003,34099;18764,37243;14954,41720;13811,46958;14669,52197;16955,55721;20383,57626;24384,58198" o:connectangles="0,0,0,0,0,0,0,0,0,0,0,0,0,0,0,0,0,0,0,0,0,0,0,0,0,0,0,0,0,0,0,0,0,0,0,0,0,0,0,0,0,0,0,0,0,0,0,0,0,0,0,0,0,0,0,0,0,0,0,0"/>
                  </v:shape>
                  <v:shape id="Freeform: Shape 142886979" o:spid="_x0000_s1045" style="position:absolute;left:10890;top:2691;width:318;height:949;visibility:visible;mso-wrap-style:square;v-text-anchor:middle" coordsize="31718,948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" path="m,94869l,88678r9335,-953l9335,8954,,7906,,2572,18955,r95,l21908,2000r,85725l31718,88678r,6191l,94869xe" stroked="f">
                    <v:stroke joinstyle="miter"/>
                    <v:path arrowok="t" o:connecttype="custom" o:connectlocs="0,94869;0,88678;9335,87725;9335,8954;0,7906;0,2572;18955,0;19050,0;21908,2000;21908,87725;31718,88678;31718,94869;0,94869" o:connectangles="0,0,0,0,0,0,0,0,0,0,0,0,0"/>
                  </v:shape>
                  <v:shape id="Freeform: Shape 109324080" o:spid="_x0000_s1046" style="position:absolute;left:11661;top:2693;width:629;height:963;visibility:visible;mso-wrap-style:square;v-text-anchor:middle" coordsize="62864,962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" path="m25336,96012v-3333,,-6572,-667,-9620,-1905c12668,92774,10001,90868,7620,88202,5334,85534,3429,82296,2096,78295,762,74295,,69628,,64198,,59245,762,54578,2286,50292,3810,46006,6001,42196,8858,39053v2858,-3144,6382,-5715,10382,-7525c23336,29718,27908,28861,33052,28861v1809,,3619,95,5334,285c40100,29337,41815,29623,43434,29908r,-21050l32290,7810r,-5333l52959,r286,l56102,2000r,86202l62865,88202r,6000c61246,94583,59436,95059,57340,95536v-2095,476,-4381,762,-6762,762c49530,96298,48673,96203,47911,96107v-762,-95,-1429,-381,-1905,-857c45434,94774,45053,94202,44863,93440v-286,-762,-381,-1809,-381,-3143l44482,87820v-953,1048,-2096,2001,-3429,3048c39815,91916,38386,92774,36767,93535v-1620,763,-3334,1429,-5239,1905c29527,95726,27527,96012,25336,96012xm30575,87344v1524,,2953,-190,4191,-571c36100,86392,37243,85915,38386,85344v1047,-571,2095,-1143,2952,-1905c42196,82772,42958,82106,43529,81534r,-42863c43244,38195,42767,37814,42100,37338v-666,-476,-1523,-857,-2571,-1143c38481,35814,37433,35623,36195,35433v-1238,-191,-2476,-286,-3810,-286c29813,35147,27527,35623,25241,36576v-2286,953,-4191,2477,-5810,4667c17717,43339,16383,46101,15431,49530v-953,3429,-1525,7525,-1620,12478c13716,66389,14097,70199,14954,73438v857,3143,2000,5810,3525,7905c20002,83439,21812,84963,23908,85915v2095,953,4286,1429,6667,1429xe" stroked="f">
                    <v:stroke joinstyle="miter"/>
                    <v:path arrowok="t" o:connecttype="custom" o:connectlocs="25336,96012;15716,94107;7620,88202;2096,78295;0,64198;2286,50292;8858,39053;19240,31528;33052,28861;38386,29146;43434,29908;43434,8858;32290,7810;32290,2477;52959,0;53245,0;56102,2000;56102,88202;62865,88202;62865,94202;57340,95536;50578,96298;47911,96107;46006,95250;44863,93440;44482,90297;44482,87820;41053,90868;36767,93535;31528,95440;25336,96012;30575,87344;34766,86773;38386,85344;41338,83439;43529,81534;43529,38671;42100,37338;39529,36195;36195,35433;32385,35147;25241,36576;19431,41243;15431,49530;13811,62008;14954,73438;18479,81343;23908,85915;30575,87344" o:connectangles="0,0,0,0,0,0,0,0,0,0,0,0,0,0,0,0,0,0,0,0,0,0,0,0,0,0,0,0,0,0,0,0,0,0,0,0,0,0,0,0,0,0,0,0,0,0,0,0,0"/>
                  </v:shape>
                  <v:shape id="Freeform: Shape 1090113306" o:spid="_x0000_s1047" style="position:absolute;left:12378;top:2979;width:533;height:674;visibility:visible;mso-wrap-style:square;v-text-anchor:middle" coordsize="53244,674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" path="m28861,67437v-4763,,-8954,-857,-12573,-2477c12668,63341,9715,60960,7239,58007,4858,55055,3048,51435,1810,47339,571,43243,,38671,,33718,,28670,762,24098,2286,20003,3810,15907,5905,12383,8572,9334,11239,6382,14478,4096,18193,2477,21907,857,25908,,30289,v7144,,12669,1905,16574,5810c50768,9715,52959,15431,53245,22955v,2477,,4572,-96,6382c53054,31147,52864,32766,52578,34195r-39148,l13430,34576v191,4286,762,8001,1905,11049c16383,48673,17812,51149,19621,53150v1810,2000,3715,3333,6001,4190c27908,58198,30194,58674,32671,58674v1619,,3238,-191,4953,-476c39243,57912,40862,57531,42386,57055v1524,-476,2953,-1048,4191,-1715c47815,54673,48863,54102,49720,53435r2382,5525c51054,60008,49625,61151,47911,62103v-1715,1048,-3525,1905,-5620,2667c40195,65532,38100,66199,35719,66675v-2191,476,-4477,762,-6858,762xm27527,6953v-1905,,-3619,286,-5239,953c20669,8572,19240,9715,18002,11239v-1238,1620,-2191,3715,-2953,6287c14288,20193,13811,23432,13621,27432r26193,c39910,26670,39910,25908,39910,25051v,-858,,-1619,,-2286c39910,20669,39719,18669,39243,16764v-476,-1905,-1143,-3620,-2096,-5048c36195,10287,34861,9049,33338,8191,31718,7334,29813,6953,27527,6953xe" stroked="f">
                    <v:stroke joinstyle="miter"/>
                    <v:path arrowok="t" o:connecttype="custom" o:connectlocs="28861,67437;16288,64960;7239,58007;1810,47339;0,33718;2286,20003;8572,9334;18193,2477;30289,0;46863,5810;53245,22955;53149,29337;52578,34195;13430,34195;13430,34576;15335,45625;19621,53150;25622,57340;32671,58674;37624,58198;42386,57055;46577,55340;49720,53435;52102,58960;47911,62103;42291,64770;35719,66675;28861,67437;27527,6953;22288,7906;18002,11239;15049,17526;13621,27432;39814,27432;39910,25051;39910,22765;39243,16764;37147,11716;33338,8191;27527,6953" o:connectangles="0,0,0,0,0,0,0,0,0,0,0,0,0,0,0,0,0,0,0,0,0,0,0,0,0,0,0,0,0,0,0,0,0,0,0,0,0,0,0,0"/>
                  </v:shape>
                  <v:shape id="Freeform: Shape 1323629489" o:spid="_x0000_s1048" style="position:absolute;left:6376;top:4081;width:569;height:882;visibility:visible;mso-wrap-style:square;v-text-anchor:middle" coordsize="56959,882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" path="m26194,88202v-3334,,-6477,-286,-9240,-762c14192,86963,11621,86392,9430,85725,7239,85058,5334,84487,3715,83915,2096,83344,857,83058,,82963l952,62103r7811,l11144,76105v667,762,1524,1429,2572,2000c14764,78772,16002,79343,17335,79724v1334,477,2858,858,4382,1143c23336,81153,24955,81248,26670,81248v5715,,9906,-1238,12573,-3714c41910,75057,43244,71628,43244,67247v,-2287,-477,-4287,-1334,-6001c41053,59531,39719,57912,38100,56483,36385,55055,34385,53721,32004,52483,29623,51245,26956,49911,24003,48578,21622,47530,19145,46292,16478,44768,13811,43339,11335,41529,9144,39338,6858,37243,5048,34766,3524,31909,2000,29051,1238,25813,1238,22003v,-3239,667,-6192,2000,-8858c4572,10478,6477,8096,8858,6191,11335,4191,14192,2762,17621,1619,21050,572,24860,,28956,v2572,,5048,191,7429,572c38767,953,40862,1334,42767,1810v1905,476,3620,952,5144,1429c49340,3715,50578,4001,51435,4191r-762,19145l43148,23336,40386,10097v-381,-381,-857,-762,-1619,-1143c38005,8573,37052,8192,36100,7906,35052,7620,33909,7334,32671,7144,31432,6953,30099,6858,28670,6858v-5143,,-8953,952,-11335,2953c14954,11811,13716,14859,13716,18860v,2190,476,4095,1238,5715c15811,26194,17050,27718,18669,29051v1619,1334,3619,2763,6001,4001c27051,34385,29813,35814,32956,37338v2763,1429,5620,2858,8478,4477c44291,43434,46863,45244,49149,47244v2286,2000,4096,4382,5620,6953c56197,56769,56959,59817,56959,63341v,2953,-666,5906,-2000,8859c53626,75152,51721,77819,49149,80201v-2572,2381,-5715,4286,-9620,5715c35623,87440,31147,88202,26194,88202xe" stroked="f">
                    <v:stroke joinstyle="miter"/>
                    <v:path arrowok="t" o:connecttype="custom" o:connectlocs="26194,88202;16954,87440;9430,85725;3715,83915;0,82963;952,62103;8763,62103;11144,76105;13716,78105;17335,79724;21717,80867;26670,81248;39243,77534;43244,67247;41910,61246;38100,56483;32004,52483;24003,48578;16478,44768;9144,39338;3524,31909;1238,22003;3238,13145;8858,6191;17621,1619;28956,0;36385,572;42767,1810;47911,3239;51435,4191;50673,23336;43148,23336;40386,10097;38767,8954;36100,7906;32671,7144;28670,6858;17335,9811;13716,18860;14954,24575;18669,29051;24670,33052;32956,37338;41434,41815;49149,47244;54769,54197;56959,63341;54959,72200;49149,80201;39529,85916;26194,88202" o:connectangles="0,0,0,0,0,0,0,0,0,0,0,0,0,0,0,0,0,0,0,0,0,0,0,0,0,0,0,0,0,0,0,0,0,0,0,0,0,0,0,0,0,0,0,0,0,0,0,0,0,0,0"/>
                  </v:shape>
                  <v:shape id="Freeform: Shape 1334018740" o:spid="_x0000_s1049" style="position:absolute;left:7035;top:3961;width:566;height:1003;visibility:visible;mso-wrap-style:square;v-text-anchor:middle" coordsize="56673,1002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" path="m,81915c,79248,476,76772,1524,74676,2572,72580,3905,70675,5715,69056v1810,-1619,3810,-2953,6287,-4096c14383,63818,16954,62865,19717,62198v2762,-762,5619,-1238,8667,-1619c31433,60198,34385,60007,37243,59912r,-2953c37243,54293,37052,52102,36671,50292v-381,-1810,-1048,-3334,-1905,-4477c33814,44672,32575,43815,31052,43339v-1525,-476,-3525,-762,-5906,-762c23146,42577,21050,42767,19050,43148v-2000,381,-4000,857,-5810,1429c11335,45149,9620,45720,8096,46292v-1524,666,-2857,1238,-3905,1714l4096,48006,1524,42577v762,-667,2000,-1524,3810,-2572c7144,38957,9239,37909,11716,36957v2476,-953,5143,-1810,8001,-2572c22574,33623,25432,33338,28194,33338v4000,,7334,381,10001,1238c40958,35433,43148,36671,44863,38481v1714,1810,2952,4096,3619,6953c49244,48292,49625,51721,49625,55817r,36861l56674,92678r,5525c55912,98393,55054,98584,54102,98870v-1048,285,-2000,476,-3143,666c49911,99727,48768,99917,47625,100108v-1143,190,-2191,190,-3239,190c43339,100298,42386,100298,41624,100203v-762,-95,-1428,-381,-1905,-762c39243,99060,38862,98489,38576,97631v-286,-762,-381,-1905,-381,-3238l38195,92297v-476,477,-1333,1143,-2381,2001c34671,95155,33338,96107,31718,96965v-1619,857,-3429,1619,-5524,2285c24098,99917,21908,100203,19526,100203v-2572,,-5048,-381,-7429,-1048c9715,98489,7715,97346,5906,95917,4096,94488,2667,92583,1619,90202,571,87916,,85153,,81915xm27242,22479v-2953,,-5620,-572,-8002,-1619c16859,19812,14859,18383,13240,16574,11621,14764,10382,12764,9525,10382,8668,8001,8192,5620,8192,3048v,-572,,-1048,,-1619c8192,857,8287,381,8287,r6763,c15050,191,15050,476,15050,857v,381,95,762,95,1239c15335,2953,15621,4000,16002,5239v476,1143,1143,2286,2000,3334c18955,9620,20098,10477,21622,11240v1524,761,3334,1047,5620,1047c29432,12287,31337,11906,32766,11240v1429,-763,2572,-1620,3524,-2667c37148,7525,37814,6382,38195,5239v381,-1143,667,-2191,857,-3143c39148,1238,39243,476,39243,95r6477,c45720,476,45815,952,45815,1524v,572,95,1048,95,1619c45910,5715,45434,8192,44577,10477v-857,2382,-2096,4382,-3715,6192c39243,18478,37243,19907,34957,20955v-2382,1048,-4953,1524,-7715,1524xm24479,91535v762,,1715,-95,2858,-286c28384,91059,29527,90773,30766,90392v1143,-381,2286,-857,3524,-1428c35433,88392,36481,87821,37433,87058r,-20764c32956,66294,29146,66675,26098,67437v-3048,762,-5429,1810,-7239,3143c17050,71914,15811,73343,15050,75057v-762,1619,-1144,3429,-1144,5239c13906,82391,14192,84106,14764,85534v571,1429,1333,2572,2286,3525c18002,89916,19145,90583,20479,90964v1048,381,2476,571,4000,571xe" stroked="f">
                    <v:stroke joinstyle="miter"/>
                    <v:path arrowok="t" o:connecttype="custom" o:connectlocs="0,81915;1524,74676;5715,69056;12002,64960;19717,62198;28384,60579;37243,59912;37243,56959;36671,50292;34766,45815;31052,43339;25146,42577;19050,43148;13240,44577;8096,46292;4191,48006;4096,48006;1524,42577;5334,40005;11716,36957;19717,34385;28194,33338;38195,34576;44863,38481;48482,45434;49625,55817;49625,92678;56674,92678;56674,98203;54102,98870;50959,99536;47625,100108;44386,100298;41624,100203;39719,99441;38576,97631;38195,94393;38195,92297;35814,94298;31718,96965;26194,99250;19526,100203;12097,99155;5906,95917;1619,90202;0,81915;27242,22479;19240,20860;13240,16574;9525,10382;8192,3048;8192,1429;8287,0;15050,0;15050,857;15145,2096;16002,5239;18002,8573;21622,11240;27242,12287;32766,11240;36290,8573;38195,5239;39052,2096;39243,95;45720,95;45815,1524;45910,3143;44577,10477;40862,16669;34957,20955;27242,22479;24479,91535;27337,91249;30766,90392;34290,88964;37433,87058;37433,66294;26098,67437;18859,70580;15050,75057;13906,80296;14764,85534;17050,89059;20479,90964;24479,91535" o:connectangles="0,0,0,0,0,0,0,0,0,0,0,0,0,0,0,0,0,0,0,0,0,0,0,0,0,0,0,0,0,0,0,0,0,0,0,0,0,0,0,0,0,0,0,0,0,0,0,0,0,0,0,0,0,0,0,0,0,0,0,0,0,0,0,0,0,0,0,0,0,0,0,0,0,0,0,0,0,0,0,0,0,0,0,0,0,0"/>
                  </v:shape>
                  <v:shape id="Freeform: Shape 1336176234" o:spid="_x0000_s1050" style="position:absolute;left:7695;top:4292;width:690;height:658;visibility:visible;mso-wrap-style:square;v-text-anchor:middle" coordsize="69056,657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" path="m286,65723r,-6192l7906,58579r,-47054l,9049,,2286,16097,r286,l19145,2286r,4382l19050,9049c20288,7906,21812,6858,23622,5715,25432,4667,27432,3715,29432,2857,31528,2000,33623,1333,35814,762,38005,191,40100,,42100,v3715,,6763,476,9240,1524c53721,2572,55626,4096,57055,6286v1333,2191,2286,4954,2857,8383c60484,18002,60674,22098,60674,26860r,31719l69056,59531r,6192l40672,65723r,-6192l48101,58579r,-31719c48101,23813,48006,21241,47720,18955v-286,-2286,-762,-4191,-1619,-5620c45244,11811,44101,10668,42577,9906,41053,9144,39052,8763,36671,8763v-2857,,-5715,476,-8572,1524c25241,11335,22669,12668,20574,14192r,44387l28575,59531r,6192l286,65723xe" stroked="f">
                    <v:stroke joinstyle="miter"/>
                    <v:path arrowok="t" o:connecttype="custom" o:connectlocs="286,65723;286,59531;7906,58579;7906,11525;0,9049;0,2286;16097,0;16383,0;19145,2286;19145,6668;19050,9049;23622,5715;29432,2857;35814,762;42100,0;51340,1524;57055,6286;59912,14669;60674,26860;60674,58579;69056,59531;69056,65723;40672,65723;40672,59531;48101,58579;48101,26860;47720,18955;46101,13335;42577,9906;36671,8763;28099,10287;20574,14192;20574,58579;28575,59531;28575,65723;286,65723" o:connectangles="0,0,0,0,0,0,0,0,0,0,0,0,0,0,0,0,0,0,0,0,0,0,0,0,0,0,0,0,0,0,0,0,0,0,0,0"/>
                  </v:shape>
                  <v:shape id="Freeform: Shape 1225704579" o:spid="_x0000_s1051" style="position:absolute;left:8464;top:3961;width:567;height:1003;visibility:visible;mso-wrap-style:square;v-text-anchor:middle" coordsize="56673,1002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" path="m,81915c,79248,476,76772,1524,74676,2572,72580,3905,70675,5715,69056v1810,-1619,3810,-2953,6286,-4096c14383,63818,16954,62865,19717,62198v2762,-762,5619,-1238,8667,-1619c31432,60198,34385,60007,37243,59912r,-2953c37243,54293,37052,52102,36671,50292v-381,-1810,-1048,-3334,-1905,-4477c33814,44672,32575,43815,31051,43339v-1524,-476,-3524,-762,-5905,-762c23146,42577,21050,42767,19050,43148v-2000,381,-4001,857,-5810,1429c11335,45149,9620,45720,8096,46292v-1524,666,-2857,1238,-3905,1714l4096,48006,1524,42577v762,-667,2000,-1524,3810,-2572c7144,38957,9239,37909,11716,36957v2476,-953,5143,-1810,8001,-2572c22574,33623,25432,33338,28194,33338v4000,,7334,381,10001,1238c40957,35433,43148,36671,44863,38481v1714,1810,2952,4096,3619,6953c49244,48292,49625,51721,49625,55817r,36861l56674,92678r,5525c55912,98393,55054,98584,54102,98870v-1048,285,-2000,476,-3143,666c49911,99727,48768,99917,47625,100108v-1143,190,-2191,190,-3239,190c43339,100298,42386,100298,41624,100203v-762,-95,-1429,-381,-1905,-762c39243,99060,38862,98489,38576,97631v-286,-762,-381,-1905,-381,-3238l38195,92297v-476,477,-1333,1143,-2381,2001c34671,95155,33338,96107,31718,96965v-1619,857,-3429,1619,-5524,2285c24098,99917,21907,100203,19526,100203v-2572,,-5048,-381,-7429,-1048c9715,98489,7715,97346,5905,95917,4096,94488,2667,92583,1619,90202,476,87916,,85153,,81915xm27146,22479v-2952,,-5620,-572,-8001,-1619c16764,19812,14764,18383,13144,16574,11525,14764,10287,12764,9430,10382,8572,8001,8096,5620,8096,3048v,-572,,-1048,,-1619c8096,857,8192,381,8192,r6762,c14954,191,14954,476,14954,857v,381,95,762,95,1239c15240,2953,15526,4000,15907,5239v476,1143,1143,2286,2000,3334c18859,9620,20002,10477,21526,11240v1524,761,3334,1047,5620,1047c29337,12287,31242,11906,32671,11240v1428,-763,2571,-1620,3524,-2667c37052,7525,37719,6382,38100,5239v381,-1143,667,-2191,857,-3143c39052,1238,39148,476,39148,95r6477,c45625,476,45720,952,45720,1524v,572,95,1048,95,1619c45815,5715,45339,8192,44482,10477v-858,2382,-2096,4382,-3715,6192c39148,18478,37147,19907,34861,20955v-2286,1048,-4857,1524,-7715,1524xm24384,91535v762,,1714,-95,2858,-286c28289,91059,29432,90773,30670,90392v1143,-381,2286,-857,3525,-1428c35338,88392,36385,87821,37338,87058r,-20764c32861,66294,29051,66675,26003,67437v-3048,762,-5429,1810,-7239,3143c16954,71914,15716,73343,14954,75057v-762,1619,-1143,3429,-1143,5239c13811,82391,14097,84106,14669,85534v571,1429,1333,2572,2285,3525c17907,89916,19050,90583,20383,90964v1048,381,2477,571,4001,571xe" stroked="f">
                    <v:stroke joinstyle="miter"/>
                    <v:path arrowok="t" o:connecttype="custom" o:connectlocs="0,81915;1524,74676;5715,69056;12001,64960;19717,62198;28384,60579;37243,59912;37243,56959;36671,50292;34766,45815;31051,43339;25146,42577;19050,43148;13240,44577;8096,46292;4191,48006;4096,48006;1524,42577;5334,40005;11716,36957;19717,34385;28194,33338;38195,34576;44863,38481;48482,45434;49625,55817;49625,92678;56674,92678;56674,98203;54102,98870;50959,99536;47625,100108;44386,100298;41624,100203;39719,99441;38576,97631;38195,94393;38195,92297;35814,94298;31718,96965;26194,99250;19526,100203;12097,99155;5905,95917;1619,90202;0,81915;27146,22479;19145,20860;13144,16574;9430,10382;8096,3048;8096,1429;8192,0;14954,0;14954,857;15049,2096;15907,5239;17907,8573;21526,11240;27146,12287;32671,11240;36195,8573;38100,5239;38957,2096;39148,95;45625,95;45720,1524;45815,3143;44482,10477;40767,16669;34861,20955;27146,22479;24384,91535;27242,91249;30670,90392;34195,88964;37338,87058;37338,66294;26003,67437;18764,70580;14954,75057;13811,80296;14669,85534;16954,89059;20383,90964;24384,91535" o:connectangles="0,0,0,0,0,0,0,0,0,0,0,0,0,0,0,0,0,0,0,0,0,0,0,0,0,0,0,0,0,0,0,0,0,0,0,0,0,0,0,0,0,0,0,0,0,0,0,0,0,0,0,0,0,0,0,0,0,0,0,0,0,0,0,0,0,0,0,0,0,0,0,0,0,0,0,0,0,0,0,0,0,0,0,0,0,0"/>
                  </v:shape>
                  <v:shape id="Freeform: Shape 1970308897" o:spid="_x0000_s1052" style="position:absolute;left:9107;top:4151;width:416;height:812;visibility:visible;mso-wrap-style:square;v-text-anchor:middle" coordsize="41529,811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" path="m8192,67818r,-44101l,23717,,18383v1143,-381,2286,-762,3429,-1143c4572,16859,5429,16478,5905,16097v1239,-857,2287,-2286,3144,-4191c9334,11240,9715,10382,10192,9239v476,-1143,857,-2286,1333,-3429c12001,4667,12382,3524,12668,2476,13049,1429,13240,572,13430,r7239,l20669,15621r18955,l39624,23813r-18859,l20765,57626v,3334,,6001,95,7811c20955,67342,21241,68675,21622,69628v476,857,1047,1428,1905,1619c24384,71438,25622,71533,27051,71533r95,c28194,71533,29337,71438,30575,71342v1143,-190,2381,-286,3524,-571c35242,70580,36290,70295,37243,70104v952,-286,1714,-476,2286,-667l39624,69437r1905,5525c40672,75628,39338,76391,37814,77057v-1524,667,-3334,1429,-5143,2000c30766,79629,28861,80200,26860,80581v-2000,382,-3905,572,-5619,572l21145,81153v-2000,,-3810,-190,-5334,-667c14192,80010,12859,79248,11811,78296,10668,77248,9811,75914,9239,74200,8477,72390,8192,70295,8192,67818xe" stroked="f">
                    <v:stroke joinstyle="miter"/>
                    <v:path arrowok="t" o:connecttype="custom" o:connectlocs="8192,67818;8192,23717;0,23717;0,18383;3429,17240;5905,16097;9049,11906;10192,9239;11525,5810;12668,2476;13430,0;20669,0;20669,15621;39624,15621;39624,23813;20765,23813;20765,57626;20860,65437;21622,69628;23527,71247;27051,71533;27146,71533;30575,71342;34099,70771;37243,70104;39529,69437;39624,69437;41529,74962;37814,77057;32671,79057;26860,80581;21241,81153;21145,81153;15811,80486;11811,78296;9239,74200;8192,67818" o:connectangles="0,0,0,0,0,0,0,0,0,0,0,0,0,0,0,0,0,0,0,0,0,0,0,0,0,0,0,0,0,0,0,0,0,0,0,0,0"/>
                  </v:shape>
                  <v:shape id="Freeform: Shape 811528500" o:spid="_x0000_s1053" style="position:absolute;left:9587;top:4294;width:567;height:670;visibility:visible;mso-wrap-style:square;v-text-anchor:middle" coordsize="56673,66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" path="m,48577c,45910,476,43434,1524,41339,2572,39243,3905,37338,5715,35719v1810,-1620,3810,-2953,6286,-4096c14383,30480,16954,29527,19717,28861v2762,-667,5619,-1238,8667,-1619c31337,26860,34385,26670,37243,26575r,-2953c37243,20955,37052,18764,36671,16954v-381,-1809,-1048,-3333,-1905,-4476c33814,11335,32575,10477,31051,10001,29527,9525,27527,9239,25146,9239v-2000,,-4096,191,-6096,572c17050,10192,15049,10668,13240,11240v-1905,571,-3620,1142,-5144,1714c6572,13621,5239,14192,4191,14669r-95,l1524,9239c2191,8573,3524,7715,5334,6668,7144,5620,9239,4572,11716,3620v2476,-953,5143,-1810,8001,-2572c22574,286,25432,,28194,v4000,,7334,381,10001,1238c40957,2096,43148,3334,44863,5144v1714,1809,2952,4095,3619,6953c49244,14954,49625,18383,49625,22479r,36862l56674,59341r,5524c55912,65056,55054,65246,54102,65532v-1048,286,-2000,476,-3143,667c49911,66389,48768,66580,47625,66770v-1143,191,-2191,191,-3239,191c43339,66961,42386,66961,41624,66866v-762,-96,-1429,-382,-1905,-763c39243,65723,38862,65151,38671,64294v-285,-762,-381,-1905,-381,-3239l38290,58960v-476,476,-1333,1143,-2381,2000c34766,61817,33433,62770,31813,63627v-1619,857,-3429,1619,-5524,2286c24193,66580,22003,66866,19621,66866v-2571,,-5048,-382,-7429,-1048c9811,65151,7810,64008,6001,62579,4191,61150,2762,59246,1714,56864,571,54578,,51816,,48577xm24384,58198v762,,1714,-96,2857,-286c28289,57722,29432,57436,30670,57055v1143,-381,2286,-857,3525,-1429c35338,55054,36385,54483,37338,53721r,-20765c32861,32956,29051,33338,26003,34099v-3048,763,-5429,1810,-7239,3144c16954,38576,15716,40005,14954,41720v-762,1619,-1143,3429,-1143,5238c13811,49054,14097,50768,14668,52197v572,1429,1334,2572,2286,3524c17907,56578,19050,57245,20383,57626v1143,381,2477,572,4001,572xe" stroked="f">
                    <v:stroke joinstyle="miter"/>
                    <v:path arrowok="t" o:connecttype="custom" o:connectlocs="0,48577;1524,41339;5715,35719;12001,31623;19717,28861;28384,27242;37243,26575;37243,23622;36671,16954;34766,12478;31051,10001;25146,9239;19050,9811;13240,11240;8096,12954;4191,14669;4096,14669;1524,9239;5334,6668;11716,3620;19717,1048;28194,0;38195,1238;44863,5144;48482,12097;49625,22479;49625,59341;56674,59341;56674,64865;54102,65532;50959,66199;47625,66770;44386,66961;41624,66866;39719,66103;38671,64294;38290,61055;38290,58960;35909,60960;31813,63627;26289,65913;19621,66866;12192,65818;6001,62579;1714,56864;0,48577;24384,58198;27241,57912;30670,57055;34195,55626;37338,53721;37338,32956;26003,34099;18764,37243;14954,41720;13811,46958;14668,52197;16954,55721;20383,57626;24384,58198" o:connectangles="0,0,0,0,0,0,0,0,0,0,0,0,0,0,0,0,0,0,0,0,0,0,0,0,0,0,0,0,0,0,0,0,0,0,0,0,0,0,0,0,0,0,0,0,0,0,0,0,0,0,0,0,0,0,0,0,0,0,0,0"/>
                  </v:shape>
                  <v:shape id="Freeform: Shape 1983241850" o:spid="_x0000_s1054" style="position:absolute;left:10230;top:4151;width:416;height:812;visibility:visible;mso-wrap-style:square;v-text-anchor:middle" coordsize="41528,811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" path="m8191,67818r,-44101l,23717,,18383v1143,-381,2286,-762,3524,-1143c4667,16859,5524,16478,6001,16097v1238,-857,2286,-2286,3143,-4191c9430,11240,9811,10382,10287,9239v476,-1143,857,-2286,1333,-3429c12097,4667,12478,3524,12763,2476,13144,1429,13335,572,13525,r7239,l20764,15621r18955,l39719,23813r-18955,l20764,57626v,3334,,6001,96,7811c20955,67342,21241,68675,21622,69628v476,857,1047,1428,2000,1619c24479,71438,25622,71533,27146,71533r95,c28289,71533,29432,71438,30670,71342v1239,-95,2382,-286,3429,-571c35242,70580,36290,70295,37243,70104v952,-286,1714,-476,2286,-667l39624,69437r1905,5525c40576,75628,39433,76391,37814,77057v-1619,667,-3334,1429,-5143,2000c30766,79629,28861,80200,26860,80581v-2000,382,-3905,572,-5619,572l21145,81153v-2000,,-3810,-190,-5334,-667c14192,80010,12859,79248,11811,78296,10668,77248,9811,75914,9239,74200,8477,72390,8191,70295,8191,67818xe" stroked="f">
                    <v:stroke joinstyle="miter"/>
                    <v:path arrowok="t" o:connecttype="custom" o:connectlocs="8191,67818;8191,23717;0,23717;0,18383;3524,17240;6001,16097;9144,11906;10287,9239;11620,5810;12763,2476;13525,0;20764,0;20764,15621;39719,15621;39719,23813;20764,23813;20764,57626;20860,65437;21622,69628;23622,71247;27146,71533;27241,71533;30670,71342;34099,70771;37243,70104;39529,69437;39624,69437;41529,74962;37814,77057;32671,79057;26860,80581;21241,81153;21145,81153;15811,80486;11811,78296;9239,74200;8191,67818" o:connectangles="0,0,0,0,0,0,0,0,0,0,0,0,0,0,0,0,0,0,0,0,0,0,0,0,0,0,0,0,0,0,0,0,0,0,0,0,0"/>
                  </v:shape>
                  <v:shape id="Freeform: Shape 818194585" o:spid="_x0000_s1055" style="position:absolute;left:10710;top:4289;width:533;height:674;visibility:visible;mso-wrap-style:square;v-text-anchor:middle" coordsize="53244,674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" path="m28861,67437v-4763,,-8954,-857,-12573,-2477c12668,63341,9716,60960,7239,58007,4858,55055,3048,51435,1810,47339,572,43244,,38672,,33719,,28670,762,24098,2286,20003,3810,15907,5906,12383,8573,9334,11240,6382,14478,4096,18193,2477,21908,857,25908,,30290,v7143,,12668,1905,16573,5810c50768,9716,52959,15431,53245,22955v,2477,,4572,-95,6382c53054,31147,52864,32766,52578,34195r-39148,l13430,34576v191,4286,762,8001,1905,11049c16383,48673,17812,51149,19622,53150v1714,1905,3714,3333,6000,4191c27908,58198,30194,58674,32671,58674v1619,,3238,-191,4953,-476c39243,57912,40862,57531,42386,57055v1524,-476,2953,-1048,4191,-1715c47816,54674,48863,54102,49721,53435r2381,5525c51054,60008,49625,61151,47911,62103v-1715,1048,-3524,1905,-5620,2667c40196,65532,38100,66199,35719,66675v-2191,476,-4477,762,-6858,762xm27432,6953v-1905,,-3619,286,-5239,953c20574,8573,19145,9716,17907,11240v-1238,1619,-2191,3714,-2953,6286c14192,20193,13716,23432,13526,27432r26193,c39815,26670,39815,25908,39815,25051v,-857,,-1619,,-2286c39815,20669,39624,18669,39148,16764v-476,-1905,-1143,-3619,-2096,-5048c36100,10287,34766,9049,33242,8192,31718,7334,29813,6953,27432,6953xe" stroked="f">
                    <v:stroke joinstyle="miter"/>
                    <v:path arrowok="t" o:connecttype="custom" o:connectlocs="28861,67437;16288,64960;7239,58007;1810,47339;0,33719;2286,20003;8573,9334;18193,2477;30290,0;46863,5810;53245,22955;53150,29337;52578,34195;13430,34195;13430,34576;15335,45625;19622,53150;25622,57341;32671,58674;37624,58198;42386,57055;46577,55340;49721,53435;52102,58960;47911,62103;42291,64770;35719,66675;28861,67437;27432,6953;22193,7906;17907,11240;14954,17526;13526,27432;39719,27432;39815,25051;39815,22765;39148,16764;37052,11716;33242,8192;27432,6953" o:connectangles="0,0,0,0,0,0,0,0,0,0,0,0,0,0,0,0,0,0,0,0,0,0,0,0,0,0,0,0,0,0,0,0,0,0,0,0,0,0,0,0"/>
                  </v:shape>
                  <v:shape id="Freeform: Shape 2128765667" o:spid="_x0000_s1056" style="position:absolute;left:11719;top:4083;width:657;height:867;visibility:visible;mso-wrap-style:square;v-text-anchor:middle" coordsize="65722,866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" path="m,86678l,80486,9525,79057r,-70580l667,6953r,-6191l16002,762v1905,,3524,,4858,-95c22193,572,23622,476,24956,381,26384,286,27908,191,29527,95,31242,,33242,,35719,v5715,,10477,572,14383,1619c54007,2762,57055,4286,59341,6382v2286,2095,4000,4667,4953,7715c65246,17145,65723,20574,65723,24479v,4763,-858,9049,-2572,12764c61436,40957,59150,44101,56102,46673v-2953,2571,-6572,4476,-10573,5810c41434,53816,37052,54483,32290,54483v-1048,,-2191,,-3239,-95c28004,54388,26956,54293,26003,54293v-952,,-1714,-96,-2381,-191c22955,54007,22479,54007,22193,53912r,24955l37148,80391r,6191l,86582r,96xm22384,47244v571,95,1143,190,1714,286c24670,47625,25432,47625,26194,47625v762,,1714,95,2762,95c30004,47720,31242,47720,32575,47720v2477,,4858,-381,7240,-1047c42100,45910,44196,44672,46101,42958v1810,-1810,3334,-4191,4477,-7144c51721,32766,52197,29051,52197,24479v,-3238,-476,-6000,-1238,-8286c50197,13907,48863,12002,47244,10573,45625,9144,43529,8096,40957,7430,38481,6763,35528,6477,32194,6477v-1333,,-2476,,-3429,95c27813,6668,27051,6668,26289,6763v-667,95,-1333,190,-2000,286c23717,7144,23050,7144,22384,7144r,40100xe" stroked="f">
                    <v:stroke joinstyle="miter"/>
                    <v:path arrowok="t" o:connecttype="custom" o:connectlocs="0,86678;0,80486;9525,79057;9525,8477;667,6953;667,762;16002,762;20860,667;24956,381;29527,95;35719,0;50102,1619;59341,6382;64294,14097;65723,24479;63151,37243;56102,46673;45529,52483;32290,54483;29051,54388;26003,54293;23622,54102;22193,53912;22193,78867;37148,80391;37148,86582;0,86582;22384,47244;24098,47530;26194,47625;28956,47720;32575,47720;39815,46673;46101,42958;50578,35814;52197,24479;50959,16193;47244,10573;40957,7430;32194,6477;28765,6572;26289,6763;24289,7049;22384,7144;22384,47244" o:connectangles="0,0,0,0,0,0,0,0,0,0,0,0,0,0,0,0,0,0,0,0,0,0,0,0,0,0,0,0,0,0,0,0,0,0,0,0,0,0,0,0,0,0,0,0,0"/>
                  </v:shape>
                  <v:shape id="Freeform: Shape 1848773373" o:spid="_x0000_s1057" style="position:absolute;left:12460;top:4290;width:644;height:673;visibility:visible;mso-wrap-style:square;v-text-anchor:middle" coordsize="64388,673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" path="m53626,67342v-2382,,-4191,-476,-5430,-1334c46958,65151,46291,63532,46291,61150r,-2285c45244,59722,44005,60674,42577,61722v-1429,952,-3048,1905,-4763,2762c36100,65342,34195,66008,32290,66484v-1905,572,-3906,762,-6001,762c22765,67246,19812,66770,17240,65913v-2572,-857,-4572,-2381,-6191,-4382c9430,59531,8191,56959,7429,53816,6667,50673,6286,46768,6286,42196r,-32385l,7334,,1905,16288,95r95,l18955,1715r,39814c18955,44672,19145,47339,19431,49435v286,2190,952,3905,1810,5238c22098,56007,23241,57055,24765,57626v1524,572,3429,857,5715,857c32099,58483,33718,58293,35147,57912v1429,-381,2762,-762,4001,-1334c40386,56102,41529,55531,42481,54959v953,-571,1810,-1143,2477,-1619l44958,9716,36957,7239r,-5524l54292,r96,l57531,1619r,57722l64389,59341r,5619c63055,65342,61531,65818,59722,66389v-1810,762,-3810,953,-6096,953xe" stroked="f">
                    <v:stroke joinstyle="miter"/>
                    <v:path arrowok="t" o:connecttype="custom" o:connectlocs="53626,67342;48196,66008;46291,61150;46291,58865;42577,61722;37814,64484;32290,66484;26289,67246;17240,65913;11049,61531;7429,53816;6286,42196;6286,9811;0,7334;0,1905;16288,95;16383,95;18955,1715;18955,41529;19431,49435;21241,54673;24765,57626;30480,58483;35147,57912;39148,56578;42481,54959;44958,53340;44958,9716;36957,7239;36957,1715;54292,0;54388,0;57531,1619;57531,59341;64389,59341;64389,64960;59722,66389;53626,67342" o:connectangles="0,0,0,0,0,0,0,0,0,0,0,0,0,0,0,0,0,0,0,0,0,0,0,0,0,0,0,0,0,0,0,0,0,0,0,0,0,0"/>
                  </v:shape>
                  <v:shape id="Freeform: Shape 691057314" o:spid="_x0000_s1058" style="position:absolute;left:13148;top:4000;width:653;height:962;visibility:visible;mso-wrap-style:square;v-text-anchor:middle" coordsize="65341,96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" path="m9239,91821r,-82868l,7906,,2572,18860,r190,l21908,1905r,34671c22860,35624,24003,34671,25241,33814v1239,-953,2572,-1715,4096,-2477c30861,30575,32480,30004,34290,29623v1810,-476,3715,-667,5810,-667c43339,28956,46482,29527,49530,30766v3048,1238,5715,3048,8096,5619c60008,38957,61817,42196,63246,46196v1429,4001,2096,8763,2096,14383c65342,65532,64580,70199,63056,74486v-1524,4381,-3715,8096,-6573,11334c53626,89059,50102,91630,46006,93440v-4096,1905,-8763,2762,-13811,2762c29337,96202,26670,96012,24098,95726v-2571,-285,-4953,-762,-6953,-1143c15145,94107,13430,93631,12097,93154,10478,92678,9620,92202,9239,91821xm34671,37624v-1524,,-2953,190,-4286,571c29051,38576,27908,39052,26765,39624v-1047,572,-2000,1143,-2857,1905c23051,42196,22384,42863,21812,43529r,42577c22098,86773,22574,87344,23241,87725v667,476,1524,857,2477,1143c26670,89154,27813,89440,28956,89630v1238,191,2477,286,3810,286c35433,89916,37910,89345,40100,88201v2286,-1143,4191,-2857,5811,-5048c47530,80867,48863,78105,49816,74676v952,-3429,1429,-7334,1524,-11906c51435,58579,51054,54864,50197,51721v-857,-3144,-2000,-5715,-3524,-7811c45149,41815,43339,40291,41339,39243,39338,38100,37052,37624,34671,37624xe" stroked="f">
                    <v:stroke joinstyle="miter"/>
                    <v:path arrowok="t" o:connecttype="custom" o:connectlocs="9239,91821;9239,8953;0,7906;0,2572;18860,0;19050,0;21908,1905;21908,36576;25241,33814;29337,31337;34290,29623;40100,28956;49530,30766;57626,36385;63246,46196;65342,60579;63056,74486;56483,85820;46006,93440;32195,96202;24098,95726;17145,94583;12097,93154;9239,91821;34671,37624;30385,38195;26765,39624;23908,41529;21812,43529;21812,86106;23241,87725;25718,88868;28956,89630;32766,89916;40100,88201;45911,83153;49816,74676;51340,62770;50197,51721;46673,43910;41339,39243;34671,37624" o:connectangles="0,0,0,0,0,0,0,0,0,0,0,0,0,0,0,0,0,0,0,0,0,0,0,0,0,0,0,0,0,0,0,0,0,0,0,0,0,0,0,0,0,0"/>
                  </v:shape>
                  <v:shape id="Freeform: Shape 382821728" o:spid="_x0000_s1059" style="position:absolute;left:13888;top:4001;width:317;height:949;visibility:visible;mso-wrap-style:square;v-text-anchor:middle" coordsize="31718,948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" path="m,94869l,88678r9334,-953l9334,8954,,7906,,2572,18955,r95,l21908,2000r,85725l31718,88678r,6191l,94869xe" stroked="f">
                    <v:stroke joinstyle="miter"/>
                    <v:path arrowok="t" o:connecttype="custom" o:connectlocs="0,94869;0,88678;9334,87725;9334,8954;0,7906;0,2572;18955,0;19050,0;21908,2000;21908,87725;31718,88678;31718,94869;0,94869" o:connectangles="0,0,0,0,0,0,0,0,0,0,0,0,0"/>
                  </v:shape>
                  <v:shape id="Freeform: Shape 1352087755" o:spid="_x0000_s1060" style="position:absolute;left:14279;top:4017;width:311;height:933;visibility:visible;mso-wrap-style:square;v-text-anchor:middle" coordsize="31051,932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" path="m,93250l,87058r9334,-952l9334,39052,1429,36576r,-6763l18669,27527r286,l21908,29813r,56388l31051,87058r,6192l,93250xm13716,16859v-1048,,-2095,-190,-3048,-571c9811,15907,8954,15335,8382,14669,7715,14002,7239,13145,6953,12192,6572,11240,6477,10192,6477,9144v,-1238,190,-2381,572,-3429c7429,4667,7906,3620,8668,2762,9334,1905,10192,1238,11335,762,12383,286,13621,,15050,r95,c16383,,17526,191,18383,667v953,476,1715,1048,2382,1809c21431,3239,21908,4096,22193,4953v381,952,477,1905,477,2953c22670,9144,22479,10382,22098,11430v-381,1048,-857,2000,-1619,2858c19717,15145,18859,15716,17717,16193v-1143,380,-2477,666,-4001,666l13716,16859xe" stroked="f">
                    <v:stroke joinstyle="miter"/>
                    <v:path arrowok="t" o:connecttype="custom" o:connectlocs="0,93250;0,87058;9334,86106;9334,39052;1429,36576;1429,29813;18669,27527;18955,27527;21908,29813;21908,86201;31051,87058;31051,93250;0,93250;13716,16859;10668,16288;8382,14669;6953,12192;6477,9144;7049,5715;8668,2762;11335,762;15050,0;15145,0;18383,667;20765,2476;22193,4953;22670,7906;22098,11430;20479,14288;17717,16193;13716,16859;13716,16859" o:connectangles="0,0,0,0,0,0,0,0,0,0,0,0,0,0,0,0,0,0,0,0,0,0,0,0,0,0,0,0,0,0,0,0"/>
                  </v:shape>
                  <v:shape id="Freeform: Shape 162691539" o:spid="_x0000_s1061" style="position:absolute;left:14677;top:4291;width:504;height:674;visibility:visible;mso-wrap-style:square;v-text-anchor:middle" coordsize="50482,673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" path="m,34671c,30004,762,25527,2191,21336,3620,17145,5810,13430,8573,10287,11335,7144,14859,4572,18860,2762,22955,857,27527,,32671,v1905,,3715,95,5429,381c39815,667,41434,952,42958,1238v1524,381,2857,762,4000,1143c48101,2762,49054,3143,49816,3524r-572,16574l41624,20098,39053,10763c38100,9525,36862,8477,35338,7810,33814,7144,32004,6763,29908,6763v-2190,,-4191,476,-6191,1428c21717,9144,20003,10668,18479,12668v-1525,2000,-2763,4477,-3715,7430c13811,23050,13335,26479,13335,30480v,5048,476,9430,1524,12954c15907,47053,17240,49911,19050,52197v1715,2286,3715,3905,6001,4858c27337,58102,29718,58579,32195,58579v1809,,3429,-191,5048,-477c38767,57817,40291,57436,41529,56959v1334,-476,2477,-1047,3620,-1619c46196,54673,47244,54102,48006,53530r2477,5430c49435,60007,48196,61055,46673,62008v-1524,952,-3144,1905,-5049,2667c39719,65437,37814,66103,35719,66580v-2096,476,-4191,762,-6287,762c24575,67342,20288,66484,16669,64865,12954,63151,9906,60865,7429,58007,4953,55150,3048,51625,1810,47720,571,43815,,39243,,34671xe" stroked="f">
                    <v:stroke joinstyle="miter"/>
                    <v:path arrowok="t" o:connecttype="custom" o:connectlocs="0,34671;2191,21336;8573,10287;18860,2762;32671,0;38100,381;42958,1238;46958,2381;49816,3524;49244,20098;41624,20098;39053,10763;35338,7810;29908,6763;23717,8191;18479,12668;14764,20098;13335,30480;14859,43434;19050,52197;25051,57055;32195,58579;37243,58102;41529,56959;45149,55340;48006,53530;50483,58960;46673,62008;41624,64675;35719,66580;29432,67342;16669,64865;7429,58007;1810,47720;0,34671" o:connectangles="0,0,0,0,0,0,0,0,0,0,0,0,0,0,0,0,0,0,0,0,0,0,0,0,0,0,0,0,0,0,0,0,0,0,0"/>
                  </v:shape>
                  <v:shape id="Freeform: Shape 1773838945" o:spid="_x0000_s1062" style="position:absolute;left:15261;top:3961;width:567;height:1003;visibility:visible;mso-wrap-style:square;v-text-anchor:middle" coordsize="56673,1002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" path="m,81915c,79248,476,76772,1524,74676,2572,72580,3905,70675,5715,69056v1810,-1619,3810,-2953,6287,-4096c14383,63818,16954,62865,19717,62198v2762,-667,5620,-1238,8668,-1619c31337,60198,34385,60007,37243,59912r,-2953c37243,54293,37052,52102,36671,50292v-381,-1810,-1047,-3334,-1905,-4477c33814,44672,32575,43815,31052,43339v-1524,-476,-3525,-762,-5906,-762c23146,42577,21050,42767,19050,43148v-2000,381,-4000,857,-5810,1429c11335,45149,9620,45720,8096,46292v-1524,666,-2857,1238,-3905,1714l4096,48006,1524,42577v762,-667,2000,-1524,3810,-2572c7144,38957,9239,37909,11716,36957v2476,-953,5143,-1810,8001,-2572c22574,33623,25432,33338,28194,33338v4001,,7334,381,10001,1238c40958,35433,43148,36671,44863,38481v1714,1810,2953,4096,3619,6953c49244,48292,49625,51721,49625,55817r,36861l56674,92678r,5525c55912,98393,55150,98584,54102,98870v-952,285,-2000,476,-3143,666c49911,99727,48768,99917,47625,100108v-1143,190,-2191,190,-3238,190c43339,100298,42386,100298,41624,100203v-762,-95,-1428,-381,-1905,-762c39243,99060,38862,98489,38576,97631v-285,-762,-381,-1905,-381,-3238l38195,92297v-476,477,-1333,1143,-2381,2001c34671,95155,33338,96107,31718,96965v-1619,857,-3429,1619,-5524,2285c24098,99917,21908,100203,19526,100203v-2572,,-5048,-381,-7429,-1048c9716,98489,7715,97346,5906,95917,4096,94488,2667,92583,1619,90202,571,87916,,85153,,81915xm27242,22479v-2953,,-5620,-572,-8001,-1619c16859,19812,14859,18383,13240,16574,11621,14764,10382,12764,9525,10382,8668,8001,8192,5620,8192,3048v,-572,,-1048,,-1619c8192,857,8287,381,8382,r6763,c15145,191,15145,476,15145,857v,381,95,762,95,1239c15431,2953,15716,4000,16097,5239v477,1143,1143,2286,2001,3334c19050,9620,20193,10477,21717,11240v1429,761,3334,1047,5620,1047c29528,12287,31433,11906,32861,11240v1429,-667,2572,-1620,3525,-2667c37243,7525,37910,6382,38291,5239v380,-1143,666,-2191,857,-3143c39243,1238,39338,476,39338,95r6477,c45815,476,45911,952,45911,1524v,572,95,1048,95,1619c46006,5715,45529,8192,44672,10477v-857,2382,-2095,4382,-3714,6192c39338,18478,37338,19907,35052,20955v-2477,1048,-5048,1524,-7810,1524xm24384,91535v762,,1715,-95,2858,-286c28289,91059,29432,90773,30671,90392v1238,-381,2286,-857,3524,-1428c35338,88392,36386,87821,37338,87058r,-20764c32861,66294,29051,66675,26003,67437v-3048,762,-5429,1810,-7239,3143c16954,71914,15716,73343,14954,75057v-762,1619,-1143,3429,-1143,5239c13811,82391,14097,84106,14669,85534v571,1429,1333,2572,2285,3525c17907,89916,19050,90583,20383,90964v1144,381,2572,571,4001,571xe" stroked="f">
                    <v:stroke joinstyle="miter"/>
                    <v:path arrowok="t" o:connecttype="custom" o:connectlocs="0,81915;1524,74676;5715,69056;12002,64960;19717,62198;28385,60579;37243,59912;37243,56959;36671,50292;34766,45815;31052,43339;25146,42577;19050,43148;13240,44577;8096,46292;4191,48006;4096,48006;1524,42577;5334,40005;11716,36957;19717,34385;28194,33338;38195,34576;44863,38481;48482,45434;49625,55817;49625,92678;56674,92678;56674,98203;54102,98870;50959,99536;47625,100108;44387,100298;41624,100203;39719,99441;38576,97631;38195,94393;38195,92297;35814,94298;31718,96965;26194,99250;19526,100203;12097,99155;5906,95917;1619,90202;0,81915;27242,22479;19241,20860;13240,16574;9525,10382;8192,3048;8192,1429;8382,0;15145,0;15145,857;15240,2096;16097,5239;18098,8573;21717,11240;27337,12287;32861,11240;36386,8573;38291,5239;39148,2096;39338,95;45815,95;45911,1524;46006,3143;44672,10477;40958,16669;35052,20955;27242,22479;24384,91535;27242,91249;30671,90392;34195,88964;37338,87058;37338,66294;26003,67437;18764,70580;14954,75057;13811,80296;14669,85534;16954,89059;20383,90964;24384,91535" o:connectangles="0,0,0,0,0,0,0,0,0,0,0,0,0,0,0,0,0,0,0,0,0,0,0,0,0,0,0,0,0,0,0,0,0,0,0,0,0,0,0,0,0,0,0,0,0,0,0,0,0,0,0,0,0,0,0,0,0,0,0,0,0,0,0,0,0,0,0,0,0,0,0,0,0,0,0,0,0,0,0,0,0,0,0,0,0,0"/>
                  </v:shape>
                </v:group>
                <v:group id="Graphic 1" o:spid="_x0000_s1063" style="position:absolute;top:596;width:4368;height:5721" coordorigin=",623" coordsize="4371,57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">
                  <v:shape id="Freeform: Shape 1706646313" o:spid="_x0000_s1064" style="position:absolute;left:3324;top:1265;width:676;height:677;visibility:visible;mso-wrap-style:square;v-text-anchor:middle" coordsize="67627,676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" path="m33814,67627v18669,,33813,-15144,33813,-33813c67627,15145,52483,,33814,,15145,,,15145,,33814,,52483,15145,67627,33814,67627xe" stroked="f">
                    <v:stroke joinstyle="miter"/>
                    <v:path arrowok="t" o:connecttype="custom" o:connectlocs="33814,67627;67627,33814;33814,0;0,33814;33814,67627" o:connectangles="0,0,0,0,0"/>
                  </v:shape>
                  <v:shape id="Freeform: Shape 1025552749" o:spid="_x0000_s1065" style="position:absolute;left:2404;top:1113;width:710;height:711;visibility:visible;mso-wrap-style:square;v-text-anchor:middle" coordsize="71056,710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" path="m35529,71057v19621,,35528,-15907,35528,-35529c71057,15907,55150,,35529,,15907,,,15907,,35528,-95,55150,15907,71057,35529,71057xe" stroked="f">
                    <v:stroke joinstyle="miter"/>
                    <v:path arrowok="t" o:connecttype="custom" o:connectlocs="35529,71057;71057,35528;35529,0;0,35528;35529,71057" o:connectangles="0,0,0,0,0"/>
                  </v:shape>
                  <v:shape id="Freeform: Shape 1065229289" o:spid="_x0000_s1066" style="position:absolute;top:623;width:4371;height:5723;visibility:visible;mso-wrap-style:square;v-text-anchor:middle" coordsize="437197,5722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" path="m218694,v-95,,-95,,,c218599,,218599,,218599,v-3905,,-7715,95,-11621,95c203644,95,200406,190,197072,286v,,,,,c126302,1905,59531,11335,,27051l,350711v,48291,24194,93344,64580,119919l218599,572262,372618,470630v40386,-26575,64580,-71628,64580,-119919l437198,27051c371666,9811,297275,,218694,xm161354,48863v19621,,35528,15907,35528,35529c196882,104013,180975,119920,161354,119920v-19622,,-35529,-15907,-35529,-35528c125730,64770,141637,48863,161354,48863xm65818,64294v18669,,33814,15145,33814,33718c99632,116681,84487,131826,65818,131826v-18669,,-33814,-15145,-33814,-33814c32004,79343,47149,64294,65818,64294xm416719,183928c356330,169831,289274,161925,218599,161925v,,,,,l218599,259271v11049,-17336,30480,-28861,52483,-28861c305467,230410,333470,258318,333470,292799v,80867,-114871,143637,-114871,143637l218599,547783,198215,534162,75819,453485c41148,430625,20479,392144,20479,350615r,-166687c80867,169831,147923,161925,218599,161925v,,,,95,l218694,20383r,c287179,20383,355283,28099,416814,42863r,141065l416719,183928xe" stroked="f">
                    <v:stroke joinstyle="miter"/>
                    <v:path arrowok="t" o:connecttype="custom" o:connectlocs="218694,0;218694,0;218599,0;206978,95;197072,286;197072,286;0,27051;0,350711;64580,470630;218599,572262;372618,470630;437198,350711;437198,27051;218694,0;161354,48863;196882,84392;161354,119920;125825,84392;161354,48863;65818,64294;99632,98012;65818,131826;32004,98012;65818,64294;416719,183928;218599,161925;218599,161925;218599,259271;271082,230410;333470,292799;218599,436436;218599,547783;198215,534162;75819,453485;20479,350615;20479,183928;218599,161925;218694,161925;218694,20383;218694,20383;416814,42863;416814,183928" o:connectangles="0,0,0,0,0,0,0,0,0,0,0,0,0,0,0,0,0,0,0,0,0,0,0,0,0,0,0,0,0,0,0,0,0,0,0,0,0,0,0,0,0,0"/>
                  </v:shape>
                  <v:shape id="Freeform: Shape 1993586349" o:spid="_x0000_s1067" style="position:absolute;left:1037;top:2927;width:1148;height:2061;visibility:visible;mso-wrap-style:square;v-text-anchor:middle" coordsize="114871,206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" path="m114872,28861r,177165c114872,206026,,143256,,62389,,27908,27908,,62294,v22098,,41433,11525,52578,28861xe" stroked="f">
                    <v:stroke joinstyle="miter"/>
                    <v:path arrowok="t" o:connecttype="custom" o:connectlocs="114872,28861;114872,206026;0,62389;62294,0;114872,28861" o:connectangles="0,0,0,0,0"/>
                  </v:shape>
                </v:group>
                <v:shape id="Freeform: Shape 3" o:spid="_x0000_s1068" style="position:absolute;left:1073;width:2210;height:355;visibility:visible;mso-wrap-style:square;v-text-anchor:middle" coordsize="221170,360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" path="m,l,36100r221171,l221171,,,xm110585,24098r-98583,l12002,12002r98583,l110585,24098xe" stroked="f">
                  <v:stroke joinstyle="miter"/>
                  <v:path arrowok="t" o:connecttype="custom" o:connectlocs="0,0;0,35561;220981,35561;220981,0;0,0;110490,23738;11992,23738;11992,11823;110490,11823;110490,23738" o:connectangles="0,0,0,0,0,0,0,0,0,0"/>
                </v:shape>
                <w10:wrap anchorx="page" anchory="page"/>
                <w10:anchorlock/>
              </v:group>
            </w:pict>
          </mc:Fallback>
        </mc:AlternateContent>
      </w:r>
      <w:r>
        <w:rPr>
          <w:noProof/>
        </w:rPr>
        <mc:AlternateContent>
          <mc:Choice Requires="wps">
            <w:drawing>
              <wp:anchor distT="0" distB="0" distL="114300" distR="114300" simplePos="0" relativeHeight="251655168" behindDoc="0" locked="1" layoutInCell="1" allowOverlap="0" wp14:anchorId="14743ED7" wp14:editId="276D1397">
                <wp:simplePos x="0" y="0"/>
                <wp:positionH relativeFrom="page">
                  <wp:posOffset>635</wp:posOffset>
                </wp:positionH>
                <wp:positionV relativeFrom="page">
                  <wp:posOffset>635</wp:posOffset>
                </wp:positionV>
                <wp:extent cx="810260" cy="10692130"/>
                <wp:effectExtent l="0" t="0" r="0" b="0"/>
                <wp:wrapTopAndBottom/>
                <wp:docPr id="1153950916"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10260" cy="10692130"/>
                        </a:xfrm>
                        <a:prstGeom prst="rect">
                          <a:avLst/>
                        </a:prstGeom>
                        <a:solidFill>
                          <a:sysClr val="window" lastClr="FFFFFF"/>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1AC36B" id="Rectangle 22" o:spid="_x0000_s1026" style="position:absolute;margin-left:.05pt;margin-top:.05pt;width:63.8pt;height:841.9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" o:allowoverlap="f" fillcolor="window" stroked="f" strokeweight="1pt">
                <w10:wrap type="topAndBottom" anchorx="page" anchory="page"/>
                <w10:anchorlock/>
              </v:rect>
            </w:pict>
          </mc:Fallback>
        </mc:AlternateContent>
      </w:r>
      <w:r>
        <w:rPr>
          <w:noProof/>
        </w:rPr>
        <mc:AlternateContent>
          <mc:Choice Requires="wps">
            <w:drawing>
              <wp:anchor distT="0" distB="0" distL="114300" distR="114300" simplePos="0" relativeHeight="251653120" behindDoc="0" locked="1" layoutInCell="1" allowOverlap="0" wp14:anchorId="4A9B72EE" wp14:editId="67930E7E">
                <wp:simplePos x="0" y="0"/>
                <wp:positionH relativeFrom="page">
                  <wp:posOffset>-29845</wp:posOffset>
                </wp:positionH>
                <wp:positionV relativeFrom="page">
                  <wp:posOffset>635</wp:posOffset>
                </wp:positionV>
                <wp:extent cx="7558405" cy="10691495"/>
                <wp:effectExtent l="0" t="635" r="0" b="4445"/>
                <wp:wrapSquare wrapText="bothSides"/>
                <wp:docPr id="265011557"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8405" cy="10691495"/>
                        </a:xfrm>
                        <a:prstGeom prst="rect">
                          <a:avLst/>
                        </a:prstGeom>
                        <a:solidFill>
                          <a:srgbClr val="262262"/>
                        </a:solidFill>
                        <a:ln>
                          <a:noFill/>
                        </a:ln>
                        <a:extLst>
                          <a:ext uri="{91240B29-F687-4F45-9708-019B960494DF}">
                            <a14:hiddenLine xmlns:a14="http://schemas.microsoft.com/office/drawing/2010/main" w="12700" algn="ctr">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33F97FA1" id="Rectangle 1" o:spid="_x0000_s1026" style="position:absolute;margin-left:-2.35pt;margin-top:.05pt;width:595.15pt;height:841.85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" o:allowoverlap="f" fillcolor="#262262" stroked="f" strokeweight="1pt">
                <w10:wrap type="square" anchorx="page" anchory="page"/>
                <w10:anchorlock/>
              </v:rect>
            </w:pict>
          </mc:Fallback>
        </mc:AlternateContent>
      </w:r>
    </w:p>
    <w:p w14:paraId="124CCB44" w14:textId="0408823E" w:rsidR="00CD3152" w:rsidRPr="006E0160" w:rsidRDefault="00CD3152" w:rsidP="00CD3152">
      <w:pPr>
        <w:pStyle w:val="Title"/>
        <w:jc w:val="center"/>
      </w:pPr>
      <w:r w:rsidRPr="006E0160">
        <w:lastRenderedPageBreak/>
        <w:t xml:space="preserve">PREVENȚIA CONSUMULUI DE </w:t>
      </w:r>
    </w:p>
    <w:p w14:paraId="41B4E16C" w14:textId="50819D43" w:rsidR="00687BFD" w:rsidRDefault="009E3553">
      <w:pPr>
        <w:pStyle w:val="TOC1"/>
        <w:rPr>
          <w:rFonts w:asciiTheme="minorHAnsi" w:eastAsiaTheme="minorEastAsia" w:hAnsiTheme="minorHAnsi" w:cstheme="minorBidi"/>
          <w:b w:val="0"/>
          <w:bCs w:val="0"/>
          <w:noProof/>
          <w:color w:val="auto"/>
          <w:kern w:val="2"/>
          <w:sz w:val="24"/>
          <w:szCs w:val="24"/>
          <w:lang w:eastAsia="ro-RO"/>
          <w14:ligatures w14:val="standardContextual"/>
        </w:rPr>
      </w:pPr>
      <w:r>
        <w:fldChar w:fldCharType="begin"/>
      </w:r>
      <w:r>
        <w:instrText xml:space="preserve"> TOC \o "1-3" \h \z \u </w:instrText>
      </w:r>
      <w:r>
        <w:fldChar w:fldCharType="separate"/>
      </w:r>
      <w:hyperlink w:anchor="_Toc232660551" w:history="1">
        <w:r w:rsidR="00687BFD" w:rsidRPr="003E6E75">
          <w:rPr>
            <w:rStyle w:val="Hyperlink"/>
            <w:noProof/>
          </w:rPr>
          <w:t>Cap I</w:t>
        </w:r>
        <w:r w:rsidR="003C2E75">
          <w:rPr>
            <w:rStyle w:val="Hyperlink"/>
            <w:noProof/>
          </w:rPr>
          <w:t xml:space="preserve"> </w:t>
        </w:r>
        <w:r w:rsidR="00687BFD" w:rsidRPr="003E6E75">
          <w:rPr>
            <w:rStyle w:val="Hyperlink"/>
            <w:noProof/>
          </w:rPr>
          <w:t>Consumul de tutun ca problemă de sănătate publică</w:t>
        </w:r>
        <w:r w:rsidR="00687BFD">
          <w:rPr>
            <w:noProof/>
            <w:webHidden/>
          </w:rPr>
          <w:tab/>
        </w:r>
        <w:r w:rsidR="00687BFD">
          <w:rPr>
            <w:noProof/>
            <w:webHidden/>
          </w:rPr>
          <w:fldChar w:fldCharType="begin"/>
        </w:r>
        <w:r w:rsidR="00687BFD">
          <w:rPr>
            <w:noProof/>
            <w:webHidden/>
          </w:rPr>
          <w:instrText xml:space="preserve"> PAGEREF _Toc232660551 \h </w:instrText>
        </w:r>
        <w:r w:rsidR="00687BFD">
          <w:rPr>
            <w:noProof/>
            <w:webHidden/>
          </w:rPr>
        </w:r>
        <w:r w:rsidR="00687BFD">
          <w:rPr>
            <w:noProof/>
            <w:webHidden/>
          </w:rPr>
          <w:fldChar w:fldCharType="separate"/>
        </w:r>
        <w:r w:rsidR="00687BFD">
          <w:rPr>
            <w:noProof/>
            <w:webHidden/>
          </w:rPr>
          <w:t>4</w:t>
        </w:r>
        <w:r w:rsidR="00687BFD">
          <w:rPr>
            <w:noProof/>
            <w:webHidden/>
          </w:rPr>
          <w:fldChar w:fldCharType="end"/>
        </w:r>
      </w:hyperlink>
    </w:p>
    <w:p w14:paraId="5338CA1E" w14:textId="5CC5C42B" w:rsidR="00687BFD" w:rsidRDefault="00687BFD">
      <w:pPr>
        <w:pStyle w:val="TOC2"/>
        <w:tabs>
          <w:tab w:val="right" w:leader="dot" w:pos="9202"/>
        </w:tabs>
        <w:rPr>
          <w:rFonts w:asciiTheme="minorHAnsi" w:eastAsiaTheme="minorEastAsia" w:hAnsiTheme="minorHAnsi" w:cstheme="minorBidi"/>
          <w:noProof/>
          <w:color w:val="auto"/>
          <w:kern w:val="2"/>
          <w:sz w:val="24"/>
          <w:szCs w:val="24"/>
          <w:lang w:eastAsia="ro-RO"/>
          <w14:ligatures w14:val="standardContextual"/>
        </w:rPr>
      </w:pPr>
      <w:hyperlink w:anchor="_Toc232660552" w:history="1">
        <w:r w:rsidRPr="003E6E75">
          <w:rPr>
            <w:rStyle w:val="Hyperlink"/>
            <w:noProof/>
          </w:rPr>
          <w:t>I.1.Prevalența consumului de produse de tutun la populația 15 ani și peste în România și statele membre ale UE</w:t>
        </w:r>
        <w:r>
          <w:rPr>
            <w:noProof/>
            <w:webHidden/>
          </w:rPr>
          <w:tab/>
        </w:r>
        <w:r>
          <w:rPr>
            <w:noProof/>
            <w:webHidden/>
          </w:rPr>
          <w:fldChar w:fldCharType="begin"/>
        </w:r>
        <w:r>
          <w:rPr>
            <w:noProof/>
            <w:webHidden/>
          </w:rPr>
          <w:instrText xml:space="preserve"> PAGEREF _Toc232660552 \h </w:instrText>
        </w:r>
        <w:r>
          <w:rPr>
            <w:noProof/>
            <w:webHidden/>
          </w:rPr>
        </w:r>
        <w:r>
          <w:rPr>
            <w:noProof/>
            <w:webHidden/>
          </w:rPr>
          <w:fldChar w:fldCharType="separate"/>
        </w:r>
        <w:r>
          <w:rPr>
            <w:noProof/>
            <w:webHidden/>
          </w:rPr>
          <w:t>4</w:t>
        </w:r>
        <w:r>
          <w:rPr>
            <w:noProof/>
            <w:webHidden/>
          </w:rPr>
          <w:fldChar w:fldCharType="end"/>
        </w:r>
      </w:hyperlink>
    </w:p>
    <w:p w14:paraId="44AED197" w14:textId="6560CA02" w:rsidR="00687BFD" w:rsidRDefault="00687BFD" w:rsidP="009C6489">
      <w:pPr>
        <w:pStyle w:val="TOC3"/>
        <w:tabs>
          <w:tab w:val="right" w:leader="dot" w:pos="9202"/>
        </w:tabs>
        <w:ind w:left="0" w:firstLine="0"/>
        <w:rPr>
          <w:rFonts w:asciiTheme="minorHAnsi" w:eastAsiaTheme="minorEastAsia" w:hAnsiTheme="minorHAnsi" w:cstheme="minorBidi"/>
          <w:noProof/>
          <w:color w:val="auto"/>
          <w:kern w:val="2"/>
          <w:sz w:val="24"/>
          <w:szCs w:val="24"/>
          <w:lang w:eastAsia="ro-RO"/>
          <w14:ligatures w14:val="standardContextual"/>
        </w:rPr>
      </w:pPr>
      <w:hyperlink w:anchor="_Toc232660553" w:history="1">
        <w:r w:rsidRPr="003E6E75">
          <w:rPr>
            <w:rStyle w:val="Hyperlink"/>
            <w:noProof/>
          </w:rPr>
          <w:t>Prevalența consumului de tutun convențional la populația 15 ani și peste în România</w:t>
        </w:r>
        <w:r>
          <w:rPr>
            <w:noProof/>
            <w:webHidden/>
          </w:rPr>
          <w:tab/>
        </w:r>
        <w:r>
          <w:rPr>
            <w:noProof/>
            <w:webHidden/>
          </w:rPr>
          <w:fldChar w:fldCharType="begin"/>
        </w:r>
        <w:r>
          <w:rPr>
            <w:noProof/>
            <w:webHidden/>
          </w:rPr>
          <w:instrText xml:space="preserve"> PAGEREF _Toc232660553 \h </w:instrText>
        </w:r>
        <w:r>
          <w:rPr>
            <w:noProof/>
            <w:webHidden/>
          </w:rPr>
        </w:r>
        <w:r>
          <w:rPr>
            <w:noProof/>
            <w:webHidden/>
          </w:rPr>
          <w:fldChar w:fldCharType="separate"/>
        </w:r>
        <w:r>
          <w:rPr>
            <w:noProof/>
            <w:webHidden/>
          </w:rPr>
          <w:t>4</w:t>
        </w:r>
        <w:r>
          <w:rPr>
            <w:noProof/>
            <w:webHidden/>
          </w:rPr>
          <w:fldChar w:fldCharType="end"/>
        </w:r>
      </w:hyperlink>
    </w:p>
    <w:p w14:paraId="01AB6EE4" w14:textId="2A120D4B" w:rsidR="00687BFD" w:rsidRDefault="00687BFD" w:rsidP="009C6489">
      <w:pPr>
        <w:pStyle w:val="TOC3"/>
        <w:tabs>
          <w:tab w:val="right" w:leader="dot" w:pos="9202"/>
        </w:tabs>
        <w:ind w:left="0" w:firstLine="0"/>
        <w:rPr>
          <w:rFonts w:asciiTheme="minorHAnsi" w:eastAsiaTheme="minorEastAsia" w:hAnsiTheme="minorHAnsi" w:cstheme="minorBidi"/>
          <w:noProof/>
          <w:color w:val="auto"/>
          <w:kern w:val="2"/>
          <w:sz w:val="24"/>
          <w:szCs w:val="24"/>
          <w:lang w:eastAsia="ro-RO"/>
          <w14:ligatures w14:val="standardContextual"/>
        </w:rPr>
      </w:pPr>
      <w:hyperlink w:anchor="_Toc232660554" w:history="1">
        <w:r w:rsidRPr="003E6E75">
          <w:rPr>
            <w:rStyle w:val="Hyperlink"/>
            <w:noProof/>
            <w:lang w:eastAsia="ro-RO" w:bidi="ro-RO"/>
          </w:rPr>
          <w:t>Prevalența consumului de tutun convențional la populația 15 ani – comparații internaționale</w:t>
        </w:r>
        <w:r>
          <w:rPr>
            <w:noProof/>
            <w:webHidden/>
          </w:rPr>
          <w:tab/>
        </w:r>
        <w:r>
          <w:rPr>
            <w:noProof/>
            <w:webHidden/>
          </w:rPr>
          <w:fldChar w:fldCharType="begin"/>
        </w:r>
        <w:r>
          <w:rPr>
            <w:noProof/>
            <w:webHidden/>
          </w:rPr>
          <w:instrText xml:space="preserve"> PAGEREF _Toc232660554 \h </w:instrText>
        </w:r>
        <w:r>
          <w:rPr>
            <w:noProof/>
            <w:webHidden/>
          </w:rPr>
        </w:r>
        <w:r>
          <w:rPr>
            <w:noProof/>
            <w:webHidden/>
          </w:rPr>
          <w:fldChar w:fldCharType="separate"/>
        </w:r>
        <w:r>
          <w:rPr>
            <w:noProof/>
            <w:webHidden/>
          </w:rPr>
          <w:t>7</w:t>
        </w:r>
        <w:r>
          <w:rPr>
            <w:noProof/>
            <w:webHidden/>
          </w:rPr>
          <w:fldChar w:fldCharType="end"/>
        </w:r>
      </w:hyperlink>
    </w:p>
    <w:p w14:paraId="28C9DCEC" w14:textId="1264CBAC" w:rsidR="00687BFD" w:rsidRDefault="00687BFD" w:rsidP="009C6489">
      <w:pPr>
        <w:pStyle w:val="TOC3"/>
        <w:tabs>
          <w:tab w:val="right" w:leader="dot" w:pos="9202"/>
        </w:tabs>
        <w:ind w:left="0" w:firstLine="0"/>
        <w:rPr>
          <w:rFonts w:asciiTheme="minorHAnsi" w:eastAsiaTheme="minorEastAsia" w:hAnsiTheme="minorHAnsi" w:cstheme="minorBidi"/>
          <w:noProof/>
          <w:color w:val="auto"/>
          <w:kern w:val="2"/>
          <w:sz w:val="24"/>
          <w:szCs w:val="24"/>
          <w:lang w:eastAsia="ro-RO"/>
          <w14:ligatures w14:val="standardContextual"/>
        </w:rPr>
      </w:pPr>
      <w:hyperlink w:anchor="_Toc232660555" w:history="1">
        <w:r w:rsidRPr="003E6E75">
          <w:rPr>
            <w:rStyle w:val="Hyperlink"/>
            <w:noProof/>
          </w:rPr>
          <w:t>Prevalența utilizării zilnice și ocazionale de țigări electronice sau dispozitive electronice similare la populația 15 ani și peste</w:t>
        </w:r>
        <w:r>
          <w:rPr>
            <w:noProof/>
            <w:webHidden/>
          </w:rPr>
          <w:tab/>
        </w:r>
        <w:r>
          <w:rPr>
            <w:noProof/>
            <w:webHidden/>
          </w:rPr>
          <w:fldChar w:fldCharType="begin"/>
        </w:r>
        <w:r>
          <w:rPr>
            <w:noProof/>
            <w:webHidden/>
          </w:rPr>
          <w:instrText xml:space="preserve"> PAGEREF _Toc232660555 \h </w:instrText>
        </w:r>
        <w:r>
          <w:rPr>
            <w:noProof/>
            <w:webHidden/>
          </w:rPr>
        </w:r>
        <w:r>
          <w:rPr>
            <w:noProof/>
            <w:webHidden/>
          </w:rPr>
          <w:fldChar w:fldCharType="separate"/>
        </w:r>
        <w:r>
          <w:rPr>
            <w:noProof/>
            <w:webHidden/>
          </w:rPr>
          <w:t>11</w:t>
        </w:r>
        <w:r>
          <w:rPr>
            <w:noProof/>
            <w:webHidden/>
          </w:rPr>
          <w:fldChar w:fldCharType="end"/>
        </w:r>
      </w:hyperlink>
    </w:p>
    <w:p w14:paraId="632D1723" w14:textId="7D9FCCFC" w:rsidR="00687BFD" w:rsidRDefault="00687BFD" w:rsidP="009C6489">
      <w:pPr>
        <w:pStyle w:val="TOC3"/>
        <w:tabs>
          <w:tab w:val="right" w:leader="dot" w:pos="9202"/>
        </w:tabs>
        <w:ind w:left="0" w:firstLine="0"/>
        <w:rPr>
          <w:rFonts w:asciiTheme="minorHAnsi" w:eastAsiaTheme="minorEastAsia" w:hAnsiTheme="minorHAnsi" w:cstheme="minorBidi"/>
          <w:noProof/>
          <w:color w:val="auto"/>
          <w:kern w:val="2"/>
          <w:sz w:val="24"/>
          <w:szCs w:val="24"/>
          <w:lang w:eastAsia="ro-RO"/>
          <w14:ligatures w14:val="standardContextual"/>
        </w:rPr>
      </w:pPr>
      <w:hyperlink w:anchor="_Toc232660556" w:history="1">
        <w:r w:rsidRPr="003E6E75">
          <w:rPr>
            <w:rStyle w:val="Hyperlink"/>
            <w:noProof/>
          </w:rPr>
          <w:t>Concluzii privind prevalența consumului de produse de tutun la adulți</w:t>
        </w:r>
        <w:r>
          <w:rPr>
            <w:noProof/>
            <w:webHidden/>
          </w:rPr>
          <w:tab/>
        </w:r>
        <w:r>
          <w:rPr>
            <w:noProof/>
            <w:webHidden/>
          </w:rPr>
          <w:fldChar w:fldCharType="begin"/>
        </w:r>
        <w:r>
          <w:rPr>
            <w:noProof/>
            <w:webHidden/>
          </w:rPr>
          <w:instrText xml:space="preserve"> PAGEREF _Toc232660556 \h </w:instrText>
        </w:r>
        <w:r>
          <w:rPr>
            <w:noProof/>
            <w:webHidden/>
          </w:rPr>
        </w:r>
        <w:r>
          <w:rPr>
            <w:noProof/>
            <w:webHidden/>
          </w:rPr>
          <w:fldChar w:fldCharType="separate"/>
        </w:r>
        <w:r>
          <w:rPr>
            <w:noProof/>
            <w:webHidden/>
          </w:rPr>
          <w:t>16</w:t>
        </w:r>
        <w:r>
          <w:rPr>
            <w:noProof/>
            <w:webHidden/>
          </w:rPr>
          <w:fldChar w:fldCharType="end"/>
        </w:r>
      </w:hyperlink>
    </w:p>
    <w:p w14:paraId="53DD7C8B" w14:textId="2A0389A7" w:rsidR="00687BFD" w:rsidRDefault="00687BFD">
      <w:pPr>
        <w:pStyle w:val="TOC2"/>
        <w:tabs>
          <w:tab w:val="right" w:leader="dot" w:pos="9202"/>
        </w:tabs>
        <w:rPr>
          <w:rFonts w:asciiTheme="minorHAnsi" w:eastAsiaTheme="minorEastAsia" w:hAnsiTheme="minorHAnsi" w:cstheme="minorBidi"/>
          <w:noProof/>
          <w:color w:val="auto"/>
          <w:kern w:val="2"/>
          <w:sz w:val="24"/>
          <w:szCs w:val="24"/>
          <w:lang w:eastAsia="ro-RO"/>
          <w14:ligatures w14:val="standardContextual"/>
        </w:rPr>
      </w:pPr>
      <w:hyperlink w:anchor="_Toc232660557" w:history="1">
        <w:r w:rsidRPr="003E6E75">
          <w:rPr>
            <w:rStyle w:val="Hyperlink"/>
            <w:noProof/>
          </w:rPr>
          <w:t>I.2.Prevalența fumatului la adolescenți</w:t>
        </w:r>
        <w:r>
          <w:rPr>
            <w:noProof/>
            <w:webHidden/>
          </w:rPr>
          <w:tab/>
        </w:r>
        <w:r>
          <w:rPr>
            <w:noProof/>
            <w:webHidden/>
          </w:rPr>
          <w:fldChar w:fldCharType="begin"/>
        </w:r>
        <w:r>
          <w:rPr>
            <w:noProof/>
            <w:webHidden/>
          </w:rPr>
          <w:instrText xml:space="preserve"> PAGEREF _Toc232660557 \h </w:instrText>
        </w:r>
        <w:r>
          <w:rPr>
            <w:noProof/>
            <w:webHidden/>
          </w:rPr>
        </w:r>
        <w:r>
          <w:rPr>
            <w:noProof/>
            <w:webHidden/>
          </w:rPr>
          <w:fldChar w:fldCharType="separate"/>
        </w:r>
        <w:r>
          <w:rPr>
            <w:noProof/>
            <w:webHidden/>
          </w:rPr>
          <w:t>16</w:t>
        </w:r>
        <w:r>
          <w:rPr>
            <w:noProof/>
            <w:webHidden/>
          </w:rPr>
          <w:fldChar w:fldCharType="end"/>
        </w:r>
      </w:hyperlink>
    </w:p>
    <w:p w14:paraId="72FFD0BC" w14:textId="30709CD0" w:rsidR="00687BFD" w:rsidRDefault="00687BFD" w:rsidP="009C6489">
      <w:pPr>
        <w:pStyle w:val="TOC3"/>
        <w:tabs>
          <w:tab w:val="right" w:leader="dot" w:pos="9202"/>
        </w:tabs>
        <w:ind w:left="0" w:firstLine="0"/>
        <w:rPr>
          <w:rFonts w:asciiTheme="minorHAnsi" w:eastAsiaTheme="minorEastAsia" w:hAnsiTheme="minorHAnsi" w:cstheme="minorBidi"/>
          <w:noProof/>
          <w:color w:val="auto"/>
          <w:kern w:val="2"/>
          <w:sz w:val="24"/>
          <w:szCs w:val="24"/>
          <w:lang w:eastAsia="ro-RO"/>
          <w14:ligatures w14:val="standardContextual"/>
        </w:rPr>
      </w:pPr>
      <w:hyperlink w:anchor="_Toc232660558" w:history="1">
        <w:r w:rsidRPr="003E6E75">
          <w:rPr>
            <w:rStyle w:val="Hyperlink"/>
            <w:noProof/>
          </w:rPr>
          <w:t>Prevalența consumului de produse de tutun la adolescenții cu vârsta 11-15 ani (HBSC 2021/2022)</w:t>
        </w:r>
        <w:r>
          <w:rPr>
            <w:noProof/>
            <w:webHidden/>
          </w:rPr>
          <w:tab/>
        </w:r>
        <w:r>
          <w:rPr>
            <w:noProof/>
            <w:webHidden/>
          </w:rPr>
          <w:fldChar w:fldCharType="begin"/>
        </w:r>
        <w:r>
          <w:rPr>
            <w:noProof/>
            <w:webHidden/>
          </w:rPr>
          <w:instrText xml:space="preserve"> PAGEREF _Toc232660558 \h </w:instrText>
        </w:r>
        <w:r>
          <w:rPr>
            <w:noProof/>
            <w:webHidden/>
          </w:rPr>
        </w:r>
        <w:r>
          <w:rPr>
            <w:noProof/>
            <w:webHidden/>
          </w:rPr>
          <w:fldChar w:fldCharType="separate"/>
        </w:r>
        <w:r>
          <w:rPr>
            <w:noProof/>
            <w:webHidden/>
          </w:rPr>
          <w:t>16</w:t>
        </w:r>
        <w:r>
          <w:rPr>
            <w:noProof/>
            <w:webHidden/>
          </w:rPr>
          <w:fldChar w:fldCharType="end"/>
        </w:r>
      </w:hyperlink>
    </w:p>
    <w:p w14:paraId="5AF7C03F" w14:textId="1182D8B3" w:rsidR="00687BFD" w:rsidRDefault="00687BFD" w:rsidP="009C6489">
      <w:pPr>
        <w:pStyle w:val="TOC3"/>
        <w:tabs>
          <w:tab w:val="right" w:leader="dot" w:pos="9202"/>
        </w:tabs>
        <w:ind w:left="0" w:firstLine="0"/>
        <w:rPr>
          <w:rFonts w:asciiTheme="minorHAnsi" w:eastAsiaTheme="minorEastAsia" w:hAnsiTheme="minorHAnsi" w:cstheme="minorBidi"/>
          <w:noProof/>
          <w:color w:val="auto"/>
          <w:kern w:val="2"/>
          <w:sz w:val="24"/>
          <w:szCs w:val="24"/>
          <w:lang w:eastAsia="ro-RO"/>
          <w14:ligatures w14:val="standardContextual"/>
        </w:rPr>
      </w:pPr>
      <w:hyperlink w:anchor="_Toc232660559" w:history="1">
        <w:r w:rsidRPr="003E6E75">
          <w:rPr>
            <w:rStyle w:val="Hyperlink"/>
            <w:noProof/>
          </w:rPr>
          <w:t>Prevalența consumului de produse de tutun convențional la adolescenții cu vârsta 11-15 ani (HBSC 2021/2022)</w:t>
        </w:r>
        <w:r>
          <w:rPr>
            <w:noProof/>
            <w:webHidden/>
          </w:rPr>
          <w:tab/>
        </w:r>
        <w:r>
          <w:rPr>
            <w:noProof/>
            <w:webHidden/>
          </w:rPr>
          <w:fldChar w:fldCharType="begin"/>
        </w:r>
        <w:r>
          <w:rPr>
            <w:noProof/>
            <w:webHidden/>
          </w:rPr>
          <w:instrText xml:space="preserve"> PAGEREF _Toc232660559 \h </w:instrText>
        </w:r>
        <w:r>
          <w:rPr>
            <w:noProof/>
            <w:webHidden/>
          </w:rPr>
        </w:r>
        <w:r>
          <w:rPr>
            <w:noProof/>
            <w:webHidden/>
          </w:rPr>
          <w:fldChar w:fldCharType="separate"/>
        </w:r>
        <w:r>
          <w:rPr>
            <w:noProof/>
            <w:webHidden/>
          </w:rPr>
          <w:t>16</w:t>
        </w:r>
        <w:r>
          <w:rPr>
            <w:noProof/>
            <w:webHidden/>
          </w:rPr>
          <w:fldChar w:fldCharType="end"/>
        </w:r>
      </w:hyperlink>
    </w:p>
    <w:p w14:paraId="6D9705C7" w14:textId="566879FC" w:rsidR="00687BFD" w:rsidRDefault="00687BFD" w:rsidP="009C6489">
      <w:pPr>
        <w:pStyle w:val="TOC3"/>
        <w:tabs>
          <w:tab w:val="right" w:leader="dot" w:pos="9202"/>
        </w:tabs>
        <w:ind w:left="0" w:firstLine="0"/>
        <w:rPr>
          <w:rFonts w:asciiTheme="minorHAnsi" w:eastAsiaTheme="minorEastAsia" w:hAnsiTheme="minorHAnsi" w:cstheme="minorBidi"/>
          <w:noProof/>
          <w:color w:val="auto"/>
          <w:kern w:val="2"/>
          <w:sz w:val="24"/>
          <w:szCs w:val="24"/>
          <w:lang w:eastAsia="ro-RO"/>
          <w14:ligatures w14:val="standardContextual"/>
        </w:rPr>
      </w:pPr>
      <w:hyperlink w:anchor="_Toc232660560" w:history="1">
        <w:r w:rsidRPr="003E6E75">
          <w:rPr>
            <w:rStyle w:val="Hyperlink"/>
            <w:noProof/>
          </w:rPr>
          <w:t>Prevalența utilizării țigărilor electronice la adolescenții cu vârsta 11-15 ani (HBSC 2021/2022)</w:t>
        </w:r>
        <w:r>
          <w:rPr>
            <w:noProof/>
            <w:webHidden/>
          </w:rPr>
          <w:tab/>
        </w:r>
        <w:r>
          <w:rPr>
            <w:noProof/>
            <w:webHidden/>
          </w:rPr>
          <w:fldChar w:fldCharType="begin"/>
        </w:r>
        <w:r>
          <w:rPr>
            <w:noProof/>
            <w:webHidden/>
          </w:rPr>
          <w:instrText xml:space="preserve"> PAGEREF _Toc232660560 \h </w:instrText>
        </w:r>
        <w:r>
          <w:rPr>
            <w:noProof/>
            <w:webHidden/>
          </w:rPr>
        </w:r>
        <w:r>
          <w:rPr>
            <w:noProof/>
            <w:webHidden/>
          </w:rPr>
          <w:fldChar w:fldCharType="separate"/>
        </w:r>
        <w:r>
          <w:rPr>
            <w:noProof/>
            <w:webHidden/>
          </w:rPr>
          <w:t>20</w:t>
        </w:r>
        <w:r>
          <w:rPr>
            <w:noProof/>
            <w:webHidden/>
          </w:rPr>
          <w:fldChar w:fldCharType="end"/>
        </w:r>
      </w:hyperlink>
    </w:p>
    <w:p w14:paraId="55C59BC7" w14:textId="41146708" w:rsidR="00687BFD" w:rsidRDefault="00687BFD" w:rsidP="009C6489">
      <w:pPr>
        <w:pStyle w:val="TOC3"/>
        <w:tabs>
          <w:tab w:val="right" w:leader="dot" w:pos="9202"/>
        </w:tabs>
        <w:ind w:left="0" w:firstLine="0"/>
        <w:rPr>
          <w:rFonts w:asciiTheme="minorHAnsi" w:eastAsiaTheme="minorEastAsia" w:hAnsiTheme="minorHAnsi" w:cstheme="minorBidi"/>
          <w:noProof/>
          <w:color w:val="auto"/>
          <w:kern w:val="2"/>
          <w:sz w:val="24"/>
          <w:szCs w:val="24"/>
          <w:lang w:eastAsia="ro-RO"/>
          <w14:ligatures w14:val="standardContextual"/>
        </w:rPr>
      </w:pPr>
      <w:hyperlink w:anchor="_Toc232660561" w:history="1">
        <w:r w:rsidRPr="003E6E75">
          <w:rPr>
            <w:rStyle w:val="Hyperlink"/>
            <w:noProof/>
          </w:rPr>
          <w:t>Evoluția consumului de tutun la nivel global între anii 2018 și 2022 la adolescenții 11-15 ani, HBSC 2022</w:t>
        </w:r>
        <w:r>
          <w:rPr>
            <w:noProof/>
            <w:webHidden/>
          </w:rPr>
          <w:tab/>
        </w:r>
        <w:r>
          <w:rPr>
            <w:noProof/>
            <w:webHidden/>
          </w:rPr>
          <w:fldChar w:fldCharType="begin"/>
        </w:r>
        <w:r>
          <w:rPr>
            <w:noProof/>
            <w:webHidden/>
          </w:rPr>
          <w:instrText xml:space="preserve"> PAGEREF _Toc232660561 \h </w:instrText>
        </w:r>
        <w:r>
          <w:rPr>
            <w:noProof/>
            <w:webHidden/>
          </w:rPr>
        </w:r>
        <w:r>
          <w:rPr>
            <w:noProof/>
            <w:webHidden/>
          </w:rPr>
          <w:fldChar w:fldCharType="separate"/>
        </w:r>
        <w:r>
          <w:rPr>
            <w:noProof/>
            <w:webHidden/>
          </w:rPr>
          <w:t>22</w:t>
        </w:r>
        <w:r>
          <w:rPr>
            <w:noProof/>
            <w:webHidden/>
          </w:rPr>
          <w:fldChar w:fldCharType="end"/>
        </w:r>
      </w:hyperlink>
    </w:p>
    <w:p w14:paraId="18F5FE22" w14:textId="64C491F3" w:rsidR="00687BFD" w:rsidRDefault="00687BFD">
      <w:pPr>
        <w:pStyle w:val="TOC2"/>
        <w:tabs>
          <w:tab w:val="right" w:leader="dot" w:pos="9202"/>
        </w:tabs>
        <w:rPr>
          <w:rFonts w:asciiTheme="minorHAnsi" w:eastAsiaTheme="minorEastAsia" w:hAnsiTheme="minorHAnsi" w:cstheme="minorBidi"/>
          <w:noProof/>
          <w:color w:val="auto"/>
          <w:kern w:val="2"/>
          <w:sz w:val="24"/>
          <w:szCs w:val="24"/>
          <w:lang w:eastAsia="ro-RO"/>
          <w14:ligatures w14:val="standardContextual"/>
        </w:rPr>
      </w:pPr>
      <w:hyperlink w:anchor="_Toc232660562" w:history="1">
        <w:r w:rsidRPr="003E6E75">
          <w:rPr>
            <w:rStyle w:val="Hyperlink"/>
            <w:noProof/>
          </w:rPr>
          <w:t>I.3.Prevalența consumului de tutun la adolescenții cu vârsta 15-16 ani (ESPAD 2024)</w:t>
        </w:r>
        <w:r>
          <w:rPr>
            <w:noProof/>
            <w:webHidden/>
          </w:rPr>
          <w:tab/>
        </w:r>
        <w:r>
          <w:rPr>
            <w:noProof/>
            <w:webHidden/>
          </w:rPr>
          <w:fldChar w:fldCharType="begin"/>
        </w:r>
        <w:r>
          <w:rPr>
            <w:noProof/>
            <w:webHidden/>
          </w:rPr>
          <w:instrText xml:space="preserve"> PAGEREF _Toc232660562 \h </w:instrText>
        </w:r>
        <w:r>
          <w:rPr>
            <w:noProof/>
            <w:webHidden/>
          </w:rPr>
        </w:r>
        <w:r>
          <w:rPr>
            <w:noProof/>
            <w:webHidden/>
          </w:rPr>
          <w:fldChar w:fldCharType="separate"/>
        </w:r>
        <w:r>
          <w:rPr>
            <w:noProof/>
            <w:webHidden/>
          </w:rPr>
          <w:t>23</w:t>
        </w:r>
        <w:r>
          <w:rPr>
            <w:noProof/>
            <w:webHidden/>
          </w:rPr>
          <w:fldChar w:fldCharType="end"/>
        </w:r>
      </w:hyperlink>
    </w:p>
    <w:p w14:paraId="302313DA" w14:textId="1B70E642" w:rsidR="00687BFD" w:rsidRDefault="00687BFD" w:rsidP="009C6489">
      <w:pPr>
        <w:pStyle w:val="TOC3"/>
        <w:tabs>
          <w:tab w:val="right" w:leader="dot" w:pos="9202"/>
        </w:tabs>
        <w:ind w:left="0" w:firstLine="0"/>
        <w:rPr>
          <w:rFonts w:asciiTheme="minorHAnsi" w:eastAsiaTheme="minorEastAsia" w:hAnsiTheme="minorHAnsi" w:cstheme="minorBidi"/>
          <w:noProof/>
          <w:color w:val="auto"/>
          <w:kern w:val="2"/>
          <w:sz w:val="24"/>
          <w:szCs w:val="24"/>
          <w:lang w:eastAsia="ro-RO"/>
          <w14:ligatures w14:val="standardContextual"/>
        </w:rPr>
      </w:pPr>
      <w:hyperlink w:anchor="_Toc232660563" w:history="1">
        <w:r w:rsidRPr="003E6E75">
          <w:rPr>
            <w:rStyle w:val="Hyperlink"/>
            <w:noProof/>
          </w:rPr>
          <w:t>Consumul de produse de tutun convențional la adolescenții 15-16 ani, ESPAD 2024</w:t>
        </w:r>
        <w:r>
          <w:rPr>
            <w:noProof/>
            <w:webHidden/>
          </w:rPr>
          <w:tab/>
        </w:r>
        <w:r>
          <w:rPr>
            <w:noProof/>
            <w:webHidden/>
          </w:rPr>
          <w:fldChar w:fldCharType="begin"/>
        </w:r>
        <w:r>
          <w:rPr>
            <w:noProof/>
            <w:webHidden/>
          </w:rPr>
          <w:instrText xml:space="preserve"> PAGEREF _Toc232660563 \h </w:instrText>
        </w:r>
        <w:r>
          <w:rPr>
            <w:noProof/>
            <w:webHidden/>
          </w:rPr>
        </w:r>
        <w:r>
          <w:rPr>
            <w:noProof/>
            <w:webHidden/>
          </w:rPr>
          <w:fldChar w:fldCharType="separate"/>
        </w:r>
        <w:r>
          <w:rPr>
            <w:noProof/>
            <w:webHidden/>
          </w:rPr>
          <w:t>24</w:t>
        </w:r>
        <w:r>
          <w:rPr>
            <w:noProof/>
            <w:webHidden/>
          </w:rPr>
          <w:fldChar w:fldCharType="end"/>
        </w:r>
      </w:hyperlink>
    </w:p>
    <w:p w14:paraId="4CBD6032" w14:textId="501DB78C" w:rsidR="00687BFD" w:rsidRDefault="00687BFD" w:rsidP="009C6489">
      <w:pPr>
        <w:pStyle w:val="TOC3"/>
        <w:tabs>
          <w:tab w:val="right" w:leader="dot" w:pos="9202"/>
        </w:tabs>
        <w:ind w:left="0" w:firstLine="0"/>
        <w:rPr>
          <w:rFonts w:asciiTheme="minorHAnsi" w:eastAsiaTheme="minorEastAsia" w:hAnsiTheme="minorHAnsi" w:cstheme="minorBidi"/>
          <w:noProof/>
          <w:color w:val="auto"/>
          <w:kern w:val="2"/>
          <w:sz w:val="24"/>
          <w:szCs w:val="24"/>
          <w:lang w:eastAsia="ro-RO"/>
          <w14:ligatures w14:val="standardContextual"/>
        </w:rPr>
      </w:pPr>
      <w:hyperlink w:anchor="_Toc232660564" w:history="1">
        <w:r w:rsidRPr="003E6E75">
          <w:rPr>
            <w:rStyle w:val="Hyperlink"/>
            <w:noProof/>
          </w:rPr>
          <w:t>Consumul dual de produse de tutun (convențional și țigări electronice) la adolescenții 15-16 ani, ESPAD 2024</w:t>
        </w:r>
        <w:r>
          <w:rPr>
            <w:noProof/>
            <w:webHidden/>
          </w:rPr>
          <w:tab/>
        </w:r>
        <w:r>
          <w:rPr>
            <w:noProof/>
            <w:webHidden/>
          </w:rPr>
          <w:fldChar w:fldCharType="begin"/>
        </w:r>
        <w:r>
          <w:rPr>
            <w:noProof/>
            <w:webHidden/>
          </w:rPr>
          <w:instrText xml:space="preserve"> PAGEREF _Toc232660564 \h </w:instrText>
        </w:r>
        <w:r>
          <w:rPr>
            <w:noProof/>
            <w:webHidden/>
          </w:rPr>
        </w:r>
        <w:r>
          <w:rPr>
            <w:noProof/>
            <w:webHidden/>
          </w:rPr>
          <w:fldChar w:fldCharType="separate"/>
        </w:r>
        <w:r>
          <w:rPr>
            <w:noProof/>
            <w:webHidden/>
          </w:rPr>
          <w:t>29</w:t>
        </w:r>
        <w:r>
          <w:rPr>
            <w:noProof/>
            <w:webHidden/>
          </w:rPr>
          <w:fldChar w:fldCharType="end"/>
        </w:r>
      </w:hyperlink>
    </w:p>
    <w:p w14:paraId="18203B61" w14:textId="5E983DD5" w:rsidR="00687BFD" w:rsidRDefault="00687BFD" w:rsidP="009C6489">
      <w:pPr>
        <w:pStyle w:val="TOC3"/>
        <w:tabs>
          <w:tab w:val="right" w:leader="dot" w:pos="9202"/>
        </w:tabs>
        <w:ind w:left="0" w:firstLine="0"/>
        <w:rPr>
          <w:rFonts w:asciiTheme="minorHAnsi" w:eastAsiaTheme="minorEastAsia" w:hAnsiTheme="minorHAnsi" w:cstheme="minorBidi"/>
          <w:noProof/>
          <w:color w:val="auto"/>
          <w:kern w:val="2"/>
          <w:sz w:val="24"/>
          <w:szCs w:val="24"/>
          <w:lang w:eastAsia="ro-RO"/>
          <w14:ligatures w14:val="standardContextual"/>
        </w:rPr>
      </w:pPr>
      <w:hyperlink w:anchor="_Toc232660565" w:history="1">
        <w:r w:rsidRPr="003E6E75">
          <w:rPr>
            <w:rStyle w:val="Hyperlink"/>
            <w:noProof/>
          </w:rPr>
          <w:t>Concluzii privind prevalența consumului de produse de tutun la adolescenți</w:t>
        </w:r>
        <w:r>
          <w:rPr>
            <w:noProof/>
            <w:webHidden/>
          </w:rPr>
          <w:tab/>
        </w:r>
        <w:r>
          <w:rPr>
            <w:noProof/>
            <w:webHidden/>
          </w:rPr>
          <w:fldChar w:fldCharType="begin"/>
        </w:r>
        <w:r>
          <w:rPr>
            <w:noProof/>
            <w:webHidden/>
          </w:rPr>
          <w:instrText xml:space="preserve"> PAGEREF _Toc232660565 \h </w:instrText>
        </w:r>
        <w:r>
          <w:rPr>
            <w:noProof/>
            <w:webHidden/>
          </w:rPr>
        </w:r>
        <w:r>
          <w:rPr>
            <w:noProof/>
            <w:webHidden/>
          </w:rPr>
          <w:fldChar w:fldCharType="separate"/>
        </w:r>
        <w:r>
          <w:rPr>
            <w:noProof/>
            <w:webHidden/>
          </w:rPr>
          <w:t>35</w:t>
        </w:r>
        <w:r>
          <w:rPr>
            <w:noProof/>
            <w:webHidden/>
          </w:rPr>
          <w:fldChar w:fldCharType="end"/>
        </w:r>
      </w:hyperlink>
    </w:p>
    <w:p w14:paraId="2792AA38" w14:textId="177AF2CD" w:rsidR="00687BFD" w:rsidRDefault="00687BFD">
      <w:pPr>
        <w:pStyle w:val="TOC1"/>
        <w:rPr>
          <w:rFonts w:asciiTheme="minorHAnsi" w:eastAsiaTheme="minorEastAsia" w:hAnsiTheme="minorHAnsi" w:cstheme="minorBidi"/>
          <w:b w:val="0"/>
          <w:bCs w:val="0"/>
          <w:noProof/>
          <w:color w:val="auto"/>
          <w:kern w:val="2"/>
          <w:sz w:val="24"/>
          <w:szCs w:val="24"/>
          <w:lang w:eastAsia="ro-RO"/>
          <w14:ligatures w14:val="standardContextual"/>
        </w:rPr>
      </w:pPr>
      <w:hyperlink w:anchor="_Toc232660566" w:history="1">
        <w:r w:rsidRPr="003E6E75">
          <w:rPr>
            <w:rStyle w:val="Hyperlink"/>
            <w:noProof/>
          </w:rPr>
          <w:t>Cap II</w:t>
        </w:r>
        <w:r w:rsidR="003C2E75">
          <w:rPr>
            <w:rStyle w:val="Hyperlink"/>
            <w:noProof/>
          </w:rPr>
          <w:t xml:space="preserve"> </w:t>
        </w:r>
        <w:r w:rsidRPr="003E6E75">
          <w:rPr>
            <w:rStyle w:val="Hyperlink"/>
            <w:noProof/>
          </w:rPr>
          <w:t>Impactul consumului de tutun asupra stării de sănătate la nivel individual</w:t>
        </w:r>
        <w:r>
          <w:rPr>
            <w:noProof/>
            <w:webHidden/>
          </w:rPr>
          <w:tab/>
        </w:r>
        <w:r>
          <w:rPr>
            <w:noProof/>
            <w:webHidden/>
          </w:rPr>
          <w:fldChar w:fldCharType="begin"/>
        </w:r>
        <w:r>
          <w:rPr>
            <w:noProof/>
            <w:webHidden/>
          </w:rPr>
          <w:instrText xml:space="preserve"> PAGEREF _Toc232660566 \h </w:instrText>
        </w:r>
        <w:r>
          <w:rPr>
            <w:noProof/>
            <w:webHidden/>
          </w:rPr>
        </w:r>
        <w:r>
          <w:rPr>
            <w:noProof/>
            <w:webHidden/>
          </w:rPr>
          <w:fldChar w:fldCharType="separate"/>
        </w:r>
        <w:r>
          <w:rPr>
            <w:noProof/>
            <w:webHidden/>
          </w:rPr>
          <w:t>36</w:t>
        </w:r>
        <w:r>
          <w:rPr>
            <w:noProof/>
            <w:webHidden/>
          </w:rPr>
          <w:fldChar w:fldCharType="end"/>
        </w:r>
      </w:hyperlink>
    </w:p>
    <w:p w14:paraId="4098DFBD" w14:textId="3A9F847B" w:rsidR="00687BFD" w:rsidRDefault="00687BFD">
      <w:pPr>
        <w:pStyle w:val="TOC2"/>
        <w:tabs>
          <w:tab w:val="right" w:leader="dot" w:pos="9202"/>
        </w:tabs>
        <w:rPr>
          <w:rFonts w:asciiTheme="minorHAnsi" w:eastAsiaTheme="minorEastAsia" w:hAnsiTheme="minorHAnsi" w:cstheme="minorBidi"/>
          <w:noProof/>
          <w:color w:val="auto"/>
          <w:kern w:val="2"/>
          <w:sz w:val="24"/>
          <w:szCs w:val="24"/>
          <w:lang w:eastAsia="ro-RO"/>
          <w14:ligatures w14:val="standardContextual"/>
        </w:rPr>
      </w:pPr>
      <w:hyperlink w:anchor="_Toc232660567" w:history="1">
        <w:r w:rsidRPr="003E6E75">
          <w:rPr>
            <w:rStyle w:val="Hyperlink"/>
            <w:noProof/>
          </w:rPr>
          <w:t>II.1.Impactul asupra sănătății al consumului convențional de tutun</w:t>
        </w:r>
        <w:r>
          <w:rPr>
            <w:noProof/>
            <w:webHidden/>
          </w:rPr>
          <w:tab/>
        </w:r>
        <w:r>
          <w:rPr>
            <w:noProof/>
            <w:webHidden/>
          </w:rPr>
          <w:fldChar w:fldCharType="begin"/>
        </w:r>
        <w:r>
          <w:rPr>
            <w:noProof/>
            <w:webHidden/>
          </w:rPr>
          <w:instrText xml:space="preserve"> PAGEREF _Toc232660567 \h </w:instrText>
        </w:r>
        <w:r>
          <w:rPr>
            <w:noProof/>
            <w:webHidden/>
          </w:rPr>
        </w:r>
        <w:r>
          <w:rPr>
            <w:noProof/>
            <w:webHidden/>
          </w:rPr>
          <w:fldChar w:fldCharType="separate"/>
        </w:r>
        <w:r>
          <w:rPr>
            <w:noProof/>
            <w:webHidden/>
          </w:rPr>
          <w:t>36</w:t>
        </w:r>
        <w:r>
          <w:rPr>
            <w:noProof/>
            <w:webHidden/>
          </w:rPr>
          <w:fldChar w:fldCharType="end"/>
        </w:r>
      </w:hyperlink>
    </w:p>
    <w:p w14:paraId="43CC34BF" w14:textId="14AA4238" w:rsidR="00687BFD" w:rsidRDefault="00687BFD">
      <w:pPr>
        <w:pStyle w:val="TOC2"/>
        <w:tabs>
          <w:tab w:val="right" w:leader="dot" w:pos="9202"/>
        </w:tabs>
        <w:rPr>
          <w:rFonts w:asciiTheme="minorHAnsi" w:eastAsiaTheme="minorEastAsia" w:hAnsiTheme="minorHAnsi" w:cstheme="minorBidi"/>
          <w:noProof/>
          <w:color w:val="auto"/>
          <w:kern w:val="2"/>
          <w:sz w:val="24"/>
          <w:szCs w:val="24"/>
          <w:lang w:eastAsia="ro-RO"/>
          <w14:ligatures w14:val="standardContextual"/>
        </w:rPr>
      </w:pPr>
      <w:hyperlink w:anchor="_Toc232660568" w:history="1">
        <w:r w:rsidRPr="003E6E75">
          <w:rPr>
            <w:rStyle w:val="Hyperlink"/>
            <w:noProof/>
          </w:rPr>
          <w:t>II.2.Impactul asupra sănătății al produselor de tutun bazate pe tutun încălzit și țigărilor electronice</w:t>
        </w:r>
        <w:r>
          <w:rPr>
            <w:noProof/>
            <w:webHidden/>
          </w:rPr>
          <w:tab/>
        </w:r>
        <w:r>
          <w:rPr>
            <w:noProof/>
            <w:webHidden/>
          </w:rPr>
          <w:fldChar w:fldCharType="begin"/>
        </w:r>
        <w:r>
          <w:rPr>
            <w:noProof/>
            <w:webHidden/>
          </w:rPr>
          <w:instrText xml:space="preserve"> PAGEREF _Toc232660568 \h </w:instrText>
        </w:r>
        <w:r>
          <w:rPr>
            <w:noProof/>
            <w:webHidden/>
          </w:rPr>
        </w:r>
        <w:r>
          <w:rPr>
            <w:noProof/>
            <w:webHidden/>
          </w:rPr>
          <w:fldChar w:fldCharType="separate"/>
        </w:r>
        <w:r>
          <w:rPr>
            <w:noProof/>
            <w:webHidden/>
          </w:rPr>
          <w:t>42</w:t>
        </w:r>
        <w:r>
          <w:rPr>
            <w:noProof/>
            <w:webHidden/>
          </w:rPr>
          <w:fldChar w:fldCharType="end"/>
        </w:r>
      </w:hyperlink>
    </w:p>
    <w:p w14:paraId="0C104A1F" w14:textId="62BB2885" w:rsidR="00687BFD" w:rsidRDefault="00687BFD">
      <w:pPr>
        <w:pStyle w:val="TOC2"/>
        <w:tabs>
          <w:tab w:val="right" w:leader="dot" w:pos="9202"/>
        </w:tabs>
        <w:rPr>
          <w:rFonts w:asciiTheme="minorHAnsi" w:eastAsiaTheme="minorEastAsia" w:hAnsiTheme="minorHAnsi" w:cstheme="minorBidi"/>
          <w:noProof/>
          <w:color w:val="auto"/>
          <w:kern w:val="2"/>
          <w:sz w:val="24"/>
          <w:szCs w:val="24"/>
          <w:lang w:eastAsia="ro-RO"/>
          <w14:ligatures w14:val="standardContextual"/>
        </w:rPr>
      </w:pPr>
      <w:hyperlink w:anchor="_Toc232660569" w:history="1">
        <w:r w:rsidRPr="003E6E75">
          <w:rPr>
            <w:rStyle w:val="Hyperlink"/>
            <w:noProof/>
          </w:rPr>
          <w:t>II.3.Aditivi utilizați în produsele din tutun - riscuri  pentru sănătate</w:t>
        </w:r>
        <w:r>
          <w:rPr>
            <w:noProof/>
            <w:webHidden/>
          </w:rPr>
          <w:tab/>
        </w:r>
        <w:r>
          <w:rPr>
            <w:noProof/>
            <w:webHidden/>
          </w:rPr>
          <w:fldChar w:fldCharType="begin"/>
        </w:r>
        <w:r>
          <w:rPr>
            <w:noProof/>
            <w:webHidden/>
          </w:rPr>
          <w:instrText xml:space="preserve"> PAGEREF _Toc232660569 \h </w:instrText>
        </w:r>
        <w:r>
          <w:rPr>
            <w:noProof/>
            <w:webHidden/>
          </w:rPr>
        </w:r>
        <w:r>
          <w:rPr>
            <w:noProof/>
            <w:webHidden/>
          </w:rPr>
          <w:fldChar w:fldCharType="separate"/>
        </w:r>
        <w:r>
          <w:rPr>
            <w:noProof/>
            <w:webHidden/>
          </w:rPr>
          <w:t>44</w:t>
        </w:r>
        <w:r>
          <w:rPr>
            <w:noProof/>
            <w:webHidden/>
          </w:rPr>
          <w:fldChar w:fldCharType="end"/>
        </w:r>
      </w:hyperlink>
    </w:p>
    <w:p w14:paraId="67F84CB8" w14:textId="62C17125" w:rsidR="00687BFD" w:rsidRDefault="00687BFD">
      <w:pPr>
        <w:pStyle w:val="TOC1"/>
        <w:tabs>
          <w:tab w:val="left" w:pos="720"/>
        </w:tabs>
        <w:rPr>
          <w:rFonts w:asciiTheme="minorHAnsi" w:eastAsiaTheme="minorEastAsia" w:hAnsiTheme="minorHAnsi" w:cstheme="minorBidi"/>
          <w:b w:val="0"/>
          <w:bCs w:val="0"/>
          <w:noProof/>
          <w:color w:val="auto"/>
          <w:kern w:val="2"/>
          <w:sz w:val="24"/>
          <w:szCs w:val="24"/>
          <w:lang w:eastAsia="ro-RO"/>
          <w14:ligatures w14:val="standardContextual"/>
        </w:rPr>
      </w:pPr>
      <w:hyperlink w:anchor="_Toc232660570" w:history="1">
        <w:r w:rsidRPr="003E6E75">
          <w:rPr>
            <w:rStyle w:val="Hyperlink"/>
            <w:noProof/>
          </w:rPr>
          <w:t>Cap III</w:t>
        </w:r>
        <w:r w:rsidR="003C2E75">
          <w:rPr>
            <w:rStyle w:val="Hyperlink"/>
            <w:noProof/>
          </w:rPr>
          <w:t xml:space="preserve"> </w:t>
        </w:r>
        <w:r w:rsidRPr="003E6E75">
          <w:rPr>
            <w:rStyle w:val="Hyperlink"/>
            <w:noProof/>
          </w:rPr>
          <w:t>Consumul de tutun - impact asupra stării de sănătate la nivel populațional</w:t>
        </w:r>
        <w:r>
          <w:rPr>
            <w:noProof/>
            <w:webHidden/>
          </w:rPr>
          <w:tab/>
        </w:r>
        <w:r>
          <w:rPr>
            <w:noProof/>
            <w:webHidden/>
          </w:rPr>
          <w:fldChar w:fldCharType="begin"/>
        </w:r>
        <w:r>
          <w:rPr>
            <w:noProof/>
            <w:webHidden/>
          </w:rPr>
          <w:instrText xml:space="preserve"> PAGEREF _Toc232660570 \h </w:instrText>
        </w:r>
        <w:r>
          <w:rPr>
            <w:noProof/>
            <w:webHidden/>
          </w:rPr>
        </w:r>
        <w:r>
          <w:rPr>
            <w:noProof/>
            <w:webHidden/>
          </w:rPr>
          <w:fldChar w:fldCharType="separate"/>
        </w:r>
        <w:r>
          <w:rPr>
            <w:noProof/>
            <w:webHidden/>
          </w:rPr>
          <w:t>45</w:t>
        </w:r>
        <w:r>
          <w:rPr>
            <w:noProof/>
            <w:webHidden/>
          </w:rPr>
          <w:fldChar w:fldCharType="end"/>
        </w:r>
      </w:hyperlink>
    </w:p>
    <w:p w14:paraId="3BA4174B" w14:textId="28611D75" w:rsidR="00687BFD" w:rsidRDefault="00687BFD" w:rsidP="003C2E75">
      <w:pPr>
        <w:pStyle w:val="TOC3"/>
        <w:tabs>
          <w:tab w:val="right" w:leader="dot" w:pos="9202"/>
        </w:tabs>
        <w:ind w:left="0" w:firstLine="0"/>
        <w:rPr>
          <w:rFonts w:asciiTheme="minorHAnsi" w:eastAsiaTheme="minorEastAsia" w:hAnsiTheme="minorHAnsi" w:cstheme="minorBidi"/>
          <w:noProof/>
          <w:color w:val="auto"/>
          <w:kern w:val="2"/>
          <w:sz w:val="24"/>
          <w:szCs w:val="24"/>
          <w:lang w:eastAsia="ro-RO"/>
          <w14:ligatures w14:val="standardContextual"/>
        </w:rPr>
      </w:pPr>
      <w:hyperlink w:anchor="_Toc232660571" w:history="1">
        <w:r w:rsidRPr="003E6E75">
          <w:rPr>
            <w:rStyle w:val="Hyperlink"/>
            <w:noProof/>
          </w:rPr>
          <w:t>Morbiditate și mortalitate atribuibilă fumatului</w:t>
        </w:r>
        <w:r>
          <w:rPr>
            <w:noProof/>
            <w:webHidden/>
          </w:rPr>
          <w:tab/>
        </w:r>
        <w:r>
          <w:rPr>
            <w:noProof/>
            <w:webHidden/>
          </w:rPr>
          <w:fldChar w:fldCharType="begin"/>
        </w:r>
        <w:r>
          <w:rPr>
            <w:noProof/>
            <w:webHidden/>
          </w:rPr>
          <w:instrText xml:space="preserve"> PAGEREF _Toc232660571 \h </w:instrText>
        </w:r>
        <w:r>
          <w:rPr>
            <w:noProof/>
            <w:webHidden/>
          </w:rPr>
        </w:r>
        <w:r>
          <w:rPr>
            <w:noProof/>
            <w:webHidden/>
          </w:rPr>
          <w:fldChar w:fldCharType="separate"/>
        </w:r>
        <w:r>
          <w:rPr>
            <w:noProof/>
            <w:webHidden/>
          </w:rPr>
          <w:t>45</w:t>
        </w:r>
        <w:r>
          <w:rPr>
            <w:noProof/>
            <w:webHidden/>
          </w:rPr>
          <w:fldChar w:fldCharType="end"/>
        </w:r>
      </w:hyperlink>
    </w:p>
    <w:p w14:paraId="211E7A08" w14:textId="7D1131E9" w:rsidR="00687BFD" w:rsidRDefault="00687BFD" w:rsidP="003C2E75">
      <w:pPr>
        <w:pStyle w:val="TOC3"/>
        <w:tabs>
          <w:tab w:val="right" w:leader="dot" w:pos="9202"/>
        </w:tabs>
        <w:ind w:left="0" w:firstLine="0"/>
        <w:rPr>
          <w:rFonts w:asciiTheme="minorHAnsi" w:eastAsiaTheme="minorEastAsia" w:hAnsiTheme="minorHAnsi" w:cstheme="minorBidi"/>
          <w:noProof/>
          <w:color w:val="auto"/>
          <w:kern w:val="2"/>
          <w:sz w:val="24"/>
          <w:szCs w:val="24"/>
          <w:lang w:eastAsia="ro-RO"/>
          <w14:ligatures w14:val="standardContextual"/>
        </w:rPr>
      </w:pPr>
      <w:hyperlink w:anchor="_Toc232660572" w:history="1">
        <w:r w:rsidRPr="003E6E75">
          <w:rPr>
            <w:rStyle w:val="Hyperlink"/>
            <w:noProof/>
          </w:rPr>
          <w:t>DALYs (Disability Adjusted Life Years) atribuibili fumatului</w:t>
        </w:r>
        <w:r>
          <w:rPr>
            <w:noProof/>
            <w:webHidden/>
          </w:rPr>
          <w:tab/>
        </w:r>
        <w:r>
          <w:rPr>
            <w:noProof/>
            <w:webHidden/>
          </w:rPr>
          <w:fldChar w:fldCharType="begin"/>
        </w:r>
        <w:r>
          <w:rPr>
            <w:noProof/>
            <w:webHidden/>
          </w:rPr>
          <w:instrText xml:space="preserve"> PAGEREF _Toc232660572 \h </w:instrText>
        </w:r>
        <w:r>
          <w:rPr>
            <w:noProof/>
            <w:webHidden/>
          </w:rPr>
        </w:r>
        <w:r>
          <w:rPr>
            <w:noProof/>
            <w:webHidden/>
          </w:rPr>
          <w:fldChar w:fldCharType="separate"/>
        </w:r>
        <w:r>
          <w:rPr>
            <w:noProof/>
            <w:webHidden/>
          </w:rPr>
          <w:t>49</w:t>
        </w:r>
        <w:r>
          <w:rPr>
            <w:noProof/>
            <w:webHidden/>
          </w:rPr>
          <w:fldChar w:fldCharType="end"/>
        </w:r>
      </w:hyperlink>
    </w:p>
    <w:p w14:paraId="293C39F5" w14:textId="0A823712" w:rsidR="00687BFD" w:rsidRDefault="00687BFD" w:rsidP="003C2E75">
      <w:pPr>
        <w:pStyle w:val="TOC3"/>
        <w:tabs>
          <w:tab w:val="right" w:leader="dot" w:pos="9202"/>
        </w:tabs>
        <w:ind w:left="0" w:firstLine="0"/>
        <w:rPr>
          <w:rFonts w:asciiTheme="minorHAnsi" w:eastAsiaTheme="minorEastAsia" w:hAnsiTheme="minorHAnsi" w:cstheme="minorBidi"/>
          <w:noProof/>
          <w:color w:val="auto"/>
          <w:kern w:val="2"/>
          <w:sz w:val="24"/>
          <w:szCs w:val="24"/>
          <w:lang w:eastAsia="ro-RO"/>
          <w14:ligatures w14:val="standardContextual"/>
        </w:rPr>
      </w:pPr>
      <w:hyperlink w:anchor="_Toc232660573" w:history="1">
        <w:r w:rsidRPr="003E6E75">
          <w:rPr>
            <w:rStyle w:val="Hyperlink"/>
            <w:noProof/>
          </w:rPr>
          <w:t>Costuri estimate ale consumului de tutun tradIțional</w:t>
        </w:r>
        <w:r>
          <w:rPr>
            <w:noProof/>
            <w:webHidden/>
          </w:rPr>
          <w:tab/>
        </w:r>
        <w:r>
          <w:rPr>
            <w:noProof/>
            <w:webHidden/>
          </w:rPr>
          <w:fldChar w:fldCharType="begin"/>
        </w:r>
        <w:r>
          <w:rPr>
            <w:noProof/>
            <w:webHidden/>
          </w:rPr>
          <w:instrText xml:space="preserve"> PAGEREF _Toc232660573 \h </w:instrText>
        </w:r>
        <w:r>
          <w:rPr>
            <w:noProof/>
            <w:webHidden/>
          </w:rPr>
        </w:r>
        <w:r>
          <w:rPr>
            <w:noProof/>
            <w:webHidden/>
          </w:rPr>
          <w:fldChar w:fldCharType="separate"/>
        </w:r>
        <w:r>
          <w:rPr>
            <w:noProof/>
            <w:webHidden/>
          </w:rPr>
          <w:t>54</w:t>
        </w:r>
        <w:r>
          <w:rPr>
            <w:noProof/>
            <w:webHidden/>
          </w:rPr>
          <w:fldChar w:fldCharType="end"/>
        </w:r>
      </w:hyperlink>
    </w:p>
    <w:p w14:paraId="06883690" w14:textId="321E8E01" w:rsidR="00687BFD" w:rsidRDefault="00687BFD">
      <w:pPr>
        <w:pStyle w:val="TOC1"/>
        <w:tabs>
          <w:tab w:val="left" w:pos="720"/>
        </w:tabs>
        <w:rPr>
          <w:rFonts w:asciiTheme="minorHAnsi" w:eastAsiaTheme="minorEastAsia" w:hAnsiTheme="minorHAnsi" w:cstheme="minorBidi"/>
          <w:b w:val="0"/>
          <w:bCs w:val="0"/>
          <w:noProof/>
          <w:color w:val="auto"/>
          <w:kern w:val="2"/>
          <w:sz w:val="24"/>
          <w:szCs w:val="24"/>
          <w:lang w:eastAsia="ro-RO"/>
          <w14:ligatures w14:val="standardContextual"/>
        </w:rPr>
      </w:pPr>
      <w:hyperlink w:anchor="_Toc232660574" w:history="1">
        <w:r w:rsidRPr="003E6E75">
          <w:rPr>
            <w:rStyle w:val="Hyperlink"/>
            <w:noProof/>
          </w:rPr>
          <w:t>Cap IV</w:t>
        </w:r>
        <w:r w:rsidR="003C2E75">
          <w:rPr>
            <w:rStyle w:val="Hyperlink"/>
            <w:noProof/>
          </w:rPr>
          <w:t xml:space="preserve"> </w:t>
        </w:r>
        <w:r w:rsidRPr="003E6E75">
          <w:rPr>
            <w:rStyle w:val="Hyperlink"/>
            <w:noProof/>
          </w:rPr>
          <w:t>Evoluția formelor de consum de tutun. Politici publice privind controlul tutunului în România în comparație cu alte țări europene</w:t>
        </w:r>
        <w:r>
          <w:rPr>
            <w:noProof/>
            <w:webHidden/>
          </w:rPr>
          <w:tab/>
        </w:r>
        <w:r>
          <w:rPr>
            <w:noProof/>
            <w:webHidden/>
          </w:rPr>
          <w:fldChar w:fldCharType="begin"/>
        </w:r>
        <w:r>
          <w:rPr>
            <w:noProof/>
            <w:webHidden/>
          </w:rPr>
          <w:instrText xml:space="preserve"> PAGEREF _Toc232660574 \h </w:instrText>
        </w:r>
        <w:r>
          <w:rPr>
            <w:noProof/>
            <w:webHidden/>
          </w:rPr>
        </w:r>
        <w:r>
          <w:rPr>
            <w:noProof/>
            <w:webHidden/>
          </w:rPr>
          <w:fldChar w:fldCharType="separate"/>
        </w:r>
        <w:r>
          <w:rPr>
            <w:noProof/>
            <w:webHidden/>
          </w:rPr>
          <w:t>58</w:t>
        </w:r>
        <w:r>
          <w:rPr>
            <w:noProof/>
            <w:webHidden/>
          </w:rPr>
          <w:fldChar w:fldCharType="end"/>
        </w:r>
      </w:hyperlink>
    </w:p>
    <w:p w14:paraId="32A1DB86" w14:textId="593A95FA" w:rsidR="00687BFD" w:rsidRDefault="00687BFD">
      <w:pPr>
        <w:pStyle w:val="TOC1"/>
        <w:rPr>
          <w:rFonts w:asciiTheme="minorHAnsi" w:eastAsiaTheme="minorEastAsia" w:hAnsiTheme="minorHAnsi" w:cstheme="minorBidi"/>
          <w:b w:val="0"/>
          <w:bCs w:val="0"/>
          <w:noProof/>
          <w:color w:val="auto"/>
          <w:kern w:val="2"/>
          <w:sz w:val="24"/>
          <w:szCs w:val="24"/>
          <w:lang w:eastAsia="ro-RO"/>
          <w14:ligatures w14:val="standardContextual"/>
        </w:rPr>
      </w:pPr>
      <w:hyperlink w:anchor="_Toc232660575" w:history="1">
        <w:r w:rsidRPr="003E6E75">
          <w:rPr>
            <w:rStyle w:val="Hyperlink"/>
            <w:noProof/>
          </w:rPr>
          <w:t>Cap V</w:t>
        </w:r>
        <w:r w:rsidR="003C2E75">
          <w:rPr>
            <w:rStyle w:val="Hyperlink"/>
            <w:noProof/>
          </w:rPr>
          <w:t xml:space="preserve"> </w:t>
        </w:r>
        <w:r w:rsidRPr="003E6E75">
          <w:rPr>
            <w:rStyle w:val="Hyperlink"/>
            <w:noProof/>
          </w:rPr>
          <w:t>Identificarea și analiza suplimentară a grupurilor țintă în România</w:t>
        </w:r>
        <w:r>
          <w:rPr>
            <w:noProof/>
            <w:webHidden/>
          </w:rPr>
          <w:tab/>
        </w:r>
        <w:r>
          <w:rPr>
            <w:noProof/>
            <w:webHidden/>
          </w:rPr>
          <w:fldChar w:fldCharType="begin"/>
        </w:r>
        <w:r>
          <w:rPr>
            <w:noProof/>
            <w:webHidden/>
          </w:rPr>
          <w:instrText xml:space="preserve"> PAGEREF _Toc232660575 \h </w:instrText>
        </w:r>
        <w:r>
          <w:rPr>
            <w:noProof/>
            <w:webHidden/>
          </w:rPr>
        </w:r>
        <w:r>
          <w:rPr>
            <w:noProof/>
            <w:webHidden/>
          </w:rPr>
          <w:fldChar w:fldCharType="separate"/>
        </w:r>
        <w:r>
          <w:rPr>
            <w:noProof/>
            <w:webHidden/>
          </w:rPr>
          <w:t>65</w:t>
        </w:r>
        <w:r>
          <w:rPr>
            <w:noProof/>
            <w:webHidden/>
          </w:rPr>
          <w:fldChar w:fldCharType="end"/>
        </w:r>
      </w:hyperlink>
    </w:p>
    <w:p w14:paraId="066F79C7" w14:textId="057D74C7" w:rsidR="00687BFD" w:rsidRDefault="00687BFD">
      <w:pPr>
        <w:pStyle w:val="TOC2"/>
        <w:tabs>
          <w:tab w:val="right" w:leader="dot" w:pos="9202"/>
        </w:tabs>
        <w:rPr>
          <w:rFonts w:asciiTheme="minorHAnsi" w:eastAsiaTheme="minorEastAsia" w:hAnsiTheme="minorHAnsi" w:cstheme="minorBidi"/>
          <w:noProof/>
          <w:color w:val="auto"/>
          <w:kern w:val="2"/>
          <w:sz w:val="24"/>
          <w:szCs w:val="24"/>
          <w:lang w:eastAsia="ro-RO"/>
          <w14:ligatures w14:val="standardContextual"/>
        </w:rPr>
      </w:pPr>
      <w:hyperlink w:anchor="_Toc232660576" w:history="1">
        <w:r w:rsidRPr="003E6E75">
          <w:rPr>
            <w:rStyle w:val="Hyperlink"/>
            <w:noProof/>
          </w:rPr>
          <w:t>V.1.Consumul de produse de tutun la populația 15 -24 de ani</w:t>
        </w:r>
        <w:r>
          <w:rPr>
            <w:noProof/>
            <w:webHidden/>
          </w:rPr>
          <w:tab/>
        </w:r>
        <w:r>
          <w:rPr>
            <w:noProof/>
            <w:webHidden/>
          </w:rPr>
          <w:fldChar w:fldCharType="begin"/>
        </w:r>
        <w:r>
          <w:rPr>
            <w:noProof/>
            <w:webHidden/>
          </w:rPr>
          <w:instrText xml:space="preserve"> PAGEREF _Toc232660576 \h </w:instrText>
        </w:r>
        <w:r>
          <w:rPr>
            <w:noProof/>
            <w:webHidden/>
          </w:rPr>
        </w:r>
        <w:r>
          <w:rPr>
            <w:noProof/>
            <w:webHidden/>
          </w:rPr>
          <w:fldChar w:fldCharType="separate"/>
        </w:r>
        <w:r>
          <w:rPr>
            <w:noProof/>
            <w:webHidden/>
          </w:rPr>
          <w:t>65</w:t>
        </w:r>
        <w:r>
          <w:rPr>
            <w:noProof/>
            <w:webHidden/>
          </w:rPr>
          <w:fldChar w:fldCharType="end"/>
        </w:r>
      </w:hyperlink>
    </w:p>
    <w:p w14:paraId="7D9F6F73" w14:textId="7F396CF8" w:rsidR="00687BFD" w:rsidRDefault="00687BFD" w:rsidP="003C2E75">
      <w:pPr>
        <w:pStyle w:val="TOC3"/>
        <w:tabs>
          <w:tab w:val="right" w:leader="dot" w:pos="9202"/>
        </w:tabs>
        <w:ind w:left="0" w:firstLine="0"/>
        <w:rPr>
          <w:rFonts w:asciiTheme="minorHAnsi" w:eastAsiaTheme="minorEastAsia" w:hAnsiTheme="minorHAnsi" w:cstheme="minorBidi"/>
          <w:noProof/>
          <w:color w:val="auto"/>
          <w:kern w:val="2"/>
          <w:sz w:val="24"/>
          <w:szCs w:val="24"/>
          <w:lang w:eastAsia="ro-RO"/>
          <w14:ligatures w14:val="standardContextual"/>
        </w:rPr>
      </w:pPr>
      <w:hyperlink w:anchor="_Toc232660577" w:history="1">
        <w:r w:rsidRPr="003E6E75">
          <w:rPr>
            <w:rStyle w:val="Hyperlink"/>
            <w:noProof/>
          </w:rPr>
          <w:t>Consumul de produse de tutun convenționale la populația 15-24 de ani – EHIS 2019</w:t>
        </w:r>
        <w:r>
          <w:rPr>
            <w:noProof/>
            <w:webHidden/>
          </w:rPr>
          <w:tab/>
        </w:r>
        <w:r>
          <w:rPr>
            <w:noProof/>
            <w:webHidden/>
          </w:rPr>
          <w:fldChar w:fldCharType="begin"/>
        </w:r>
        <w:r>
          <w:rPr>
            <w:noProof/>
            <w:webHidden/>
          </w:rPr>
          <w:instrText xml:space="preserve"> PAGEREF _Toc232660577 \h </w:instrText>
        </w:r>
        <w:r>
          <w:rPr>
            <w:noProof/>
            <w:webHidden/>
          </w:rPr>
        </w:r>
        <w:r>
          <w:rPr>
            <w:noProof/>
            <w:webHidden/>
          </w:rPr>
          <w:fldChar w:fldCharType="separate"/>
        </w:r>
        <w:r>
          <w:rPr>
            <w:noProof/>
            <w:webHidden/>
          </w:rPr>
          <w:t>65</w:t>
        </w:r>
        <w:r>
          <w:rPr>
            <w:noProof/>
            <w:webHidden/>
          </w:rPr>
          <w:fldChar w:fldCharType="end"/>
        </w:r>
      </w:hyperlink>
    </w:p>
    <w:p w14:paraId="68839CC4" w14:textId="49B016C1" w:rsidR="00687BFD" w:rsidRDefault="00687BFD" w:rsidP="003C2E75">
      <w:pPr>
        <w:pStyle w:val="TOC3"/>
        <w:tabs>
          <w:tab w:val="right" w:leader="dot" w:pos="9202"/>
        </w:tabs>
        <w:ind w:left="0" w:firstLine="0"/>
        <w:rPr>
          <w:rFonts w:asciiTheme="minorHAnsi" w:eastAsiaTheme="minorEastAsia" w:hAnsiTheme="minorHAnsi" w:cstheme="minorBidi"/>
          <w:noProof/>
          <w:color w:val="auto"/>
          <w:kern w:val="2"/>
          <w:sz w:val="24"/>
          <w:szCs w:val="24"/>
          <w:lang w:eastAsia="ro-RO"/>
          <w14:ligatures w14:val="standardContextual"/>
        </w:rPr>
      </w:pPr>
      <w:hyperlink w:anchor="_Toc232660578" w:history="1">
        <w:r w:rsidRPr="003E6E75">
          <w:rPr>
            <w:rStyle w:val="Hyperlink"/>
            <w:noProof/>
          </w:rPr>
          <w:t>Consumul de produse alternative de tutun (țigări electronice, HTP) la populația 15 - 24 de ani  - EHIS 2019</w:t>
        </w:r>
        <w:r>
          <w:rPr>
            <w:noProof/>
            <w:webHidden/>
          </w:rPr>
          <w:tab/>
        </w:r>
        <w:r>
          <w:rPr>
            <w:noProof/>
            <w:webHidden/>
          </w:rPr>
          <w:fldChar w:fldCharType="begin"/>
        </w:r>
        <w:r>
          <w:rPr>
            <w:noProof/>
            <w:webHidden/>
          </w:rPr>
          <w:instrText xml:space="preserve"> PAGEREF _Toc232660578 \h </w:instrText>
        </w:r>
        <w:r>
          <w:rPr>
            <w:noProof/>
            <w:webHidden/>
          </w:rPr>
        </w:r>
        <w:r>
          <w:rPr>
            <w:noProof/>
            <w:webHidden/>
          </w:rPr>
          <w:fldChar w:fldCharType="separate"/>
        </w:r>
        <w:r>
          <w:rPr>
            <w:noProof/>
            <w:webHidden/>
          </w:rPr>
          <w:t>67</w:t>
        </w:r>
        <w:r>
          <w:rPr>
            <w:noProof/>
            <w:webHidden/>
          </w:rPr>
          <w:fldChar w:fldCharType="end"/>
        </w:r>
      </w:hyperlink>
    </w:p>
    <w:p w14:paraId="1C21ED23" w14:textId="38F5A2E0" w:rsidR="00687BFD" w:rsidRDefault="00687BFD">
      <w:pPr>
        <w:pStyle w:val="TOC2"/>
        <w:tabs>
          <w:tab w:val="right" w:leader="dot" w:pos="9202"/>
        </w:tabs>
        <w:rPr>
          <w:rFonts w:asciiTheme="minorHAnsi" w:eastAsiaTheme="minorEastAsia" w:hAnsiTheme="minorHAnsi" w:cstheme="minorBidi"/>
          <w:noProof/>
          <w:color w:val="auto"/>
          <w:kern w:val="2"/>
          <w:sz w:val="24"/>
          <w:szCs w:val="24"/>
          <w:lang w:eastAsia="ro-RO"/>
          <w14:ligatures w14:val="standardContextual"/>
        </w:rPr>
      </w:pPr>
      <w:hyperlink w:anchor="_Toc232660579" w:history="1">
        <w:r w:rsidRPr="003E6E75">
          <w:rPr>
            <w:rStyle w:val="Hyperlink"/>
            <w:noProof/>
          </w:rPr>
          <w:t>V.2.Consumul de produse de tutun la adolescenții 14-18 ani, YRBSS 2022/2023</w:t>
        </w:r>
        <w:r>
          <w:rPr>
            <w:noProof/>
            <w:webHidden/>
          </w:rPr>
          <w:tab/>
        </w:r>
        <w:r>
          <w:rPr>
            <w:noProof/>
            <w:webHidden/>
          </w:rPr>
          <w:fldChar w:fldCharType="begin"/>
        </w:r>
        <w:r>
          <w:rPr>
            <w:noProof/>
            <w:webHidden/>
          </w:rPr>
          <w:instrText xml:space="preserve"> PAGEREF _Toc232660579 \h </w:instrText>
        </w:r>
        <w:r>
          <w:rPr>
            <w:noProof/>
            <w:webHidden/>
          </w:rPr>
        </w:r>
        <w:r>
          <w:rPr>
            <w:noProof/>
            <w:webHidden/>
          </w:rPr>
          <w:fldChar w:fldCharType="separate"/>
        </w:r>
        <w:r>
          <w:rPr>
            <w:noProof/>
            <w:webHidden/>
          </w:rPr>
          <w:t>68</w:t>
        </w:r>
        <w:r>
          <w:rPr>
            <w:noProof/>
            <w:webHidden/>
          </w:rPr>
          <w:fldChar w:fldCharType="end"/>
        </w:r>
      </w:hyperlink>
    </w:p>
    <w:p w14:paraId="5C931AB3" w14:textId="38961CEB" w:rsidR="00687BFD" w:rsidRDefault="00687BFD" w:rsidP="003C2E75">
      <w:pPr>
        <w:pStyle w:val="TOC3"/>
        <w:tabs>
          <w:tab w:val="right" w:leader="dot" w:pos="9202"/>
        </w:tabs>
        <w:ind w:left="0" w:firstLine="0"/>
        <w:rPr>
          <w:rFonts w:asciiTheme="minorHAnsi" w:eastAsiaTheme="minorEastAsia" w:hAnsiTheme="minorHAnsi" w:cstheme="minorBidi"/>
          <w:noProof/>
          <w:color w:val="auto"/>
          <w:kern w:val="2"/>
          <w:sz w:val="24"/>
          <w:szCs w:val="24"/>
          <w:lang w:eastAsia="ro-RO"/>
          <w14:ligatures w14:val="standardContextual"/>
        </w:rPr>
      </w:pPr>
      <w:hyperlink w:anchor="_Toc232660580" w:history="1">
        <w:r w:rsidRPr="003E6E75">
          <w:rPr>
            <w:rStyle w:val="Hyperlink"/>
            <w:noProof/>
          </w:rPr>
          <w:t>Consumul experimental de țigări la adolescenți 14-18 ani, YRBSS 2022/2023</w:t>
        </w:r>
        <w:r>
          <w:rPr>
            <w:noProof/>
            <w:webHidden/>
          </w:rPr>
          <w:tab/>
        </w:r>
        <w:r>
          <w:rPr>
            <w:noProof/>
            <w:webHidden/>
          </w:rPr>
          <w:fldChar w:fldCharType="begin"/>
        </w:r>
        <w:r>
          <w:rPr>
            <w:noProof/>
            <w:webHidden/>
          </w:rPr>
          <w:instrText xml:space="preserve"> PAGEREF _Toc232660580 \h </w:instrText>
        </w:r>
        <w:r>
          <w:rPr>
            <w:noProof/>
            <w:webHidden/>
          </w:rPr>
        </w:r>
        <w:r>
          <w:rPr>
            <w:noProof/>
            <w:webHidden/>
          </w:rPr>
          <w:fldChar w:fldCharType="separate"/>
        </w:r>
        <w:r>
          <w:rPr>
            <w:noProof/>
            <w:webHidden/>
          </w:rPr>
          <w:t>69</w:t>
        </w:r>
        <w:r>
          <w:rPr>
            <w:noProof/>
            <w:webHidden/>
          </w:rPr>
          <w:fldChar w:fldCharType="end"/>
        </w:r>
      </w:hyperlink>
    </w:p>
    <w:p w14:paraId="12742DB5" w14:textId="40CA471C" w:rsidR="00687BFD" w:rsidRDefault="00687BFD" w:rsidP="003C2E75">
      <w:pPr>
        <w:pStyle w:val="TOC3"/>
        <w:tabs>
          <w:tab w:val="right" w:leader="dot" w:pos="9202"/>
        </w:tabs>
        <w:ind w:left="0" w:firstLine="0"/>
        <w:rPr>
          <w:rFonts w:asciiTheme="minorHAnsi" w:eastAsiaTheme="minorEastAsia" w:hAnsiTheme="minorHAnsi" w:cstheme="minorBidi"/>
          <w:noProof/>
          <w:color w:val="auto"/>
          <w:kern w:val="2"/>
          <w:sz w:val="24"/>
          <w:szCs w:val="24"/>
          <w:lang w:eastAsia="ro-RO"/>
          <w14:ligatures w14:val="standardContextual"/>
        </w:rPr>
      </w:pPr>
      <w:hyperlink w:anchor="_Toc232660581" w:history="1">
        <w:r w:rsidRPr="003E6E75">
          <w:rPr>
            <w:rStyle w:val="Hyperlink"/>
            <w:noProof/>
          </w:rPr>
          <w:t>Fumatul curent de țigări la adolescenții 14-18 ani, YRBSS 2022/2023</w:t>
        </w:r>
        <w:r>
          <w:rPr>
            <w:noProof/>
            <w:webHidden/>
          </w:rPr>
          <w:tab/>
        </w:r>
        <w:r>
          <w:rPr>
            <w:noProof/>
            <w:webHidden/>
          </w:rPr>
          <w:fldChar w:fldCharType="begin"/>
        </w:r>
        <w:r>
          <w:rPr>
            <w:noProof/>
            <w:webHidden/>
          </w:rPr>
          <w:instrText xml:space="preserve"> PAGEREF _Toc232660581 \h </w:instrText>
        </w:r>
        <w:r>
          <w:rPr>
            <w:noProof/>
            <w:webHidden/>
          </w:rPr>
        </w:r>
        <w:r>
          <w:rPr>
            <w:noProof/>
            <w:webHidden/>
          </w:rPr>
          <w:fldChar w:fldCharType="separate"/>
        </w:r>
        <w:r>
          <w:rPr>
            <w:noProof/>
            <w:webHidden/>
          </w:rPr>
          <w:t>72</w:t>
        </w:r>
        <w:r>
          <w:rPr>
            <w:noProof/>
            <w:webHidden/>
          </w:rPr>
          <w:fldChar w:fldCharType="end"/>
        </w:r>
      </w:hyperlink>
    </w:p>
    <w:p w14:paraId="0E0A22B8" w14:textId="42764823" w:rsidR="00687BFD" w:rsidRDefault="00687BFD">
      <w:pPr>
        <w:pStyle w:val="TOC2"/>
        <w:tabs>
          <w:tab w:val="right" w:leader="dot" w:pos="9202"/>
        </w:tabs>
        <w:rPr>
          <w:rFonts w:asciiTheme="minorHAnsi" w:eastAsiaTheme="minorEastAsia" w:hAnsiTheme="minorHAnsi" w:cstheme="minorBidi"/>
          <w:noProof/>
          <w:color w:val="auto"/>
          <w:kern w:val="2"/>
          <w:sz w:val="24"/>
          <w:szCs w:val="24"/>
          <w:lang w:eastAsia="ro-RO"/>
          <w14:ligatures w14:val="standardContextual"/>
        </w:rPr>
      </w:pPr>
      <w:hyperlink w:anchor="_Toc232660582" w:history="1">
        <w:r w:rsidRPr="003E6E75">
          <w:rPr>
            <w:rStyle w:val="Hyperlink"/>
            <w:noProof/>
          </w:rPr>
          <w:t>V.3.Consumul de țigări electronice sau produse de tutun încălzit la adolescenții 14-18 ani și peste, YRBSS 2022/2023</w:t>
        </w:r>
        <w:r>
          <w:rPr>
            <w:noProof/>
            <w:webHidden/>
          </w:rPr>
          <w:tab/>
        </w:r>
        <w:r>
          <w:rPr>
            <w:noProof/>
            <w:webHidden/>
          </w:rPr>
          <w:fldChar w:fldCharType="begin"/>
        </w:r>
        <w:r>
          <w:rPr>
            <w:noProof/>
            <w:webHidden/>
          </w:rPr>
          <w:instrText xml:space="preserve"> PAGEREF _Toc232660582 \h </w:instrText>
        </w:r>
        <w:r>
          <w:rPr>
            <w:noProof/>
            <w:webHidden/>
          </w:rPr>
        </w:r>
        <w:r>
          <w:rPr>
            <w:noProof/>
            <w:webHidden/>
          </w:rPr>
          <w:fldChar w:fldCharType="separate"/>
        </w:r>
        <w:r>
          <w:rPr>
            <w:noProof/>
            <w:webHidden/>
          </w:rPr>
          <w:t>76</w:t>
        </w:r>
        <w:r>
          <w:rPr>
            <w:noProof/>
            <w:webHidden/>
          </w:rPr>
          <w:fldChar w:fldCharType="end"/>
        </w:r>
      </w:hyperlink>
    </w:p>
    <w:p w14:paraId="35E29588" w14:textId="37987AF4" w:rsidR="00687BFD" w:rsidRDefault="00687BFD">
      <w:pPr>
        <w:pStyle w:val="TOC1"/>
        <w:tabs>
          <w:tab w:val="left" w:pos="720"/>
        </w:tabs>
        <w:rPr>
          <w:rFonts w:asciiTheme="minorHAnsi" w:eastAsiaTheme="minorEastAsia" w:hAnsiTheme="minorHAnsi" w:cstheme="minorBidi"/>
          <w:b w:val="0"/>
          <w:bCs w:val="0"/>
          <w:noProof/>
          <w:color w:val="auto"/>
          <w:kern w:val="2"/>
          <w:sz w:val="24"/>
          <w:szCs w:val="24"/>
          <w:lang w:eastAsia="ro-RO"/>
          <w14:ligatures w14:val="standardContextual"/>
        </w:rPr>
      </w:pPr>
      <w:hyperlink w:anchor="_Toc232660583" w:history="1">
        <w:r w:rsidRPr="003E6E75">
          <w:rPr>
            <w:rStyle w:val="Hyperlink"/>
            <w:noProof/>
          </w:rPr>
          <w:t>Cap VI</w:t>
        </w:r>
        <w:r w:rsidR="003C2E75">
          <w:rPr>
            <w:rStyle w:val="Hyperlink"/>
            <w:noProof/>
          </w:rPr>
          <w:t xml:space="preserve"> </w:t>
        </w:r>
        <w:r w:rsidRPr="003E6E75">
          <w:rPr>
            <w:rStyle w:val="Hyperlink"/>
            <w:noProof/>
          </w:rPr>
          <w:t>Intervenții eficiente pentru controlul fumatului și a utilizării produselor alternative de consum de tutun</w:t>
        </w:r>
        <w:r>
          <w:rPr>
            <w:noProof/>
            <w:webHidden/>
          </w:rPr>
          <w:tab/>
        </w:r>
        <w:r>
          <w:rPr>
            <w:noProof/>
            <w:webHidden/>
          </w:rPr>
          <w:fldChar w:fldCharType="begin"/>
        </w:r>
        <w:r>
          <w:rPr>
            <w:noProof/>
            <w:webHidden/>
          </w:rPr>
          <w:instrText xml:space="preserve"> PAGEREF _Toc232660583 \h </w:instrText>
        </w:r>
        <w:r>
          <w:rPr>
            <w:noProof/>
            <w:webHidden/>
          </w:rPr>
        </w:r>
        <w:r>
          <w:rPr>
            <w:noProof/>
            <w:webHidden/>
          </w:rPr>
          <w:fldChar w:fldCharType="separate"/>
        </w:r>
        <w:r>
          <w:rPr>
            <w:noProof/>
            <w:webHidden/>
          </w:rPr>
          <w:t>79</w:t>
        </w:r>
        <w:r>
          <w:rPr>
            <w:noProof/>
            <w:webHidden/>
          </w:rPr>
          <w:fldChar w:fldCharType="end"/>
        </w:r>
      </w:hyperlink>
    </w:p>
    <w:p w14:paraId="508F4E15" w14:textId="38C35F20" w:rsidR="00687BFD" w:rsidRDefault="00687BFD" w:rsidP="003C2E75">
      <w:pPr>
        <w:pStyle w:val="TOC3"/>
        <w:tabs>
          <w:tab w:val="right" w:leader="dot" w:pos="9202"/>
        </w:tabs>
        <w:ind w:left="0" w:firstLine="0"/>
        <w:rPr>
          <w:rFonts w:asciiTheme="minorHAnsi" w:eastAsiaTheme="minorEastAsia" w:hAnsiTheme="minorHAnsi" w:cstheme="minorBidi"/>
          <w:noProof/>
          <w:color w:val="auto"/>
          <w:kern w:val="2"/>
          <w:sz w:val="24"/>
          <w:szCs w:val="24"/>
          <w:lang w:eastAsia="ro-RO"/>
          <w14:ligatures w14:val="standardContextual"/>
        </w:rPr>
      </w:pPr>
      <w:hyperlink w:anchor="_Toc232660584" w:history="1">
        <w:r w:rsidRPr="003E6E75">
          <w:rPr>
            <w:rStyle w:val="Hyperlink"/>
            <w:noProof/>
          </w:rPr>
          <w:t>Concluzii privind intervențiile și politicile eficiente care au contribuit la reducerea prevalenței consumului de tutun în rândul copiilor și adolescenților</w:t>
        </w:r>
        <w:r>
          <w:rPr>
            <w:noProof/>
            <w:webHidden/>
          </w:rPr>
          <w:tab/>
        </w:r>
        <w:r>
          <w:rPr>
            <w:noProof/>
            <w:webHidden/>
          </w:rPr>
          <w:fldChar w:fldCharType="begin"/>
        </w:r>
        <w:r>
          <w:rPr>
            <w:noProof/>
            <w:webHidden/>
          </w:rPr>
          <w:instrText xml:space="preserve"> PAGEREF _Toc232660584 \h </w:instrText>
        </w:r>
        <w:r>
          <w:rPr>
            <w:noProof/>
            <w:webHidden/>
          </w:rPr>
        </w:r>
        <w:r>
          <w:rPr>
            <w:noProof/>
            <w:webHidden/>
          </w:rPr>
          <w:fldChar w:fldCharType="separate"/>
        </w:r>
        <w:r>
          <w:rPr>
            <w:noProof/>
            <w:webHidden/>
          </w:rPr>
          <w:t>85</w:t>
        </w:r>
        <w:r>
          <w:rPr>
            <w:noProof/>
            <w:webHidden/>
          </w:rPr>
          <w:fldChar w:fldCharType="end"/>
        </w:r>
      </w:hyperlink>
    </w:p>
    <w:p w14:paraId="24B36701" w14:textId="6FB1A207" w:rsidR="00687BFD" w:rsidRDefault="00687BFD">
      <w:pPr>
        <w:pStyle w:val="TOC1"/>
        <w:tabs>
          <w:tab w:val="left" w:pos="720"/>
        </w:tabs>
        <w:rPr>
          <w:rFonts w:asciiTheme="minorHAnsi" w:eastAsiaTheme="minorEastAsia" w:hAnsiTheme="minorHAnsi" w:cstheme="minorBidi"/>
          <w:b w:val="0"/>
          <w:bCs w:val="0"/>
          <w:noProof/>
          <w:color w:val="auto"/>
          <w:kern w:val="2"/>
          <w:sz w:val="24"/>
          <w:szCs w:val="24"/>
          <w:lang w:eastAsia="ro-RO"/>
          <w14:ligatures w14:val="standardContextual"/>
        </w:rPr>
      </w:pPr>
      <w:hyperlink w:anchor="_Toc232660585" w:history="1">
        <w:r w:rsidRPr="003E6E75">
          <w:rPr>
            <w:rStyle w:val="Hyperlink"/>
            <w:noProof/>
          </w:rPr>
          <w:t>Cap VII</w:t>
        </w:r>
        <w:r w:rsidR="003C2E75">
          <w:rPr>
            <w:rStyle w:val="Hyperlink"/>
            <w:noProof/>
          </w:rPr>
          <w:t xml:space="preserve"> </w:t>
        </w:r>
        <w:r w:rsidRPr="003E6E75">
          <w:rPr>
            <w:rStyle w:val="Hyperlink"/>
            <w:noProof/>
          </w:rPr>
          <w:t>Concluzii – identificarea grupului țintă și intervenții propuse</w:t>
        </w:r>
        <w:r>
          <w:rPr>
            <w:noProof/>
            <w:webHidden/>
          </w:rPr>
          <w:tab/>
        </w:r>
        <w:r>
          <w:rPr>
            <w:noProof/>
            <w:webHidden/>
          </w:rPr>
          <w:fldChar w:fldCharType="begin"/>
        </w:r>
        <w:r>
          <w:rPr>
            <w:noProof/>
            <w:webHidden/>
          </w:rPr>
          <w:instrText xml:space="preserve"> PAGEREF _Toc232660585 \h </w:instrText>
        </w:r>
        <w:r>
          <w:rPr>
            <w:noProof/>
            <w:webHidden/>
          </w:rPr>
        </w:r>
        <w:r>
          <w:rPr>
            <w:noProof/>
            <w:webHidden/>
          </w:rPr>
          <w:fldChar w:fldCharType="separate"/>
        </w:r>
        <w:r>
          <w:rPr>
            <w:noProof/>
            <w:webHidden/>
          </w:rPr>
          <w:t>86</w:t>
        </w:r>
        <w:r>
          <w:rPr>
            <w:noProof/>
            <w:webHidden/>
          </w:rPr>
          <w:fldChar w:fldCharType="end"/>
        </w:r>
      </w:hyperlink>
    </w:p>
    <w:p w14:paraId="11835002" w14:textId="0CA1DA03" w:rsidR="00687BFD" w:rsidRDefault="00687BFD">
      <w:pPr>
        <w:pStyle w:val="TOC1"/>
        <w:tabs>
          <w:tab w:val="left" w:pos="720"/>
        </w:tabs>
        <w:rPr>
          <w:rFonts w:asciiTheme="minorHAnsi" w:eastAsiaTheme="minorEastAsia" w:hAnsiTheme="minorHAnsi" w:cstheme="minorBidi"/>
          <w:b w:val="0"/>
          <w:bCs w:val="0"/>
          <w:noProof/>
          <w:color w:val="auto"/>
          <w:kern w:val="2"/>
          <w:sz w:val="24"/>
          <w:szCs w:val="24"/>
          <w:lang w:eastAsia="ro-RO"/>
          <w14:ligatures w14:val="standardContextual"/>
        </w:rPr>
      </w:pPr>
      <w:hyperlink w:anchor="_Toc232660586" w:history="1">
        <w:r w:rsidRPr="003E6E75">
          <w:rPr>
            <w:rStyle w:val="Hyperlink"/>
            <w:noProof/>
          </w:rPr>
          <w:t>Cap VIII</w:t>
        </w:r>
        <w:r w:rsidR="003C2E75">
          <w:rPr>
            <w:rStyle w:val="Hyperlink"/>
            <w:noProof/>
          </w:rPr>
          <w:t xml:space="preserve"> </w:t>
        </w:r>
        <w:r w:rsidRPr="003E6E75">
          <w:rPr>
            <w:rStyle w:val="Hyperlink"/>
            <w:noProof/>
          </w:rPr>
          <w:t>Bibliografie</w:t>
        </w:r>
        <w:r>
          <w:rPr>
            <w:noProof/>
            <w:webHidden/>
          </w:rPr>
          <w:tab/>
        </w:r>
        <w:r>
          <w:rPr>
            <w:noProof/>
            <w:webHidden/>
          </w:rPr>
          <w:fldChar w:fldCharType="begin"/>
        </w:r>
        <w:r>
          <w:rPr>
            <w:noProof/>
            <w:webHidden/>
          </w:rPr>
          <w:instrText xml:space="preserve"> PAGEREF _Toc232660586 \h </w:instrText>
        </w:r>
        <w:r>
          <w:rPr>
            <w:noProof/>
            <w:webHidden/>
          </w:rPr>
        </w:r>
        <w:r>
          <w:rPr>
            <w:noProof/>
            <w:webHidden/>
          </w:rPr>
          <w:fldChar w:fldCharType="separate"/>
        </w:r>
        <w:r>
          <w:rPr>
            <w:noProof/>
            <w:webHidden/>
          </w:rPr>
          <w:t>89</w:t>
        </w:r>
        <w:r>
          <w:rPr>
            <w:noProof/>
            <w:webHidden/>
          </w:rPr>
          <w:fldChar w:fldCharType="end"/>
        </w:r>
      </w:hyperlink>
    </w:p>
    <w:p w14:paraId="6A227463" w14:textId="75A10A81" w:rsidR="009E3553" w:rsidRDefault="009E3553" w:rsidP="009E3553">
      <w:pPr>
        <w:rPr>
          <w:color w:val="262262"/>
        </w:rPr>
      </w:pPr>
      <w:r>
        <w:rPr>
          <w:color w:val="262262"/>
        </w:rPr>
        <w:fldChar w:fldCharType="end"/>
      </w:r>
    </w:p>
    <w:p w14:paraId="786E7397" w14:textId="77777777" w:rsidR="009E3553" w:rsidRDefault="009E3553">
      <w:pPr>
        <w:spacing w:line="240" w:lineRule="auto"/>
        <w:ind w:firstLine="0"/>
        <w:rPr>
          <w:rFonts w:eastAsia="DengXian Light"/>
          <w:b/>
          <w:bCs/>
          <w:color w:val="262262"/>
          <w:sz w:val="28"/>
          <w:szCs w:val="28"/>
        </w:rPr>
      </w:pPr>
      <w:r>
        <w:br w:type="page"/>
      </w:r>
    </w:p>
    <w:p w14:paraId="087D5031" w14:textId="6F144A2C" w:rsidR="00CD3152" w:rsidRPr="006E0160" w:rsidRDefault="00CD3152" w:rsidP="00CD3152">
      <w:pPr>
        <w:pStyle w:val="Heading1"/>
        <w:tabs>
          <w:tab w:val="clear" w:pos="142"/>
        </w:tabs>
        <w:spacing w:line="240" w:lineRule="auto"/>
      </w:pPr>
      <w:bookmarkStart w:id="0" w:name="_Toc232660551"/>
      <w:r w:rsidRPr="006E0160">
        <w:lastRenderedPageBreak/>
        <w:t>Consumul de tutun ca problemă de sănătate publică</w:t>
      </w:r>
      <w:bookmarkEnd w:id="0"/>
    </w:p>
    <w:p w14:paraId="4A7A2551" w14:textId="6FCEA17B" w:rsidR="00CD3152" w:rsidRDefault="00CD3152" w:rsidP="00CD3152">
      <w:pPr>
        <w:ind w:firstLine="708"/>
        <w:jc w:val="both"/>
        <w:rPr>
          <w:noProof/>
        </w:rPr>
      </w:pPr>
      <w:r w:rsidRPr="006E0160">
        <w:rPr>
          <w:noProof/>
        </w:rPr>
        <w:t>Epidemia consumului de tutun reprezintă una dintre cele mai grave amenințări la adresa sănătății publice la nivel global, cu un impact devastator care se traduce în peste 8 milioane de decese anual în întreaga lume. Dintre acestea, peste 7 milioane de persoane mor ca urmare a consumului direct de tutun, în timp ce aproximativ 1,</w:t>
      </w:r>
      <w:r w:rsidR="0062747D">
        <w:rPr>
          <w:noProof/>
        </w:rPr>
        <w:t>6</w:t>
      </w:r>
      <w:r w:rsidRPr="006E0160">
        <w:rPr>
          <w:noProof/>
        </w:rPr>
        <w:t xml:space="preserve"> milioane de decese sunt provocate de expunerea involuntară a nefumătorilor la fumul de tutun (fumat pasiv)</w:t>
      </w:r>
      <w:r>
        <w:rPr>
          <w:noProof/>
        </w:rPr>
        <w:fldChar w:fldCharType="begin"/>
      </w:r>
      <w:r>
        <w:rPr>
          <w:noProof/>
        </w:rPr>
        <w:instrText xml:space="preserve"> ADDIN EN.CITE &lt;EndNote&gt;&lt;Cite&gt;&lt;Author&gt;WHO&lt;/Author&gt;&lt;Year&gt;2025&lt;/Year&gt;&lt;RecNum&gt;9164&lt;/RecNum&gt;&lt;DisplayText&gt;&lt;style size="10"&gt;[1]&lt;/style&gt;&lt;/DisplayText&gt;&lt;record&gt;&lt;rec-number&gt;9164&lt;/rec-number&gt;&lt;foreign-keys&gt;&lt;key app="EN" db-id="fw0prtesnvf55cepezbx255wwza5zw0ssatt" timestamp="1754337538" guid="9259fa9f-663f-4ed9-933e-21e2993be56b"&gt;9164&lt;/key&gt;&lt;/foreign-keys&gt;&lt;ref-type name="Web Page"&gt;12&lt;/ref-type&gt;&lt;contributors&gt;&lt;authors&gt;&lt;author&gt;WHO&lt;/author&gt;&lt;/authors&gt;&lt;/contributors&gt;&lt;titles&gt;&lt;title&gt;Regional Office for Europe - Status of tobacco use in the Region&lt;/title&gt;&lt;/titles&gt;&lt;volume&gt;2025&lt;/volume&gt;&lt;number&gt;28th July&lt;/number&gt;&lt;dates&gt;&lt;year&gt;2025&lt;/year&gt;&lt;/dates&gt;&lt;urls&gt;&lt;related-urls&gt;&lt;url&gt;https://www.who.int/europe/news-room/fact-sheets/item/tobacco&lt;/url&gt;&lt;/related-urls&gt;&lt;/urls&gt;&lt;/record&gt;&lt;/Cite&gt;&lt;/EndNote&gt;</w:instrText>
      </w:r>
      <w:r>
        <w:rPr>
          <w:noProof/>
        </w:rPr>
        <w:fldChar w:fldCharType="separate"/>
      </w:r>
      <w:r w:rsidRPr="002E494B">
        <w:rPr>
          <w:noProof/>
          <w:sz w:val="20"/>
        </w:rPr>
        <w:t>[1]</w:t>
      </w:r>
      <w:r>
        <w:rPr>
          <w:noProof/>
        </w:rPr>
        <w:fldChar w:fldCharType="end"/>
      </w:r>
      <w:r w:rsidRPr="006E0160">
        <w:rPr>
          <w:noProof/>
        </w:rPr>
        <w:t xml:space="preserve">. </w:t>
      </w:r>
    </w:p>
    <w:p w14:paraId="141E5FC4" w14:textId="61597921" w:rsidR="0062747D" w:rsidRPr="006E0160" w:rsidRDefault="0062747D" w:rsidP="00CD3152">
      <w:pPr>
        <w:ind w:firstLine="708"/>
        <w:jc w:val="both"/>
        <w:rPr>
          <w:noProof/>
        </w:rPr>
      </w:pPr>
      <w:r w:rsidRPr="0062747D">
        <w:rPr>
          <w:noProof/>
        </w:rPr>
        <w:t>La nivelul Uniunii Europene, tutunul este cea mai importantă cauză prevenibilă de boală și deces, fiind asociat cu aproape 520.000 de decese în anul 2021. Același raport evidențiază că fumatul crește riscul pentru cancer, boli respiratorii și boli cardiovasculare, iar prevalența fumatului la tinerii europeni de 15–24 ani rămâne îngrijorătoare: 22,9% fumează zilnic sau ocazional, iar 14,8% fumează zilnic</w:t>
      </w:r>
      <w:r w:rsidR="0009552B">
        <w:rPr>
          <w:noProof/>
        </w:rPr>
        <w:t>.</w:t>
      </w:r>
      <w:r w:rsidR="0009552B">
        <w:rPr>
          <w:noProof/>
        </w:rPr>
        <w:fldChar w:fldCharType="begin"/>
      </w:r>
      <w:r w:rsidR="0009552B">
        <w:rPr>
          <w:noProof/>
        </w:rPr>
        <w:instrText xml:space="preserve"> ADDIN EN.CITE &lt;EndNote&gt;&lt;Cite&gt;&lt;Author&gt;Perez-Cornago&lt;/Author&gt;&lt;Year&gt;2026&lt;/Year&gt;&lt;RecNum&gt;9760&lt;/RecNum&gt;&lt;DisplayText&gt;&lt;style size="10"&gt;[2]&lt;/style&gt;&lt;/DisplayText&gt;&lt;record&gt;&lt;rec-number&gt;9760&lt;/rec-number&gt;&lt;foreign-keys&gt;&lt;key app="EN" db-id="fw0prtesnvf55cepezbx255wwza5zw0ssatt" timestamp="1780353134"&gt;9760&lt;/key&gt;&lt;/foreign-keys&gt;&lt;ref-type name="Journal Article"&gt;17&lt;/ref-type&gt;&lt;contributors&gt;&lt;authors&gt;&lt;author&gt;Perez-Cornago, A., Sarasa-Renedo, A., Jarach, C., Wollgast, J., Maragkoudakis, P. &lt;/author&gt;&lt;/authors&gt;&lt;/contributors&gt;&lt;titles&gt;&lt;title&gt;Health outcomes associated with the use of e-cigarettes, heated tobacco products, and nicotine pouches&lt;/title&gt;&lt;secondary-title&gt;Publications Office of the European Union, Luxembourg, 2026&lt;/secondary-title&gt;&lt;/titles&gt;&lt;periodical&gt;&lt;full-title&gt;Publications Office of the European Union, Luxembourg, 2026&lt;/full-title&gt;&lt;/periodical&gt;&lt;dates&gt;&lt;year&gt;&lt;style face="normal" font="default" charset="238" size="100%"&gt;2026&lt;/style&gt;&lt;/year&gt;&lt;/dates&gt;&lt;isbn&gt;1831-9424&lt;/isbn&gt;&lt;label&gt;JRC146139&lt;/label&gt;&lt;urls&gt;&lt;related-urls&gt;&lt;url&gt; https://data.europa.eu/doi/10.2760/0061469&lt;/url&gt;&lt;/related-urls&gt;&lt;/urls&gt;&lt;electronic-resource-num&gt;10.2760/0061469&lt;/electronic-resource-num&gt;&lt;/record&gt;&lt;/Cite&gt;&lt;/EndNote&gt;</w:instrText>
      </w:r>
      <w:r w:rsidR="0009552B">
        <w:rPr>
          <w:noProof/>
        </w:rPr>
        <w:fldChar w:fldCharType="separate"/>
      </w:r>
      <w:r w:rsidR="0009552B" w:rsidRPr="0009552B">
        <w:rPr>
          <w:noProof/>
          <w:sz w:val="20"/>
        </w:rPr>
        <w:t>[2]</w:t>
      </w:r>
      <w:r w:rsidR="0009552B">
        <w:rPr>
          <w:noProof/>
        </w:rPr>
        <w:fldChar w:fldCharType="end"/>
      </w:r>
    </w:p>
    <w:p w14:paraId="4AF67323" w14:textId="77777777" w:rsidR="00CD3152" w:rsidRPr="006E0160" w:rsidRDefault="00CD3152" w:rsidP="00CD3152">
      <w:pPr>
        <w:ind w:firstLine="708"/>
        <w:jc w:val="both"/>
        <w:rPr>
          <w:noProof/>
        </w:rPr>
      </w:pPr>
      <w:r w:rsidRPr="006E0160">
        <w:rPr>
          <w:noProof/>
        </w:rPr>
        <w:t>În cadrul regiunilor Organizației Mondiale a Sănătății (OMS), Europa ocupă locul al doilea în ceea ce privește prevalența consumului de tutun, atât în rândul adulților (25,3%), cât și al adolescenților</w:t>
      </w:r>
      <w:r>
        <w:rPr>
          <w:noProof/>
        </w:rPr>
        <w:t xml:space="preserve"> </w:t>
      </w:r>
      <w:r w:rsidRPr="006E0160">
        <w:rPr>
          <w:noProof/>
        </w:rPr>
        <w:t>(10,8%). Această realitate evidențiază o problemă de sănătate publică persistentă și răspândită, ce afectează multiple segmente populați</w:t>
      </w:r>
      <w:r>
        <w:rPr>
          <w:noProof/>
        </w:rPr>
        <w:t>onale</w:t>
      </w:r>
      <w:r w:rsidRPr="006E0160">
        <w:rPr>
          <w:noProof/>
        </w:rPr>
        <w:t xml:space="preserve">. </w:t>
      </w:r>
      <w:r w:rsidRPr="006E0160">
        <w:rPr>
          <w:noProof/>
        </w:rPr>
        <w:fldChar w:fldCharType="begin"/>
      </w:r>
      <w:r>
        <w:rPr>
          <w:noProof/>
        </w:rPr>
        <w:instrText xml:space="preserve"> ADDIN EN.CITE &lt;EndNote&gt;&lt;Cite&gt;&lt;Author&gt;WHO&lt;/Author&gt;&lt;Year&gt;2025&lt;/Year&gt;&lt;RecNum&gt;9164&lt;/RecNum&gt;&lt;DisplayText&gt;&lt;style size="10"&gt;[1]&lt;/style&gt;&lt;/DisplayText&gt;&lt;record&gt;&lt;rec-number&gt;9164&lt;/rec-number&gt;&lt;foreign-keys&gt;&lt;key app="EN" db-id="fw0prtesnvf55cepezbx255wwza5zw0ssatt" timestamp="1754337538" guid="9259fa9f-663f-4ed9-933e-21e2993be56b"&gt;9164&lt;/key&gt;&lt;/foreign-keys&gt;&lt;ref-type name="Web Page"&gt;12&lt;/ref-type&gt;&lt;contributors&gt;&lt;authors&gt;&lt;author&gt;WHO&lt;/author&gt;&lt;/authors&gt;&lt;/contributors&gt;&lt;titles&gt;&lt;title&gt;Regional Office for Europe - Status of tobacco use in the Region&lt;/title&gt;&lt;/titles&gt;&lt;volume&gt;2025&lt;/volume&gt;&lt;number&gt;28th July&lt;/number&gt;&lt;dates&gt;&lt;year&gt;2025&lt;/year&gt;&lt;/dates&gt;&lt;urls&gt;&lt;related-urls&gt;&lt;url&gt;https://www.who.int/europe/news-room/fact-sheets/item/tobacco&lt;/url&gt;&lt;/related-urls&gt;&lt;/urls&gt;&lt;/record&gt;&lt;/Cite&gt;&lt;/EndNote&gt;</w:instrText>
      </w:r>
      <w:r w:rsidRPr="006E0160">
        <w:rPr>
          <w:noProof/>
        </w:rPr>
        <w:fldChar w:fldCharType="separate"/>
      </w:r>
      <w:r w:rsidRPr="006E0160">
        <w:rPr>
          <w:noProof/>
          <w:sz w:val="20"/>
        </w:rPr>
        <w:t>[1]</w:t>
      </w:r>
      <w:r w:rsidRPr="006E0160">
        <w:rPr>
          <w:noProof/>
        </w:rPr>
        <w:fldChar w:fldCharType="end"/>
      </w:r>
    </w:p>
    <w:p w14:paraId="6BABCFF7" w14:textId="77777777" w:rsidR="00CD3152" w:rsidRPr="006E0160" w:rsidRDefault="00CD3152" w:rsidP="00CD3152">
      <w:pPr>
        <w:ind w:firstLine="708"/>
        <w:jc w:val="both"/>
        <w:rPr>
          <w:noProof/>
        </w:rPr>
      </w:pPr>
      <w:r w:rsidRPr="006E0160">
        <w:rPr>
          <w:noProof/>
        </w:rPr>
        <w:t>În Regiunea Europeană a OMS, în anul 2022, 18,5% dintre femeile cu vârsta de peste 15 ani utilizau diferite produse din tutun, ceea ce reflectă o rată semnificativă de consum în rândul populației feminine adulte.</w:t>
      </w:r>
      <w:r w:rsidRPr="006E0160">
        <w:rPr>
          <w:noProof/>
        </w:rPr>
        <w:fldChar w:fldCharType="begin"/>
      </w:r>
      <w:r>
        <w:rPr>
          <w:noProof/>
        </w:rPr>
        <w:instrText xml:space="preserve"> ADDIN EN.CITE &lt;EndNote&gt;&lt;Cite&gt;&lt;Author&gt;WHO&lt;/Author&gt;&lt;Year&gt;2025&lt;/Year&gt;&lt;RecNum&gt;9164&lt;/RecNum&gt;&lt;DisplayText&gt;&lt;style size="10"&gt;[1]&lt;/style&gt;&lt;/DisplayText&gt;&lt;record&gt;&lt;rec-number&gt;9164&lt;/rec-number&gt;&lt;foreign-keys&gt;&lt;key app="EN" db-id="fw0prtesnvf55cepezbx255wwza5zw0ssatt" timestamp="1754337538" guid="9259fa9f-663f-4ed9-933e-21e2993be56b"&gt;9164&lt;/key&gt;&lt;/foreign-keys&gt;&lt;ref-type name="Web Page"&gt;12&lt;/ref-type&gt;&lt;contributors&gt;&lt;authors&gt;&lt;author&gt;WHO&lt;/author&gt;&lt;/authors&gt;&lt;/contributors&gt;&lt;titles&gt;&lt;title&gt;Regional Office for Europe - Status of tobacco use in the Region&lt;/title&gt;&lt;/titles&gt;&lt;volume&gt;2025&lt;/volume&gt;&lt;number&gt;28th July&lt;/number&gt;&lt;dates&gt;&lt;year&gt;2025&lt;/year&gt;&lt;/dates&gt;&lt;urls&gt;&lt;related-urls&gt;&lt;url&gt;https://www.who.int/europe/news-room/fact-sheets/item/tobacco&lt;/url&gt;&lt;/related-urls&gt;&lt;/urls&gt;&lt;/record&gt;&lt;/Cite&gt;&lt;/EndNote&gt;</w:instrText>
      </w:r>
      <w:r w:rsidRPr="006E0160">
        <w:rPr>
          <w:noProof/>
        </w:rPr>
        <w:fldChar w:fldCharType="separate"/>
      </w:r>
      <w:r w:rsidRPr="006E0160">
        <w:rPr>
          <w:noProof/>
          <w:sz w:val="20"/>
        </w:rPr>
        <w:t>[1]</w:t>
      </w:r>
      <w:r w:rsidRPr="006E0160">
        <w:rPr>
          <w:noProof/>
        </w:rPr>
        <w:fldChar w:fldCharType="end"/>
      </w:r>
    </w:p>
    <w:p w14:paraId="39563729" w14:textId="77777777" w:rsidR="00CD3152" w:rsidRPr="006E0160" w:rsidRDefault="00CD3152" w:rsidP="00CD3152">
      <w:pPr>
        <w:ind w:firstLine="708"/>
        <w:jc w:val="both"/>
        <w:rPr>
          <w:noProof/>
        </w:rPr>
      </w:pPr>
      <w:r w:rsidRPr="006E0160">
        <w:rPr>
          <w:noProof/>
        </w:rPr>
        <w:t>De asemenea, aproximativ 10,8% dintre adolescenții cu vârste cuprinse între 13 și 15 ani consumau tutun în această regiune, ceea ce corespunde unui număr estimat de patru milioane de tineri afectați.</w:t>
      </w:r>
      <w:r w:rsidRPr="006E0160">
        <w:rPr>
          <w:noProof/>
        </w:rPr>
        <w:fldChar w:fldCharType="begin"/>
      </w:r>
      <w:r>
        <w:rPr>
          <w:noProof/>
        </w:rPr>
        <w:instrText xml:space="preserve"> ADDIN EN.CITE &lt;EndNote&gt;&lt;Cite&gt;&lt;Author&gt;WHO&lt;/Author&gt;&lt;Year&gt;2025&lt;/Year&gt;&lt;RecNum&gt;9164&lt;/RecNum&gt;&lt;DisplayText&gt;&lt;style size="10"&gt;[1]&lt;/style&gt;&lt;/DisplayText&gt;&lt;record&gt;&lt;rec-number&gt;9164&lt;/rec-number&gt;&lt;foreign-keys&gt;&lt;key app="EN" db-id="fw0prtesnvf55cepezbx255wwza5zw0ssatt" timestamp="1754337538" guid="9259fa9f-663f-4ed9-933e-21e2993be56b"&gt;9164&lt;/key&gt;&lt;/foreign-keys&gt;&lt;ref-type name="Web Page"&gt;12&lt;/ref-type&gt;&lt;contributors&gt;&lt;authors&gt;&lt;author&gt;WHO&lt;/author&gt;&lt;/authors&gt;&lt;/contributors&gt;&lt;titles&gt;&lt;title&gt;Regional Office for Europe - Status of tobacco use in the Region&lt;/title&gt;&lt;/titles&gt;&lt;volume&gt;2025&lt;/volume&gt;&lt;number&gt;28th July&lt;/number&gt;&lt;dates&gt;&lt;year&gt;2025&lt;/year&gt;&lt;/dates&gt;&lt;urls&gt;&lt;related-urls&gt;&lt;url&gt;https://www.who.int/europe/news-room/fact-sheets/item/tobacco&lt;/url&gt;&lt;/related-urls&gt;&lt;/urls&gt;&lt;/record&gt;&lt;/Cite&gt;&lt;/EndNote&gt;</w:instrText>
      </w:r>
      <w:r w:rsidRPr="006E0160">
        <w:rPr>
          <w:noProof/>
        </w:rPr>
        <w:fldChar w:fldCharType="separate"/>
      </w:r>
      <w:r w:rsidRPr="006E0160">
        <w:rPr>
          <w:noProof/>
          <w:sz w:val="20"/>
        </w:rPr>
        <w:t>[1]</w:t>
      </w:r>
      <w:r w:rsidRPr="006E0160">
        <w:rPr>
          <w:noProof/>
        </w:rPr>
        <w:fldChar w:fldCharType="end"/>
      </w:r>
    </w:p>
    <w:p w14:paraId="3B8EE042" w14:textId="77777777" w:rsidR="00CD3152" w:rsidRPr="006E0160" w:rsidRDefault="00CD3152" w:rsidP="00CD3152">
      <w:pPr>
        <w:ind w:firstLine="708"/>
        <w:jc w:val="both"/>
        <w:rPr>
          <w:noProof/>
        </w:rPr>
      </w:pPr>
      <w:r w:rsidRPr="006E0160">
        <w:rPr>
          <w:noProof/>
        </w:rPr>
        <w:t>Pe lângă impactul social și comportamental, consumul de tutun are implicații majore asupra sănătății. În anul 2020, 18% dintre decesele cauzate de boli netransmisibile (NCD) în Europa au fost atribuite consumului de tutun, evidențiind rolul central al acestui factor de risc în mortalitatea asociată bolilor cronice.</w:t>
      </w:r>
      <w:r w:rsidRPr="006E0160">
        <w:rPr>
          <w:noProof/>
        </w:rPr>
        <w:fldChar w:fldCharType="begin"/>
      </w:r>
      <w:r>
        <w:rPr>
          <w:noProof/>
        </w:rPr>
        <w:instrText xml:space="preserve"> ADDIN EN.CITE &lt;EndNote&gt;&lt;Cite&gt;&lt;Author&gt;WHO&lt;/Author&gt;&lt;Year&gt;2025&lt;/Year&gt;&lt;RecNum&gt;9164&lt;/RecNum&gt;&lt;DisplayText&gt;&lt;style size="10"&gt;[1]&lt;/style&gt;&lt;/DisplayText&gt;&lt;record&gt;&lt;rec-number&gt;9164&lt;/rec-number&gt;&lt;foreign-keys&gt;&lt;key app="EN" db-id="fw0prtesnvf55cepezbx255wwza5zw0ssatt" timestamp="1754337538" guid="9259fa9f-663f-4ed9-933e-21e2993be56b"&gt;9164&lt;/key&gt;&lt;/foreign-keys&gt;&lt;ref-type name="Web Page"&gt;12&lt;/ref-type&gt;&lt;contributors&gt;&lt;authors&gt;&lt;author&gt;WHO&lt;/author&gt;&lt;/authors&gt;&lt;/contributors&gt;&lt;titles&gt;&lt;title&gt;Regional Office for Europe - Status of tobacco use in the Region&lt;/title&gt;&lt;/titles&gt;&lt;volume&gt;2025&lt;/volume&gt;&lt;number&gt;28th July&lt;/number&gt;&lt;dates&gt;&lt;year&gt;2025&lt;/year&gt;&lt;/dates&gt;&lt;urls&gt;&lt;related-urls&gt;&lt;url&gt;https://www.who.int/europe/news-room/fact-sheets/item/tobacco&lt;/url&gt;&lt;/related-urls&gt;&lt;/urls&gt;&lt;/record&gt;&lt;/Cite&gt;&lt;/EndNote&gt;</w:instrText>
      </w:r>
      <w:r w:rsidRPr="006E0160">
        <w:rPr>
          <w:noProof/>
        </w:rPr>
        <w:fldChar w:fldCharType="separate"/>
      </w:r>
      <w:r w:rsidRPr="006E0160">
        <w:rPr>
          <w:noProof/>
          <w:sz w:val="20"/>
        </w:rPr>
        <w:t>[1]</w:t>
      </w:r>
      <w:r w:rsidRPr="006E0160">
        <w:rPr>
          <w:noProof/>
        </w:rPr>
        <w:fldChar w:fldCharType="end"/>
      </w:r>
    </w:p>
    <w:p w14:paraId="733E1EF0" w14:textId="77777777" w:rsidR="00CD3152" w:rsidRPr="006E0160" w:rsidRDefault="00CD3152" w:rsidP="00CD3152">
      <w:pPr>
        <w:ind w:firstLine="708"/>
        <w:jc w:val="both"/>
        <w:rPr>
          <w:noProof/>
        </w:rPr>
      </w:pPr>
      <w:r w:rsidRPr="006E0160">
        <w:rPr>
          <w:noProof/>
        </w:rPr>
        <w:t>Un aspect deosebit de îngrijorător este reprezentat de prevalența ridicată a consumului de tutun în rândul fetelor, Regiunea Europeană înregistrând cea mai mare rată medie globală în această subcategorie populațională. Acest fenomen necesită o atenție sporită și intervenții adaptate pentru prevenirea continuării tendințelor actuale.</w:t>
      </w:r>
    </w:p>
    <w:p w14:paraId="77AC7767" w14:textId="66355B66" w:rsidR="00CD3152" w:rsidRDefault="00CD3152" w:rsidP="00501624">
      <w:pPr>
        <w:pStyle w:val="Heading2"/>
      </w:pPr>
      <w:bookmarkStart w:id="1" w:name="_Toc232660552"/>
      <w:r w:rsidRPr="006E0160">
        <w:t>Prevalența consumului de produse de tutun la populația 15 ani și peste</w:t>
      </w:r>
      <w:r>
        <w:t xml:space="preserve"> în România și statele membre ale UE</w:t>
      </w:r>
      <w:bookmarkEnd w:id="1"/>
      <w:r>
        <w:t xml:space="preserve"> </w:t>
      </w:r>
    </w:p>
    <w:p w14:paraId="2E6DAB99" w14:textId="77777777" w:rsidR="00CD3152" w:rsidRDefault="00CD3152" w:rsidP="00CD3152">
      <w:pPr>
        <w:pStyle w:val="Heading3"/>
      </w:pPr>
      <w:bookmarkStart w:id="2" w:name="_Toc232660553"/>
      <w:r w:rsidRPr="00EB3CCC">
        <w:t>Prevalența consumului de tutun</w:t>
      </w:r>
      <w:r>
        <w:t xml:space="preserve"> convențional la populația 15 ani și peste în România</w:t>
      </w:r>
      <w:bookmarkEnd w:id="2"/>
    </w:p>
    <w:p w14:paraId="405CC5C1" w14:textId="13F55570" w:rsidR="00CD3152" w:rsidRDefault="00CD3152" w:rsidP="00CD3152">
      <w:pPr>
        <w:ind w:firstLine="708"/>
        <w:jc w:val="both"/>
      </w:pPr>
      <w:r>
        <w:t>În România p</w:t>
      </w:r>
      <w:r w:rsidRPr="00A24724">
        <w:t xml:space="preserve">este un sfert </w:t>
      </w:r>
      <w:r>
        <w:t xml:space="preserve">(26,81%) </w:t>
      </w:r>
      <w:r w:rsidRPr="00A24724">
        <w:t>din populația rezidentă de 15 ani și peste fumează, 18,7% din aceasta fiind fumători zilnici</w:t>
      </w:r>
      <w:r>
        <w:t xml:space="preserve"> și 8% fumători ocazionali (</w:t>
      </w:r>
      <w:r>
        <w:fldChar w:fldCharType="begin"/>
      </w:r>
      <w:r>
        <w:instrText xml:space="preserve"> REF _Ref211244794 \h </w:instrText>
      </w:r>
      <w:r>
        <w:fldChar w:fldCharType="separate"/>
      </w:r>
      <w:r>
        <w:t xml:space="preserve">Figura </w:t>
      </w:r>
      <w:r>
        <w:rPr>
          <w:noProof/>
        </w:rPr>
        <w:t>I</w:t>
      </w:r>
      <w:r>
        <w:t>.</w:t>
      </w:r>
      <w:r>
        <w:rPr>
          <w:noProof/>
        </w:rPr>
        <w:t>1</w:t>
      </w:r>
      <w:r>
        <w:fldChar w:fldCharType="end"/>
      </w:r>
      <w:r>
        <w:t xml:space="preserve">) </w:t>
      </w:r>
      <w:r>
        <w:fldChar w:fldCharType="begin"/>
      </w:r>
      <w:r w:rsidR="0009552B">
        <w:instrText xml:space="preserve"> ADDIN EN.CITE &lt;EndNote&gt;&lt;Cite&gt;&lt;Author&gt;INS&lt;/Author&gt;&lt;Year&gt;2021&lt;/Year&gt;&lt;RecNum&gt;9227&lt;/RecNum&gt;&lt;DisplayText&gt;&lt;style size="10"&gt;[3]&lt;/style&gt;&lt;/DisplayText&gt;&lt;record&gt;&lt;rec-number&gt;9227&lt;/rec-number&gt;&lt;foreign-keys&gt;&lt;key app="EN" db-id="fw0prtesnvf55cepezbx255wwza5zw0ssatt" timestamp="1759716798" guid="36a23b9d-60d3-4874-abc0-31c6c4eb1a87"&gt;9227&lt;/key&gt;&lt;/foreign-keys&gt;&lt;ref-type name="Report"&gt;27&lt;/ref-type&gt;&lt;contributors&gt;&lt;authors&gt;&lt;author&gt;&lt;style face="normal" font="default" charset="238" size="100%"&gt;INS&lt;/style&gt;&lt;/author&gt;&lt;/authors&gt;&lt;secondary-authors&gt;&lt;author&gt;&lt;style face="normal" font="default" charset="238" size="100%"&gt;INS&lt;/style&gt;&lt;/author&gt;&lt;/secondary-authors&gt;&lt;/contributors&gt;&lt;titles&gt;&lt;title&gt;&lt;style face="normal" font="default" charset="238" size="100%"&gt;Starea de sănătate a populației din Rom&lt;/style&gt;&lt;style face="normal" font="default" size="100%"&gt;â&lt;/style&gt;&lt;style face="normal" font="default" charset="238" size="100%"&gt;nia -2019&lt;/style&gt;&lt;/title&gt;&lt;/titles&gt;&lt;dates&gt;&lt;year&gt;&lt;style face="normal" font="default" charset="238" size="100%"&gt;2021&lt;/style&gt;&lt;/year&gt;&lt;/dates&gt;&lt;label&gt;&lt;style face="normal" font="default" charset="238" size="100%"&gt;INS Starea de sănătate a populației din Rom&lt;/style&gt;&lt;style face="normal" font="default" size="100%"&gt;â&lt;/style&gt;&lt;style face="normal" font="default" charset="238" size="100%"&gt;nia -2019&lt;/style&gt;&lt;/label&gt;&lt;urls&gt;&lt;related-urls&gt;&lt;url&gt;https://insse.ro/cms/sites/default/files/field/publicatii/starea_de_sanatate_a_populatiei_din_romania_2019.pdf&lt;/url&gt;&lt;/related-urls&gt;&lt;/urls&gt;&lt;/record&gt;&lt;/Cite&gt;&lt;/EndNote&gt;</w:instrText>
      </w:r>
      <w:r>
        <w:fldChar w:fldCharType="separate"/>
      </w:r>
      <w:r w:rsidR="0009552B" w:rsidRPr="0009552B">
        <w:rPr>
          <w:noProof/>
          <w:sz w:val="20"/>
        </w:rPr>
        <w:t>[3]</w:t>
      </w:r>
      <w:r>
        <w:fldChar w:fldCharType="end"/>
      </w:r>
      <w:r w:rsidRPr="00A24724">
        <w:t>. Cei mai mulți fumători zilnici sunt în rândul persoanelor cu vârsta între 25 și 54 de ani</w:t>
      </w:r>
      <w:r>
        <w:t xml:space="preserve"> (</w:t>
      </w:r>
      <w:r>
        <w:fldChar w:fldCharType="begin"/>
      </w:r>
      <w:r>
        <w:instrText xml:space="preserve"> REF _Ref211244890 \h </w:instrText>
      </w:r>
      <w:r>
        <w:fldChar w:fldCharType="separate"/>
      </w:r>
      <w:r w:rsidRPr="006E0160">
        <w:t xml:space="preserve">Figura </w:t>
      </w:r>
      <w:r>
        <w:rPr>
          <w:noProof/>
        </w:rPr>
        <w:t>I</w:t>
      </w:r>
      <w:r>
        <w:t>.</w:t>
      </w:r>
      <w:r>
        <w:rPr>
          <w:noProof/>
        </w:rPr>
        <w:t>2</w:t>
      </w:r>
      <w:r>
        <w:fldChar w:fldCharType="end"/>
      </w:r>
      <w:r>
        <w:t>)</w:t>
      </w:r>
      <w:r w:rsidRPr="00A24724">
        <w:t>, atât în rândul bărbaților, cât și în rândul femeilor</w:t>
      </w:r>
      <w:r>
        <w:fldChar w:fldCharType="begin"/>
      </w:r>
      <w:r w:rsidR="0009552B">
        <w:instrText xml:space="preserve"> ADDIN EN.CITE &lt;EndNote&gt;&lt;Cite&gt;&lt;Author&gt;INS&lt;/Author&gt;&lt;Year&gt;2021&lt;/Year&gt;&lt;RecNum&gt;9227&lt;/RecNum&gt;&lt;DisplayText&gt;&lt;style size="10"&gt;[3]&lt;/style&gt;&lt;/DisplayText&gt;&lt;record&gt;&lt;rec-number&gt;9227&lt;/rec-number&gt;&lt;foreign-keys&gt;&lt;key app="EN" db-id="fw0prtesnvf55cepezbx255wwza5zw0ssatt" timestamp="1759716798" guid="36a23b9d-60d3-4874-abc0-31c6c4eb1a87"&gt;9227&lt;/key&gt;&lt;/foreign-keys&gt;&lt;ref-type name="Report"&gt;27&lt;/ref-type&gt;&lt;contributors&gt;&lt;authors&gt;&lt;author&gt;&lt;style face="normal" font="default" charset="238" size="100%"&gt;INS&lt;/style&gt;&lt;/author&gt;&lt;/authors&gt;&lt;secondary-authors&gt;&lt;author&gt;&lt;style face="normal" font="default" charset="238" size="100%"&gt;INS&lt;/style&gt;&lt;/author&gt;&lt;/secondary-authors&gt;&lt;/contributors&gt;&lt;titles&gt;&lt;title&gt;&lt;style face="normal" font="default" charset="238" size="100%"&gt;Starea de sănătate a populației din Rom&lt;/style&gt;&lt;style face="normal" font="default" size="100%"&gt;â&lt;/style&gt;&lt;style face="normal" font="default" charset="238" size="100%"&gt;nia -2019&lt;/style&gt;&lt;/title&gt;&lt;/titles&gt;&lt;dates&gt;&lt;year&gt;&lt;style face="normal" font="default" charset="238" size="100%"&gt;2021&lt;/style&gt;&lt;/year&gt;&lt;/dates&gt;&lt;label&gt;&lt;style face="normal" font="default" charset="238" size="100%"&gt;INS Starea de sănătate a populației din Rom&lt;/style&gt;&lt;style face="normal" font="default" size="100%"&gt;â&lt;/style&gt;&lt;style face="normal" font="default" charset="238" size="100%"&gt;nia -2019&lt;/style&gt;&lt;/label&gt;&lt;urls&gt;&lt;related-urls&gt;&lt;url&gt;https://insse.ro/cms/sites/default/files/field/publicatii/starea_de_sanatate_a_populatiei_din_romania_2019.pdf&lt;/url&gt;&lt;/related-urls&gt;&lt;/urls&gt;&lt;/record&gt;&lt;/Cite&gt;&lt;/EndNote&gt;</w:instrText>
      </w:r>
      <w:r>
        <w:fldChar w:fldCharType="separate"/>
      </w:r>
      <w:r w:rsidR="0009552B" w:rsidRPr="0009552B">
        <w:rPr>
          <w:noProof/>
          <w:sz w:val="20"/>
        </w:rPr>
        <w:t>[3]</w:t>
      </w:r>
      <w:r>
        <w:fldChar w:fldCharType="end"/>
      </w:r>
      <w:r>
        <w:t>, date colectate în cadrul A</w:t>
      </w:r>
      <w:r w:rsidRPr="006E0160">
        <w:t>nchet</w:t>
      </w:r>
      <w:r>
        <w:t>ei</w:t>
      </w:r>
      <w:r w:rsidRPr="006E0160">
        <w:t xml:space="preserve"> asupra sănătății realizată prin interviu (SANPOP) în anul 2019</w:t>
      </w:r>
      <w:r>
        <w:t>, care</w:t>
      </w:r>
      <w:r w:rsidRPr="006E0160">
        <w:t xml:space="preserve"> reprezintă implementarea în sistemul statistic românesc a celei de a treia Anchete Europene de Sănătate prin Interviu (</w:t>
      </w:r>
      <w:r w:rsidRPr="00190331">
        <w:t xml:space="preserve">European Health Interview surveys </w:t>
      </w:r>
      <w:r>
        <w:t>-</w:t>
      </w:r>
      <w:r w:rsidRPr="006E0160">
        <w:t>EHIS)</w:t>
      </w:r>
      <w:r>
        <w:fldChar w:fldCharType="begin"/>
      </w:r>
      <w:r w:rsidR="0009552B">
        <w:instrText xml:space="preserve"> ADDIN EN.CITE &lt;EndNote&gt;&lt;Cite&gt;&lt;Author&gt;INS&lt;/Author&gt;&lt;Year&gt;2021&lt;/Year&gt;&lt;RecNum&gt;9227&lt;/RecNum&gt;&lt;DisplayText&gt;&lt;style size="10"&gt;[3]&lt;/style&gt;&lt;/DisplayText&gt;&lt;record&gt;&lt;rec-number&gt;9227&lt;/rec-number&gt;&lt;foreign-keys&gt;&lt;key app="EN" db-id="fw0prtesnvf55cepezbx255wwza5zw0ssatt" timestamp="1759716798" guid="36a23b9d-60d3-4874-abc0-31c6c4eb1a87"&gt;9227&lt;/key&gt;&lt;/foreign-keys&gt;&lt;ref-type name="Report"&gt;27&lt;/ref-type&gt;&lt;contributors&gt;&lt;authors&gt;&lt;author&gt;&lt;style face="normal" font="default" charset="238" size="100%"&gt;INS&lt;/style&gt;&lt;/author&gt;&lt;/authors&gt;&lt;secondary-authors&gt;&lt;author&gt;&lt;style face="normal" font="default" charset="238" size="100%"&gt;INS&lt;/style&gt;&lt;/author&gt;&lt;/secondary-authors&gt;&lt;/contributors&gt;&lt;titles&gt;&lt;title&gt;&lt;style face="normal" font="default" charset="238" size="100%"&gt;Starea de sănătate a populației din Rom&lt;/style&gt;&lt;style face="normal" font="default" size="100%"&gt;â&lt;/style&gt;&lt;style face="normal" font="default" charset="238" size="100%"&gt;nia -2019&lt;/style&gt;&lt;/title&gt;&lt;/titles&gt;&lt;dates&gt;&lt;year&gt;&lt;style face="normal" font="default" charset="238" size="100%"&gt;2021&lt;/style&gt;&lt;/year&gt;&lt;/dates&gt;&lt;label&gt;&lt;style face="normal" font="default" charset="238" size="100%"&gt;INS Starea de sănătate a populației din Rom&lt;/style&gt;&lt;style face="normal" font="default" size="100%"&gt;â&lt;/style&gt;&lt;style face="normal" font="default" charset="238" size="100%"&gt;nia -2019&lt;/style&gt;&lt;/label&gt;&lt;urls&gt;&lt;related-urls&gt;&lt;url&gt;https://insse.ro/cms/sites/default/files/field/publicatii/starea_de_sanatate_a_populatiei_din_romania_2019.pdf&lt;/url&gt;&lt;/related-urls&gt;&lt;/urls&gt;&lt;/record&gt;&lt;/Cite&gt;&lt;/EndNote&gt;</w:instrText>
      </w:r>
      <w:r>
        <w:fldChar w:fldCharType="separate"/>
      </w:r>
      <w:r w:rsidR="0009552B" w:rsidRPr="0009552B">
        <w:rPr>
          <w:noProof/>
          <w:sz w:val="20"/>
        </w:rPr>
        <w:t>[3]</w:t>
      </w:r>
      <w:r>
        <w:fldChar w:fldCharType="end"/>
      </w:r>
      <w:r w:rsidRPr="006E0160">
        <w:t xml:space="preserve">. </w:t>
      </w:r>
    </w:p>
    <w:p w14:paraId="421B474B" w14:textId="77777777" w:rsidR="00CD3152" w:rsidRPr="006E0160" w:rsidRDefault="00CD3152" w:rsidP="00CD3152">
      <w:pPr>
        <w:ind w:firstLine="708"/>
        <w:jc w:val="both"/>
      </w:pPr>
    </w:p>
    <w:tbl>
      <w:tblPr>
        <w:tblW w:w="0" w:type="auto"/>
        <w:tblLook w:val="04A0" w:firstRow="1" w:lastRow="0" w:firstColumn="1" w:lastColumn="0" w:noHBand="0" w:noVBand="1"/>
      </w:tblPr>
      <w:tblGrid>
        <w:gridCol w:w="4325"/>
        <w:gridCol w:w="4887"/>
      </w:tblGrid>
      <w:tr w:rsidR="00CD3152" w:rsidRPr="006E0160" w14:paraId="77F7E5CA" w14:textId="77777777" w:rsidTr="00F032B4">
        <w:tc>
          <w:tcPr>
            <w:tcW w:w="4057" w:type="dxa"/>
          </w:tcPr>
          <w:p w14:paraId="2B8ADB58" w14:textId="77777777" w:rsidR="00CD3152" w:rsidRDefault="00CD3152" w:rsidP="00F032B4">
            <w:pPr>
              <w:keepNext/>
              <w:jc w:val="both"/>
            </w:pPr>
            <w:r>
              <w:rPr>
                <w:noProof/>
              </w:rPr>
              <w:lastRenderedPageBreak/>
              <w:drawing>
                <wp:inline distT="0" distB="0" distL="0" distR="0" wp14:anchorId="2B84F0CD" wp14:editId="2616B1E7">
                  <wp:extent cx="2520000" cy="2160000"/>
                  <wp:effectExtent l="0" t="0" r="13970" b="12065"/>
                  <wp:docPr id="417277711" name="Chart 1">
                    <a:extLst xmlns:a="http://schemas.openxmlformats.org/drawingml/2006/main">
                      <a:ext uri="{FF2B5EF4-FFF2-40B4-BE49-F238E27FC236}">
                        <a16:creationId xmlns:a16="http://schemas.microsoft.com/office/drawing/2014/main" id="{9466ECBF-1564-AFBE-E0F6-A04C2A157F7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090D834F" w14:textId="38620D06" w:rsidR="00CD3152" w:rsidRDefault="00501624" w:rsidP="00501624">
            <w:pPr>
              <w:pStyle w:val="Caption"/>
            </w:pPr>
            <w:bookmarkStart w:id="3" w:name="_Ref232565128"/>
            <w:r>
              <w:t xml:space="preserve">Figura </w:t>
            </w:r>
            <w:fldSimple w:instr=" STYLEREF 1 \s ">
              <w:r w:rsidR="0080370C">
                <w:rPr>
                  <w:noProof/>
                </w:rPr>
                <w:t>I</w:t>
              </w:r>
            </w:fldSimple>
            <w:r w:rsidR="0080370C">
              <w:t>.</w:t>
            </w:r>
            <w:fldSimple w:instr=" SEQ Figura \* ARABIC \s 1 ">
              <w:r w:rsidR="0080370C">
                <w:rPr>
                  <w:noProof/>
                </w:rPr>
                <w:t>1</w:t>
              </w:r>
            </w:fldSimple>
            <w:bookmarkEnd w:id="3"/>
            <w:r>
              <w:t xml:space="preserve"> </w:t>
            </w:r>
            <w:r w:rsidR="00CD3152" w:rsidRPr="006E0160">
              <w:t>Frecvența consumului de tutun, zilnic și ocazional la populația rezidentă de 15 ani și peste, Sursa: EHIS 2019</w:t>
            </w:r>
            <w:r w:rsidR="00CD3152">
              <w:fldChar w:fldCharType="begin"/>
            </w:r>
            <w:r w:rsidR="0009552B">
              <w:instrText xml:space="preserve"> ADDIN EN.CITE &lt;EndNote&gt;&lt;Cite&gt;&lt;Author&gt;INS&lt;/Author&gt;&lt;Year&gt;2021&lt;/Year&gt;&lt;RecNum&gt;9227&lt;/RecNum&gt;&lt;DisplayText&gt;&lt;style size="10"&gt;[3]&lt;/style&gt;&lt;/DisplayText&gt;&lt;record&gt;&lt;rec-number&gt;9227&lt;/rec-number&gt;&lt;foreign-keys&gt;&lt;key app="EN" db-id="fw0prtesnvf55cepezbx255wwza5zw0ssatt" timestamp="1759716798" guid="36a23b9d-60d3-4874-abc0-31c6c4eb1a87"&gt;9227&lt;/key&gt;&lt;/foreign-keys&gt;&lt;ref-type name="Report"&gt;27&lt;/ref-type&gt;&lt;contributors&gt;&lt;authors&gt;&lt;author&gt;&lt;style face="normal" font="default" charset="238" size="100%"&gt;INS&lt;/style&gt;&lt;/author&gt;&lt;/authors&gt;&lt;secondary-authors&gt;&lt;author&gt;&lt;style face="normal" font="default" charset="238" size="100%"&gt;INS&lt;/style&gt;&lt;/author&gt;&lt;/secondary-authors&gt;&lt;/contributors&gt;&lt;titles&gt;&lt;title&gt;&lt;style face="normal" font="default" charset="238" size="100%"&gt;Starea de sănătate a populației din Rom&lt;/style&gt;&lt;style face="normal" font="default" size="100%"&gt;â&lt;/style&gt;&lt;style face="normal" font="default" charset="238" size="100%"&gt;nia -2019&lt;/style&gt;&lt;/title&gt;&lt;/titles&gt;&lt;dates&gt;&lt;year&gt;&lt;style face="normal" font="default" charset="238" size="100%"&gt;2021&lt;/style&gt;&lt;/year&gt;&lt;/dates&gt;&lt;label&gt;&lt;style face="normal" font="default" charset="238" size="100%"&gt;INS Starea de sănătate a populației din Rom&lt;/style&gt;&lt;style face="normal" font="default" size="100%"&gt;â&lt;/style&gt;&lt;style face="normal" font="default" charset="238" size="100%"&gt;nia -2019&lt;/style&gt;&lt;/label&gt;&lt;urls&gt;&lt;related-urls&gt;&lt;url&gt;https://insse.ro/cms/sites/default/files/field/publicatii/starea_de_sanatate_a_populatiei_din_romania_2019.pdf&lt;/url&gt;&lt;/related-urls&gt;&lt;/urls&gt;&lt;/record&gt;&lt;/Cite&gt;&lt;/EndNote&gt;</w:instrText>
            </w:r>
            <w:r w:rsidR="00CD3152">
              <w:fldChar w:fldCharType="separate"/>
            </w:r>
            <w:r w:rsidR="0009552B">
              <w:rPr>
                <w:noProof/>
              </w:rPr>
              <w:t>[3]</w:t>
            </w:r>
            <w:r w:rsidR="00CD3152">
              <w:fldChar w:fldCharType="end"/>
            </w:r>
          </w:p>
          <w:p w14:paraId="667313FC" w14:textId="77777777" w:rsidR="00CD3152" w:rsidRPr="00303D73" w:rsidRDefault="00CD3152" w:rsidP="00F032B4"/>
        </w:tc>
        <w:tc>
          <w:tcPr>
            <w:tcW w:w="5155" w:type="dxa"/>
          </w:tcPr>
          <w:p w14:paraId="67D2A3C7" w14:textId="77777777" w:rsidR="00CD3152" w:rsidRPr="006E0160" w:rsidRDefault="00CD3152" w:rsidP="00F032B4">
            <w:pPr>
              <w:keepNext/>
              <w:jc w:val="both"/>
              <w:rPr>
                <w:rFonts w:ascii="Times New Roman" w:hAnsi="Times New Roman"/>
              </w:rPr>
            </w:pPr>
            <w:r>
              <w:rPr>
                <w:noProof/>
              </w:rPr>
              <w:drawing>
                <wp:inline distT="0" distB="0" distL="0" distR="0" wp14:anchorId="4FB3C50E" wp14:editId="3E9B97A2">
                  <wp:extent cx="2880000" cy="2160000"/>
                  <wp:effectExtent l="0" t="0" r="15875" b="12065"/>
                  <wp:docPr id="738278305" name="Chart 1">
                    <a:extLst xmlns:a="http://schemas.openxmlformats.org/drawingml/2006/main">
                      <a:ext uri="{FF2B5EF4-FFF2-40B4-BE49-F238E27FC236}">
                        <a16:creationId xmlns:a16="http://schemas.microsoft.com/office/drawing/2014/main" id="{505B219F-318F-6A2B-A2E6-186E650EE35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16E20574" w14:textId="7E345C7B" w:rsidR="00CD3152" w:rsidRPr="006E0160" w:rsidRDefault="00CD3152" w:rsidP="00F032B4">
            <w:pPr>
              <w:pStyle w:val="Caption"/>
              <w:jc w:val="both"/>
            </w:pPr>
            <w:bookmarkStart w:id="4" w:name="_Ref211244890"/>
            <w:r w:rsidRPr="006E0160">
              <w:t xml:space="preserve">Figura </w:t>
            </w:r>
            <w:fldSimple w:instr=" STYLEREF 1 \s ">
              <w:r w:rsidR="0080370C">
                <w:rPr>
                  <w:noProof/>
                </w:rPr>
                <w:t>I</w:t>
              </w:r>
            </w:fldSimple>
            <w:r w:rsidR="0080370C">
              <w:t>.</w:t>
            </w:r>
            <w:fldSimple w:instr=" SEQ Figura \* ARABIC \s 1 ">
              <w:r w:rsidR="0080370C">
                <w:rPr>
                  <w:noProof/>
                </w:rPr>
                <w:t>2</w:t>
              </w:r>
            </w:fldSimple>
            <w:bookmarkEnd w:id="4"/>
            <w:r w:rsidRPr="006E0160">
              <w:t xml:space="preserve"> Frecvența consumului de tutun, zilnic și ocazional la populația rezidentă de 15 ani și peste, pe grupe de vârstă, Sursa: EHIS 2019</w:t>
            </w:r>
            <w:r>
              <w:fldChar w:fldCharType="begin"/>
            </w:r>
            <w:r w:rsidR="0009552B">
              <w:instrText xml:space="preserve"> ADDIN EN.CITE &lt;EndNote&gt;&lt;Cite&gt;&lt;Author&gt;INS&lt;/Author&gt;&lt;Year&gt;2021&lt;/Year&gt;&lt;RecNum&gt;9227&lt;/RecNum&gt;&lt;DisplayText&gt;&lt;style size="10"&gt;[3]&lt;/style&gt;&lt;/DisplayText&gt;&lt;record&gt;&lt;rec-number&gt;9227&lt;/rec-number&gt;&lt;foreign-keys&gt;&lt;key app="EN" db-id="fw0prtesnvf55cepezbx255wwza5zw0ssatt" timestamp="1759716798" guid="36a23b9d-60d3-4874-abc0-31c6c4eb1a87"&gt;9227&lt;/key&gt;&lt;/foreign-keys&gt;&lt;ref-type name="Report"&gt;27&lt;/ref-type&gt;&lt;contributors&gt;&lt;authors&gt;&lt;author&gt;&lt;style face="normal" font="default" charset="238" size="100%"&gt;INS&lt;/style&gt;&lt;/author&gt;&lt;/authors&gt;&lt;secondary-authors&gt;&lt;author&gt;&lt;style face="normal" font="default" charset="238" size="100%"&gt;INS&lt;/style&gt;&lt;/author&gt;&lt;/secondary-authors&gt;&lt;/contributors&gt;&lt;titles&gt;&lt;title&gt;&lt;style face="normal" font="default" charset="238" size="100%"&gt;Starea de sănătate a populației din Rom&lt;/style&gt;&lt;style face="normal" font="default" size="100%"&gt;â&lt;/style&gt;&lt;style face="normal" font="default" charset="238" size="100%"&gt;nia -2019&lt;/style&gt;&lt;/title&gt;&lt;/titles&gt;&lt;dates&gt;&lt;year&gt;&lt;style face="normal" font="default" charset="238" size="100%"&gt;2021&lt;/style&gt;&lt;/year&gt;&lt;/dates&gt;&lt;label&gt;&lt;style face="normal" font="default" charset="238" size="100%"&gt;INS Starea de sănătate a populației din Rom&lt;/style&gt;&lt;style face="normal" font="default" size="100%"&gt;â&lt;/style&gt;&lt;style face="normal" font="default" charset="238" size="100%"&gt;nia -2019&lt;/style&gt;&lt;/label&gt;&lt;urls&gt;&lt;related-urls&gt;&lt;url&gt;https://insse.ro/cms/sites/default/files/field/publicatii/starea_de_sanatate_a_populatiei_din_romania_2019.pdf&lt;/url&gt;&lt;/related-urls&gt;&lt;/urls&gt;&lt;/record&gt;&lt;/Cite&gt;&lt;/EndNote&gt;</w:instrText>
            </w:r>
            <w:r>
              <w:fldChar w:fldCharType="separate"/>
            </w:r>
            <w:r w:rsidR="0009552B">
              <w:rPr>
                <w:noProof/>
              </w:rPr>
              <w:t>[3]</w:t>
            </w:r>
            <w:r>
              <w:fldChar w:fldCharType="end"/>
            </w:r>
          </w:p>
        </w:tc>
      </w:tr>
    </w:tbl>
    <w:p w14:paraId="7C376E7D" w14:textId="10022B52" w:rsidR="00CD3152" w:rsidRDefault="00CD3152" w:rsidP="00CD3152">
      <w:pPr>
        <w:ind w:firstLine="708"/>
        <w:jc w:val="both"/>
        <w:rPr>
          <w:lang w:bidi="ro-RO"/>
        </w:rPr>
      </w:pPr>
      <w:r w:rsidRPr="00B86740">
        <w:rPr>
          <w:lang w:eastAsia="ro-RO" w:bidi="ro-RO"/>
        </w:rPr>
        <w:t>În cadrul</w:t>
      </w:r>
      <w:r w:rsidR="00D06A68">
        <w:rPr>
          <w:lang w:eastAsia="ro-RO" w:bidi="ro-RO"/>
        </w:rPr>
        <w:t xml:space="preserve"> studiului</w:t>
      </w:r>
      <w:r w:rsidRPr="00B86740">
        <w:rPr>
          <w:lang w:eastAsia="ro-RO" w:bidi="ro-RO"/>
        </w:rPr>
        <w:t xml:space="preserve"> </w:t>
      </w:r>
      <w:r>
        <w:rPr>
          <w:lang w:eastAsia="ro-RO" w:bidi="ro-RO"/>
        </w:rPr>
        <w:t>EHIS 2019</w:t>
      </w:r>
      <w:r w:rsidR="00D06A68">
        <w:rPr>
          <w:lang w:eastAsia="ro-RO" w:bidi="ro-RO"/>
        </w:rPr>
        <w:t xml:space="preserve"> </w:t>
      </w:r>
      <w:r>
        <w:rPr>
          <w:lang w:eastAsia="ro-RO" w:bidi="ro-RO"/>
        </w:rPr>
        <w:t>au fost prelucrate</w:t>
      </w:r>
      <w:r w:rsidRPr="00B86740">
        <w:rPr>
          <w:lang w:eastAsia="ro-RO" w:bidi="ro-RO"/>
        </w:rPr>
        <w:t xml:space="preserve"> date de la</w:t>
      </w:r>
      <w:r w:rsidR="00D06A68">
        <w:rPr>
          <w:lang w:eastAsia="ro-RO" w:bidi="ro-RO"/>
        </w:rPr>
        <w:t xml:space="preserve"> un eșantion de</w:t>
      </w:r>
      <w:r w:rsidRPr="00B86740">
        <w:rPr>
          <w:lang w:eastAsia="ro-RO" w:bidi="ro-RO"/>
        </w:rPr>
        <w:t xml:space="preserve"> 16186 de adulți, </w:t>
      </w:r>
      <w:r w:rsidR="00D06A68" w:rsidRPr="00D06A68">
        <w:rPr>
          <w:lang w:eastAsia="ro-RO" w:bidi="ro-RO"/>
        </w:rPr>
        <w:t xml:space="preserve">iar pentru ca acuratețea acestuia să fie cât mai mare,  au fost incluse la categoria ,, fumat” toate produsele din tutun disponibile pe piață </w:t>
      </w:r>
      <w:r w:rsidR="00D06A68">
        <w:rPr>
          <w:lang w:eastAsia="ro-RO" w:bidi="ro-RO"/>
        </w:rPr>
        <w:t>de la țigări clasice</w:t>
      </w:r>
      <w:r w:rsidRPr="00B86740">
        <w:rPr>
          <w:lang w:eastAsia="ro-RO" w:bidi="ro-RO"/>
        </w:rPr>
        <w:t xml:space="preserve">, țigări rulate manual, trabucuri, pipe, produse din tutun încălzit </w:t>
      </w:r>
      <w:r w:rsidR="00D06A68">
        <w:rPr>
          <w:lang w:eastAsia="ro-RO" w:bidi="ro-RO"/>
        </w:rPr>
        <w:t>(</w:t>
      </w:r>
      <w:r w:rsidRPr="00B86740">
        <w:rPr>
          <w:lang w:eastAsia="ro-RO" w:bidi="ro-RO"/>
        </w:rPr>
        <w:t>IQOS sau GLO)</w:t>
      </w:r>
      <w:r w:rsidR="00D06A68">
        <w:rPr>
          <w:lang w:eastAsia="ro-RO" w:bidi="ro-RO"/>
        </w:rPr>
        <w:t>. N</w:t>
      </w:r>
      <w:r w:rsidRPr="00B86740">
        <w:rPr>
          <w:lang w:eastAsia="ro-RO" w:bidi="ro-RO"/>
        </w:rPr>
        <w:t>umărul mediu de țigări fumate zilnic a fost determinat ca raport între numărul total de țigări fumate într-o zi de fumătorii zilnici de țigări și numărul de persoane care fumează zilnic.</w:t>
      </w:r>
    </w:p>
    <w:p w14:paraId="7596B834" w14:textId="77777777" w:rsidR="00CD3152" w:rsidRDefault="00CD3152" w:rsidP="00CD3152">
      <w:pPr>
        <w:ind w:firstLine="708"/>
        <w:jc w:val="both"/>
        <w:rPr>
          <w:lang w:bidi="ro-RO"/>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6"/>
        <w:gridCol w:w="4606"/>
      </w:tblGrid>
      <w:tr w:rsidR="00CD3152" w14:paraId="6717D6B0" w14:textId="77777777" w:rsidTr="00F032B4">
        <w:tc>
          <w:tcPr>
            <w:tcW w:w="4606" w:type="dxa"/>
          </w:tcPr>
          <w:p w14:paraId="32259A67" w14:textId="77777777" w:rsidR="00CD3152" w:rsidRDefault="00CD3152" w:rsidP="00F032B4">
            <w:pPr>
              <w:keepNext/>
              <w:jc w:val="both"/>
            </w:pPr>
            <w:r>
              <w:rPr>
                <w:noProof/>
              </w:rPr>
              <w:drawing>
                <wp:inline distT="0" distB="0" distL="0" distR="0" wp14:anchorId="7214EAC1" wp14:editId="277EE434">
                  <wp:extent cx="2880000" cy="2160000"/>
                  <wp:effectExtent l="0" t="0" r="15875" b="12065"/>
                  <wp:docPr id="1946944477" name="Chart 1">
                    <a:extLst xmlns:a="http://schemas.openxmlformats.org/drawingml/2006/main">
                      <a:ext uri="{FF2B5EF4-FFF2-40B4-BE49-F238E27FC236}">
                        <a16:creationId xmlns:a16="http://schemas.microsoft.com/office/drawing/2014/main" id="{80EB78FF-3897-80DB-2670-9519E0872E6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67A13077" w14:textId="350D746D" w:rsidR="00CD3152" w:rsidRDefault="00CD3152" w:rsidP="00F032B4">
            <w:pPr>
              <w:pStyle w:val="Caption"/>
              <w:jc w:val="both"/>
              <w:rPr>
                <w:color w:val="000000"/>
                <w:lang w:bidi="ro-RO"/>
              </w:rPr>
            </w:pPr>
            <w:bookmarkStart w:id="5" w:name="_Ref211245022"/>
            <w:r>
              <w:t xml:space="preserve">Figura </w:t>
            </w:r>
            <w:fldSimple w:instr=" STYLEREF 1 \s ">
              <w:r w:rsidR="0080370C">
                <w:rPr>
                  <w:noProof/>
                </w:rPr>
                <w:t>I</w:t>
              </w:r>
            </w:fldSimple>
            <w:r w:rsidR="0080370C">
              <w:t>.</w:t>
            </w:r>
            <w:fldSimple w:instr=" SEQ Figura \* ARABIC \s 1 ">
              <w:r w:rsidR="0080370C">
                <w:rPr>
                  <w:noProof/>
                </w:rPr>
                <w:t>3</w:t>
              </w:r>
            </w:fldSimple>
            <w:bookmarkEnd w:id="5"/>
            <w:r>
              <w:t xml:space="preserve"> </w:t>
            </w:r>
            <w:r w:rsidRPr="00CD10F2">
              <w:t>Frecvența consumului de tutun,</w:t>
            </w:r>
            <w:r>
              <w:t xml:space="preserve"> </w:t>
            </w:r>
            <w:r w:rsidRPr="00CD10F2">
              <w:t>la populația rezidentă de 15 ani și peste,</w:t>
            </w:r>
            <w:r>
              <w:t xml:space="preserve"> în funcție de nivelul de educație și gen,</w:t>
            </w:r>
            <w:r w:rsidRPr="00CD10F2">
              <w:t xml:space="preserve"> Sursa: </w:t>
            </w:r>
            <w:r w:rsidRPr="006E0160">
              <w:t>Sursa: EHIS 2019</w:t>
            </w:r>
            <w:r>
              <w:fldChar w:fldCharType="begin"/>
            </w:r>
            <w:r w:rsidR="0009552B">
              <w:instrText xml:space="preserve"> ADDIN EN.CITE &lt;EndNote&gt;&lt;Cite&gt;&lt;Author&gt;INS&lt;/Author&gt;&lt;Year&gt;2021&lt;/Year&gt;&lt;RecNum&gt;9227&lt;/RecNum&gt;&lt;DisplayText&gt;&lt;style size="10"&gt;[3]&lt;/style&gt;&lt;/DisplayText&gt;&lt;record&gt;&lt;rec-number&gt;9227&lt;/rec-number&gt;&lt;foreign-keys&gt;&lt;key app="EN" db-id="fw0prtesnvf55cepezbx255wwza5zw0ssatt" timestamp="1759716798" guid="36a23b9d-60d3-4874-abc0-31c6c4eb1a87"&gt;9227&lt;/key&gt;&lt;/foreign-keys&gt;&lt;ref-type name="Report"&gt;27&lt;/ref-type&gt;&lt;contributors&gt;&lt;authors&gt;&lt;author&gt;&lt;style face="normal" font="default" charset="238" size="100%"&gt;INS&lt;/style&gt;&lt;/author&gt;&lt;/authors&gt;&lt;secondary-authors&gt;&lt;author&gt;&lt;style face="normal" font="default" charset="238" size="100%"&gt;INS&lt;/style&gt;&lt;/author&gt;&lt;/secondary-authors&gt;&lt;/contributors&gt;&lt;titles&gt;&lt;title&gt;&lt;style face="normal" font="default" charset="238" size="100%"&gt;Starea de sănătate a populației din Rom&lt;/style&gt;&lt;style face="normal" font="default" size="100%"&gt;â&lt;/style&gt;&lt;style face="normal" font="default" charset="238" size="100%"&gt;nia -2019&lt;/style&gt;&lt;/title&gt;&lt;/titles&gt;&lt;dates&gt;&lt;year&gt;&lt;style face="normal" font="default" charset="238" size="100%"&gt;2021&lt;/style&gt;&lt;/year&gt;&lt;/dates&gt;&lt;label&gt;&lt;style face="normal" font="default" charset="238" size="100%"&gt;INS Starea de sănătate a populației din Rom&lt;/style&gt;&lt;style face="normal" font="default" size="100%"&gt;â&lt;/style&gt;&lt;style face="normal" font="default" charset="238" size="100%"&gt;nia -2019&lt;/style&gt;&lt;/label&gt;&lt;urls&gt;&lt;related-urls&gt;&lt;url&gt;https://insse.ro/cms/sites/default/files/field/publicatii/starea_de_sanatate_a_populatiei_din_romania_2019.pdf&lt;/url&gt;&lt;/related-urls&gt;&lt;/urls&gt;&lt;/record&gt;&lt;/Cite&gt;&lt;/EndNote&gt;</w:instrText>
            </w:r>
            <w:r>
              <w:fldChar w:fldCharType="separate"/>
            </w:r>
            <w:r w:rsidR="0009552B">
              <w:rPr>
                <w:noProof/>
              </w:rPr>
              <w:t>[3]</w:t>
            </w:r>
            <w:r>
              <w:fldChar w:fldCharType="end"/>
            </w:r>
          </w:p>
        </w:tc>
        <w:tc>
          <w:tcPr>
            <w:tcW w:w="4606" w:type="dxa"/>
          </w:tcPr>
          <w:p w14:paraId="2DCD3746" w14:textId="77777777" w:rsidR="00CD3152" w:rsidRDefault="00CD3152" w:rsidP="00F032B4">
            <w:pPr>
              <w:keepNext/>
              <w:jc w:val="both"/>
            </w:pPr>
            <w:r>
              <w:rPr>
                <w:noProof/>
              </w:rPr>
              <w:drawing>
                <wp:inline distT="0" distB="0" distL="0" distR="0" wp14:anchorId="4A055C8E" wp14:editId="4ABCA03B">
                  <wp:extent cx="2880000" cy="2160000"/>
                  <wp:effectExtent l="0" t="0" r="15875" b="12065"/>
                  <wp:docPr id="637851227" name="Chart 1">
                    <a:extLst xmlns:a="http://schemas.openxmlformats.org/drawingml/2006/main">
                      <a:ext uri="{FF2B5EF4-FFF2-40B4-BE49-F238E27FC236}">
                        <a16:creationId xmlns:a16="http://schemas.microsoft.com/office/drawing/2014/main" id="{AC6EAF59-711E-42AE-D8C2-14B04A48EF9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34CE3D71" w14:textId="17034FF1" w:rsidR="00CD3152" w:rsidRPr="00FF2EE5" w:rsidRDefault="00CD3152" w:rsidP="00F032B4">
            <w:pPr>
              <w:pStyle w:val="Caption"/>
              <w:jc w:val="both"/>
            </w:pPr>
            <w:bookmarkStart w:id="6" w:name="_Ref211310348"/>
            <w:bookmarkStart w:id="7" w:name="_Ref211310339"/>
            <w:r>
              <w:t xml:space="preserve">Figura </w:t>
            </w:r>
            <w:fldSimple w:instr=" STYLEREF 1 \s ">
              <w:r w:rsidR="0080370C">
                <w:rPr>
                  <w:noProof/>
                </w:rPr>
                <w:t>I</w:t>
              </w:r>
            </w:fldSimple>
            <w:r w:rsidR="0080370C">
              <w:t>.</w:t>
            </w:r>
            <w:fldSimple w:instr=" SEQ Figura \* ARABIC \s 1 ">
              <w:r w:rsidR="0080370C">
                <w:rPr>
                  <w:noProof/>
                </w:rPr>
                <w:t>4</w:t>
              </w:r>
            </w:fldSimple>
            <w:bookmarkEnd w:id="6"/>
            <w:r>
              <w:t xml:space="preserve"> </w:t>
            </w:r>
            <w:r w:rsidRPr="00FF2EE5">
              <w:t>Frecvența consumului de tutun, la populația rezidentă de 15 ani și peste, în funcție de nivelul de educație și mediul de rezidență, Sursa: Sursa: EHIS 2019</w:t>
            </w:r>
            <w:r w:rsidRPr="00FF2EE5">
              <w:fldChar w:fldCharType="begin"/>
            </w:r>
            <w:r w:rsidR="0009552B">
              <w:instrText xml:space="preserve"> ADDIN EN.CITE &lt;EndNote&gt;&lt;Cite&gt;&lt;Author&gt;INS&lt;/Author&gt;&lt;Year&gt;2021&lt;/Year&gt;&lt;RecNum&gt;9227&lt;/RecNum&gt;&lt;DisplayText&gt;&lt;style size="10"&gt;[3]&lt;/style&gt;&lt;/DisplayText&gt;&lt;record&gt;&lt;rec-number&gt;9227&lt;/rec-number&gt;&lt;foreign-keys&gt;&lt;key app="EN" db-id="fw0prtesnvf55cepezbx255wwza5zw0ssatt" timestamp="1759716798" guid="36a23b9d-60d3-4874-abc0-31c6c4eb1a87"&gt;9227&lt;/key&gt;&lt;/foreign-keys&gt;&lt;ref-type name="Report"&gt;27&lt;/ref-type&gt;&lt;contributors&gt;&lt;authors&gt;&lt;author&gt;&lt;style face="normal" font="default" charset="238" size="100%"&gt;INS&lt;/style&gt;&lt;/author&gt;&lt;/authors&gt;&lt;secondary-authors&gt;&lt;author&gt;&lt;style face="normal" font="default" charset="238" size="100%"&gt;INS&lt;/style&gt;&lt;/author&gt;&lt;/secondary-authors&gt;&lt;/contributors&gt;&lt;titles&gt;&lt;title&gt;&lt;style face="normal" font="default" charset="238" size="100%"&gt;Starea de sănătate a populației din Rom&lt;/style&gt;&lt;style face="normal" font="default" size="100%"&gt;â&lt;/style&gt;&lt;style face="normal" font="default" charset="238" size="100%"&gt;nia -2019&lt;/style&gt;&lt;/title&gt;&lt;/titles&gt;&lt;dates&gt;&lt;year&gt;&lt;style face="normal" font="default" charset="238" size="100%"&gt;2021&lt;/style&gt;&lt;/year&gt;&lt;/dates&gt;&lt;label&gt;&lt;style face="normal" font="default" charset="238" size="100%"&gt;INS Starea de sănătate a populației din Rom&lt;/style&gt;&lt;style face="normal" font="default" size="100%"&gt;â&lt;/style&gt;&lt;style face="normal" font="default" charset="238" size="100%"&gt;nia -2019&lt;/style&gt;&lt;/label&gt;&lt;urls&gt;&lt;related-urls&gt;&lt;url&gt;https://insse.ro/cms/sites/default/files/field/publicatii/starea_de_sanatate_a_populatiei_din_romania_2019.pdf&lt;/url&gt;&lt;/related-urls&gt;&lt;/urls&gt;&lt;/record&gt;&lt;/Cite&gt;&lt;/EndNote&gt;</w:instrText>
            </w:r>
            <w:r w:rsidRPr="00FF2EE5">
              <w:fldChar w:fldCharType="separate"/>
            </w:r>
            <w:r w:rsidR="0009552B">
              <w:rPr>
                <w:noProof/>
              </w:rPr>
              <w:t>[3]</w:t>
            </w:r>
            <w:r w:rsidRPr="00FF2EE5">
              <w:fldChar w:fldCharType="end"/>
            </w:r>
            <w:bookmarkEnd w:id="7"/>
          </w:p>
        </w:tc>
      </w:tr>
    </w:tbl>
    <w:p w14:paraId="18941873" w14:textId="77777777" w:rsidR="00CD3152" w:rsidRDefault="00CD3152" w:rsidP="00CD3152">
      <w:pPr>
        <w:ind w:firstLine="708"/>
        <w:jc w:val="both"/>
        <w:rPr>
          <w:lang w:bidi="ro-RO"/>
        </w:rPr>
      </w:pPr>
      <w:r w:rsidRPr="007A4317">
        <w:rPr>
          <w:lang w:bidi="ro-RO"/>
        </w:rPr>
        <w:t>În</w:t>
      </w:r>
      <w:r>
        <w:rPr>
          <w:lang w:bidi="ro-RO"/>
        </w:rPr>
        <w:t xml:space="preserve"> România, frecvența cea mai mare a consumatorilor de tutun se înregistrează la cei cu studii superioare (29%) și medii (30%), în rândul celor cu studii inferioare aceasta fiind de 19 procente.  P</w:t>
      </w:r>
      <w:r w:rsidRPr="007A4317">
        <w:rPr>
          <w:lang w:bidi="ro-RO"/>
        </w:rPr>
        <w:t xml:space="preserve">onderea fumătoarelor este mai mare la persoanele cu studii superioare (18,8%), față de cele cu </w:t>
      </w:r>
      <w:r>
        <w:rPr>
          <w:lang w:bidi="ro-RO"/>
        </w:rPr>
        <w:t>s</w:t>
      </w:r>
      <w:r w:rsidRPr="007A4317">
        <w:rPr>
          <w:lang w:bidi="ro-RO"/>
        </w:rPr>
        <w:t xml:space="preserve">tudii medii (14,8%) </w:t>
      </w:r>
      <w:r>
        <w:rPr>
          <w:lang w:bidi="ro-RO"/>
        </w:rPr>
        <w:t>s</w:t>
      </w:r>
      <w:r w:rsidRPr="007A4317">
        <w:rPr>
          <w:lang w:bidi="ro-RO"/>
        </w:rPr>
        <w:t>au cu nivel de educație scăzut (10,1%)</w:t>
      </w:r>
      <w:r>
        <w:rPr>
          <w:lang w:bidi="ro-RO"/>
        </w:rPr>
        <w:t>(</w:t>
      </w:r>
      <w:r>
        <w:rPr>
          <w:lang w:bidi="ro-RO"/>
        </w:rPr>
        <w:fldChar w:fldCharType="begin"/>
      </w:r>
      <w:r>
        <w:rPr>
          <w:lang w:bidi="ro-RO"/>
        </w:rPr>
        <w:instrText xml:space="preserve"> REF _Ref211245022 \h </w:instrText>
      </w:r>
      <w:r>
        <w:rPr>
          <w:lang w:bidi="ro-RO"/>
        </w:rPr>
      </w:r>
      <w:r>
        <w:rPr>
          <w:lang w:bidi="ro-RO"/>
        </w:rPr>
        <w:fldChar w:fldCharType="separate"/>
      </w:r>
      <w:r>
        <w:t xml:space="preserve">Figura </w:t>
      </w:r>
      <w:r>
        <w:rPr>
          <w:noProof/>
        </w:rPr>
        <w:t>I</w:t>
      </w:r>
      <w:r>
        <w:t>.</w:t>
      </w:r>
      <w:r>
        <w:rPr>
          <w:noProof/>
        </w:rPr>
        <w:t>3</w:t>
      </w:r>
      <w:r>
        <w:rPr>
          <w:lang w:bidi="ro-RO"/>
        </w:rPr>
        <w:fldChar w:fldCharType="end"/>
      </w:r>
      <w:r>
        <w:rPr>
          <w:lang w:bidi="ro-RO"/>
        </w:rPr>
        <w:t>)</w:t>
      </w:r>
      <w:r w:rsidRPr="007A4317">
        <w:rPr>
          <w:lang w:bidi="ro-RO"/>
        </w:rPr>
        <w:t>. În rândul populației masculine, ponderea fumătorilor cu studii medii (44,2%) este mai mare decât cea a fumătorilor cu un nivel de educație superior (40,3%) sau scăzut (32,5%)</w:t>
      </w:r>
      <w:r>
        <w:rPr>
          <w:lang w:bidi="ro-RO"/>
        </w:rPr>
        <w:t>(</w:t>
      </w:r>
      <w:r>
        <w:rPr>
          <w:lang w:bidi="ro-RO"/>
        </w:rPr>
        <w:fldChar w:fldCharType="begin"/>
      </w:r>
      <w:r>
        <w:rPr>
          <w:lang w:bidi="ro-RO"/>
        </w:rPr>
        <w:instrText xml:space="preserve"> REF _Ref211245022 \h </w:instrText>
      </w:r>
      <w:r>
        <w:rPr>
          <w:lang w:bidi="ro-RO"/>
        </w:rPr>
      </w:r>
      <w:r>
        <w:rPr>
          <w:lang w:bidi="ro-RO"/>
        </w:rPr>
        <w:fldChar w:fldCharType="separate"/>
      </w:r>
      <w:r>
        <w:t xml:space="preserve">Figura </w:t>
      </w:r>
      <w:r>
        <w:rPr>
          <w:noProof/>
        </w:rPr>
        <w:t>I</w:t>
      </w:r>
      <w:r>
        <w:t>.</w:t>
      </w:r>
      <w:r>
        <w:rPr>
          <w:noProof/>
        </w:rPr>
        <w:t>3</w:t>
      </w:r>
      <w:r>
        <w:rPr>
          <w:lang w:bidi="ro-RO"/>
        </w:rPr>
        <w:fldChar w:fldCharType="end"/>
      </w:r>
      <w:r>
        <w:rPr>
          <w:lang w:bidi="ro-RO"/>
        </w:rPr>
        <w:t>)</w:t>
      </w:r>
      <w:r w:rsidRPr="007A4317">
        <w:rPr>
          <w:lang w:bidi="ro-RO"/>
        </w:rPr>
        <w:t>.</w:t>
      </w:r>
    </w:p>
    <w:p w14:paraId="047AA695" w14:textId="77777777" w:rsidR="00CD3152" w:rsidRDefault="00CD3152" w:rsidP="00CD3152">
      <w:pPr>
        <w:ind w:firstLine="708"/>
        <w:jc w:val="both"/>
        <w:rPr>
          <w:lang w:bidi="ro-RO"/>
        </w:rPr>
      </w:pPr>
      <w:r w:rsidRPr="007A4317">
        <w:rPr>
          <w:lang w:bidi="ro-RO"/>
        </w:rPr>
        <w:lastRenderedPageBreak/>
        <w:t>În ambele medii de rezidență, urban și rural, cea mai mare pondere a fumătorilor se înregistrează în rândul persoanelor cu un nivel de educație mediu (31,2% în urban și 29,1 în rural</w:t>
      </w:r>
      <w:r>
        <w:rPr>
          <w:lang w:bidi="ro-RO"/>
        </w:rPr>
        <w:t>)(</w:t>
      </w:r>
      <w:r>
        <w:rPr>
          <w:lang w:bidi="ro-RO"/>
        </w:rPr>
        <w:fldChar w:fldCharType="begin"/>
      </w:r>
      <w:r>
        <w:rPr>
          <w:lang w:bidi="ro-RO"/>
        </w:rPr>
        <w:instrText xml:space="preserve"> REF _Ref211310348 \h </w:instrText>
      </w:r>
      <w:r>
        <w:rPr>
          <w:lang w:bidi="ro-RO"/>
        </w:rPr>
      </w:r>
      <w:r>
        <w:rPr>
          <w:lang w:bidi="ro-RO"/>
        </w:rPr>
        <w:fldChar w:fldCharType="separate"/>
      </w:r>
      <w:r>
        <w:t xml:space="preserve">Figura </w:t>
      </w:r>
      <w:r>
        <w:rPr>
          <w:noProof/>
        </w:rPr>
        <w:t>I</w:t>
      </w:r>
      <w:r>
        <w:t>.</w:t>
      </w:r>
      <w:r>
        <w:rPr>
          <w:noProof/>
        </w:rPr>
        <w:t>4</w:t>
      </w:r>
      <w:r>
        <w:rPr>
          <w:lang w:bidi="ro-RO"/>
        </w:rPr>
        <w:fldChar w:fldCharType="end"/>
      </w:r>
      <w:r>
        <w:rPr>
          <w:lang w:bidi="ro-RO"/>
        </w:rPr>
        <w:t>).</w:t>
      </w:r>
    </w:p>
    <w:tbl>
      <w:tblPr>
        <w:tblW w:w="0" w:type="auto"/>
        <w:tblLook w:val="04A0" w:firstRow="1" w:lastRow="0" w:firstColumn="1" w:lastColumn="0" w:noHBand="0" w:noVBand="1"/>
      </w:tblPr>
      <w:tblGrid>
        <w:gridCol w:w="4606"/>
        <w:gridCol w:w="4606"/>
      </w:tblGrid>
      <w:tr w:rsidR="00CD3152" w:rsidRPr="006E0160" w14:paraId="39522E06" w14:textId="77777777" w:rsidTr="00F032B4">
        <w:tc>
          <w:tcPr>
            <w:tcW w:w="4606" w:type="dxa"/>
          </w:tcPr>
          <w:p w14:paraId="70555B72" w14:textId="77777777" w:rsidR="00CD3152" w:rsidRDefault="00CD3152" w:rsidP="00F032B4">
            <w:pPr>
              <w:keepNext/>
              <w:jc w:val="both"/>
            </w:pPr>
            <w:r>
              <w:rPr>
                <w:noProof/>
              </w:rPr>
              <w:drawing>
                <wp:inline distT="0" distB="0" distL="0" distR="0" wp14:anchorId="415BDFCF" wp14:editId="7CA5E302">
                  <wp:extent cx="2880000" cy="2160000"/>
                  <wp:effectExtent l="0" t="0" r="15875" b="12065"/>
                  <wp:docPr id="325616025" name="Chart 1">
                    <a:extLst xmlns:a="http://schemas.openxmlformats.org/drawingml/2006/main">
                      <a:ext uri="{FF2B5EF4-FFF2-40B4-BE49-F238E27FC236}">
                        <a16:creationId xmlns:a16="http://schemas.microsoft.com/office/drawing/2014/main" id="{FE9CC6C4-676D-8942-C2D1-D78F2B2FA1F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15A222E5" w14:textId="4D65B671" w:rsidR="00CD3152" w:rsidRPr="006E0160" w:rsidRDefault="00CD3152" w:rsidP="00F032B4">
            <w:pPr>
              <w:pStyle w:val="Caption"/>
              <w:jc w:val="both"/>
              <w:rPr>
                <w:color w:val="000000"/>
                <w:lang w:eastAsia="ro-RO" w:bidi="ro-RO"/>
              </w:rPr>
            </w:pPr>
            <w:bookmarkStart w:id="8" w:name="_Ref211310407"/>
            <w:r>
              <w:t xml:space="preserve">Figura </w:t>
            </w:r>
            <w:fldSimple w:instr=" STYLEREF 1 \s ">
              <w:r w:rsidR="0080370C">
                <w:rPr>
                  <w:noProof/>
                </w:rPr>
                <w:t>I</w:t>
              </w:r>
            </w:fldSimple>
            <w:r w:rsidR="0080370C">
              <w:t>.</w:t>
            </w:r>
            <w:fldSimple w:instr=" SEQ Figura \* ARABIC \s 1 ">
              <w:r w:rsidR="0080370C">
                <w:rPr>
                  <w:noProof/>
                </w:rPr>
                <w:t>5</w:t>
              </w:r>
            </w:fldSimple>
            <w:bookmarkEnd w:id="8"/>
            <w:r w:rsidRPr="006E0160">
              <w:t xml:space="preserve"> Frecvența consumului de tutun, zilnic și ocazional la populația rezidentă de 15 ani și peste,</w:t>
            </w:r>
            <w:r>
              <w:t xml:space="preserve"> în funcție de gen</w:t>
            </w:r>
            <w:r w:rsidRPr="006E0160">
              <w:t xml:space="preserve"> Sursa: EHIS 2019</w:t>
            </w:r>
            <w:r>
              <w:fldChar w:fldCharType="begin"/>
            </w:r>
            <w:r w:rsidR="0009552B">
              <w:instrText xml:space="preserve"> ADDIN EN.CITE &lt;EndNote&gt;&lt;Cite&gt;&lt;Author&gt;INS&lt;/Author&gt;&lt;Year&gt;2021&lt;/Year&gt;&lt;RecNum&gt;9227&lt;/RecNum&gt;&lt;DisplayText&gt;&lt;style size="10"&gt;[3]&lt;/style&gt;&lt;/DisplayText&gt;&lt;record&gt;&lt;rec-number&gt;9227&lt;/rec-number&gt;&lt;foreign-keys&gt;&lt;key app="EN" db-id="fw0prtesnvf55cepezbx255wwza5zw0ssatt" timestamp="1759716798" guid="36a23b9d-60d3-4874-abc0-31c6c4eb1a87"&gt;9227&lt;/key&gt;&lt;/foreign-keys&gt;&lt;ref-type name="Report"&gt;27&lt;/ref-type&gt;&lt;contributors&gt;&lt;authors&gt;&lt;author&gt;&lt;style face="normal" font="default" charset="238" size="100%"&gt;INS&lt;/style&gt;&lt;/author&gt;&lt;/authors&gt;&lt;secondary-authors&gt;&lt;author&gt;&lt;style face="normal" font="default" charset="238" size="100%"&gt;INS&lt;/style&gt;&lt;/author&gt;&lt;/secondary-authors&gt;&lt;/contributors&gt;&lt;titles&gt;&lt;title&gt;&lt;style face="normal" font="default" charset="238" size="100%"&gt;Starea de sănătate a populației din Rom&lt;/style&gt;&lt;style face="normal" font="default" size="100%"&gt;â&lt;/style&gt;&lt;style face="normal" font="default" charset="238" size="100%"&gt;nia -2019&lt;/style&gt;&lt;/title&gt;&lt;/titles&gt;&lt;dates&gt;&lt;year&gt;&lt;style face="normal" font="default" charset="238" size="100%"&gt;2021&lt;/style&gt;&lt;/year&gt;&lt;/dates&gt;&lt;label&gt;&lt;style face="normal" font="default" charset="238" size="100%"&gt;INS Starea de sănătate a populației din Rom&lt;/style&gt;&lt;style face="normal" font="default" size="100%"&gt;â&lt;/style&gt;&lt;style face="normal" font="default" charset="238" size="100%"&gt;nia -2019&lt;/style&gt;&lt;/label&gt;&lt;urls&gt;&lt;related-urls&gt;&lt;url&gt;https://insse.ro/cms/sites/default/files/field/publicatii/starea_de_sanatate_a_populatiei_din_romania_2019.pdf&lt;/url&gt;&lt;/related-urls&gt;&lt;/urls&gt;&lt;/record&gt;&lt;/Cite&gt;&lt;/EndNote&gt;</w:instrText>
            </w:r>
            <w:r>
              <w:fldChar w:fldCharType="separate"/>
            </w:r>
            <w:r w:rsidR="0009552B">
              <w:rPr>
                <w:noProof/>
              </w:rPr>
              <w:t>[3]</w:t>
            </w:r>
            <w:r>
              <w:fldChar w:fldCharType="end"/>
            </w:r>
          </w:p>
        </w:tc>
        <w:tc>
          <w:tcPr>
            <w:tcW w:w="4606" w:type="dxa"/>
          </w:tcPr>
          <w:p w14:paraId="0821760C" w14:textId="77777777" w:rsidR="00CD3152" w:rsidRPr="006E0160" w:rsidRDefault="00CD3152" w:rsidP="00F032B4">
            <w:pPr>
              <w:keepNext/>
              <w:jc w:val="both"/>
            </w:pPr>
            <w:r>
              <w:rPr>
                <w:noProof/>
              </w:rPr>
              <w:drawing>
                <wp:inline distT="0" distB="0" distL="0" distR="0" wp14:anchorId="0302C9A1" wp14:editId="1CFDC962">
                  <wp:extent cx="2880000" cy="2160000"/>
                  <wp:effectExtent l="0" t="0" r="15875" b="12065"/>
                  <wp:docPr id="1115993446" name="Chart 1">
                    <a:extLst xmlns:a="http://schemas.openxmlformats.org/drawingml/2006/main">
                      <a:ext uri="{FF2B5EF4-FFF2-40B4-BE49-F238E27FC236}">
                        <a16:creationId xmlns:a16="http://schemas.microsoft.com/office/drawing/2014/main" id="{DCBBAE50-35C4-4231-998D-DFAF337171F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06BA6F72" w14:textId="51EF8821" w:rsidR="00CD3152" w:rsidRPr="006E0160" w:rsidRDefault="00CD3152" w:rsidP="00F032B4">
            <w:pPr>
              <w:pStyle w:val="Caption"/>
              <w:jc w:val="both"/>
              <w:rPr>
                <w:color w:val="000000"/>
                <w:lang w:eastAsia="ro-RO" w:bidi="ro-RO"/>
              </w:rPr>
            </w:pPr>
            <w:bookmarkStart w:id="9" w:name="_Ref211245273"/>
            <w:r w:rsidRPr="006E0160">
              <w:t xml:space="preserve">Figura </w:t>
            </w:r>
            <w:fldSimple w:instr=" STYLEREF 1 \s ">
              <w:r w:rsidR="0080370C">
                <w:rPr>
                  <w:noProof/>
                </w:rPr>
                <w:t>I</w:t>
              </w:r>
            </w:fldSimple>
            <w:r w:rsidR="0080370C">
              <w:t>.</w:t>
            </w:r>
            <w:fldSimple w:instr=" SEQ Figura \* ARABIC \s 1 ">
              <w:r w:rsidR="0080370C">
                <w:rPr>
                  <w:noProof/>
                </w:rPr>
                <w:t>6</w:t>
              </w:r>
            </w:fldSimple>
            <w:bookmarkEnd w:id="9"/>
            <w:r w:rsidRPr="006E0160">
              <w:t xml:space="preserve"> Frecvența consumului de tutun, zilnic și ocazional la populația rezidentă de 15 ani și peste,</w:t>
            </w:r>
            <w:r>
              <w:t xml:space="preserve"> </w:t>
            </w:r>
            <w:r w:rsidRPr="006E0160">
              <w:t>pe medii de rezidență Sursa: EHIS 2019</w:t>
            </w:r>
            <w:r>
              <w:fldChar w:fldCharType="begin"/>
            </w:r>
            <w:r w:rsidR="0009552B">
              <w:instrText xml:space="preserve"> ADDIN EN.CITE &lt;EndNote&gt;&lt;Cite&gt;&lt;Author&gt;INS&lt;/Author&gt;&lt;Year&gt;2021&lt;/Year&gt;&lt;RecNum&gt;9227&lt;/RecNum&gt;&lt;DisplayText&gt;&lt;style size="10"&gt;[3]&lt;/style&gt;&lt;/DisplayText&gt;&lt;record&gt;&lt;rec-number&gt;9227&lt;/rec-number&gt;&lt;foreign-keys&gt;&lt;key app="EN" db-id="fw0prtesnvf55cepezbx255wwza5zw0ssatt" timestamp="1759716798" guid="36a23b9d-60d3-4874-abc0-31c6c4eb1a87"&gt;9227&lt;/key&gt;&lt;/foreign-keys&gt;&lt;ref-type name="Report"&gt;27&lt;/ref-type&gt;&lt;contributors&gt;&lt;authors&gt;&lt;author&gt;&lt;style face="normal" font="default" charset="238" size="100%"&gt;INS&lt;/style&gt;&lt;/author&gt;&lt;/authors&gt;&lt;secondary-authors&gt;&lt;author&gt;&lt;style face="normal" font="default" charset="238" size="100%"&gt;INS&lt;/style&gt;&lt;/author&gt;&lt;/secondary-authors&gt;&lt;/contributors&gt;&lt;titles&gt;&lt;title&gt;&lt;style face="normal" font="default" charset="238" size="100%"&gt;Starea de sănătate a populației din Rom&lt;/style&gt;&lt;style face="normal" font="default" size="100%"&gt;â&lt;/style&gt;&lt;style face="normal" font="default" charset="238" size="100%"&gt;nia -2019&lt;/style&gt;&lt;/title&gt;&lt;/titles&gt;&lt;dates&gt;&lt;year&gt;&lt;style face="normal" font="default" charset="238" size="100%"&gt;2021&lt;/style&gt;&lt;/year&gt;&lt;/dates&gt;&lt;label&gt;&lt;style face="normal" font="default" charset="238" size="100%"&gt;INS Starea de sănătate a populației din Rom&lt;/style&gt;&lt;style face="normal" font="default" size="100%"&gt;â&lt;/style&gt;&lt;style face="normal" font="default" charset="238" size="100%"&gt;nia -2019&lt;/style&gt;&lt;/label&gt;&lt;urls&gt;&lt;related-urls&gt;&lt;url&gt;https://insse.ro/cms/sites/default/files/field/publicatii/starea_de_sanatate_a_populatiei_din_romania_2019.pdf&lt;/url&gt;&lt;/related-urls&gt;&lt;/urls&gt;&lt;/record&gt;&lt;/Cite&gt;&lt;/EndNote&gt;</w:instrText>
            </w:r>
            <w:r>
              <w:fldChar w:fldCharType="separate"/>
            </w:r>
            <w:r w:rsidR="0009552B">
              <w:rPr>
                <w:noProof/>
              </w:rPr>
              <w:t>[3]</w:t>
            </w:r>
            <w:r>
              <w:fldChar w:fldCharType="end"/>
            </w:r>
          </w:p>
        </w:tc>
      </w:tr>
    </w:tbl>
    <w:p w14:paraId="20BC6C35" w14:textId="77777777" w:rsidR="00CD3152" w:rsidRDefault="00CD3152" w:rsidP="00CD3152">
      <w:pPr>
        <w:jc w:val="both"/>
        <w:rPr>
          <w:lang w:eastAsia="ro-RO" w:bidi="ro-RO"/>
        </w:rPr>
      </w:pPr>
    </w:p>
    <w:p w14:paraId="778FE06D" w14:textId="77777777" w:rsidR="00CD3152" w:rsidRDefault="00CD3152" w:rsidP="00CD3152">
      <w:pPr>
        <w:ind w:firstLine="708"/>
        <w:jc w:val="both"/>
        <w:rPr>
          <w:lang w:eastAsia="ro-RO" w:bidi="ro-RO"/>
        </w:rPr>
      </w:pPr>
      <w:r>
        <w:rPr>
          <w:lang w:eastAsia="ro-RO" w:bidi="ro-RO"/>
        </w:rPr>
        <w:t>Din punct de vedere a repartiției în funcție de gen, p</w:t>
      </w:r>
      <w:r w:rsidRPr="006E0160">
        <w:rPr>
          <w:lang w:eastAsia="ro-RO" w:bidi="ro-RO"/>
        </w:rPr>
        <w:t xml:space="preserve">onderea </w:t>
      </w:r>
      <w:r w:rsidRPr="00741022">
        <w:rPr>
          <w:lang w:eastAsia="ro-RO" w:bidi="ro-RO"/>
        </w:rPr>
        <w:t>fumătorilor zilnici</w:t>
      </w:r>
      <w:r w:rsidRPr="006E0160">
        <w:rPr>
          <w:lang w:eastAsia="ro-RO" w:bidi="ro-RO"/>
        </w:rPr>
        <w:t xml:space="preserve"> de sex masculin este de 30,42%, </w:t>
      </w:r>
      <w:r>
        <w:rPr>
          <w:lang w:eastAsia="ro-RO" w:bidi="ro-RO"/>
        </w:rPr>
        <w:t>de aproximativ 4 ori mai mare</w:t>
      </w:r>
      <w:r w:rsidRPr="006E0160">
        <w:rPr>
          <w:lang w:eastAsia="ro-RO" w:bidi="ro-RO"/>
        </w:rPr>
        <w:t xml:space="preserve"> decât ponderea populației feminine care fumează zilnic</w:t>
      </w:r>
      <w:r>
        <w:rPr>
          <w:lang w:eastAsia="ro-RO" w:bidi="ro-RO"/>
        </w:rPr>
        <w:t xml:space="preserve">, respectiv 7,66% ( </w:t>
      </w:r>
      <w:r>
        <w:rPr>
          <w:lang w:eastAsia="ro-RO" w:bidi="ro-RO"/>
        </w:rPr>
        <w:fldChar w:fldCharType="begin"/>
      </w:r>
      <w:r>
        <w:rPr>
          <w:lang w:eastAsia="ro-RO" w:bidi="ro-RO"/>
        </w:rPr>
        <w:instrText xml:space="preserve"> REF _Ref211310407 \h </w:instrText>
      </w:r>
      <w:r>
        <w:rPr>
          <w:lang w:eastAsia="ro-RO" w:bidi="ro-RO"/>
        </w:rPr>
      </w:r>
      <w:r>
        <w:rPr>
          <w:lang w:eastAsia="ro-RO" w:bidi="ro-RO"/>
        </w:rPr>
        <w:fldChar w:fldCharType="separate"/>
      </w:r>
      <w:r>
        <w:t xml:space="preserve">Figura </w:t>
      </w:r>
      <w:r>
        <w:rPr>
          <w:noProof/>
        </w:rPr>
        <w:t>I</w:t>
      </w:r>
      <w:r>
        <w:t>.</w:t>
      </w:r>
      <w:r>
        <w:rPr>
          <w:noProof/>
        </w:rPr>
        <w:t>5</w:t>
      </w:r>
      <w:r>
        <w:rPr>
          <w:lang w:eastAsia="ro-RO" w:bidi="ro-RO"/>
        </w:rPr>
        <w:fldChar w:fldCharType="end"/>
      </w:r>
      <w:r>
        <w:rPr>
          <w:lang w:eastAsia="ro-RO" w:bidi="ro-RO"/>
        </w:rPr>
        <w:t xml:space="preserve">). </w:t>
      </w:r>
      <w:r w:rsidRPr="006E0160">
        <w:rPr>
          <w:lang w:eastAsia="ro-RO" w:bidi="ro-RO"/>
        </w:rPr>
        <w:t>Pe medii de rezidență, se constată că 19,9% dintre persoanele din mediul urban fumează zilnic, cu 2,7 puncte procentuale mai mult decât în rural</w:t>
      </w:r>
      <w:r>
        <w:rPr>
          <w:lang w:eastAsia="ro-RO" w:bidi="ro-RO"/>
        </w:rPr>
        <w:t xml:space="preserve"> (17,21%)(</w:t>
      </w:r>
      <w:r>
        <w:rPr>
          <w:lang w:eastAsia="ro-RO" w:bidi="ro-RO"/>
        </w:rPr>
        <w:fldChar w:fldCharType="begin"/>
      </w:r>
      <w:r>
        <w:rPr>
          <w:lang w:eastAsia="ro-RO" w:bidi="ro-RO"/>
        </w:rPr>
        <w:instrText xml:space="preserve"> REF _Ref211245273 \h </w:instrText>
      </w:r>
      <w:r>
        <w:rPr>
          <w:lang w:eastAsia="ro-RO" w:bidi="ro-RO"/>
        </w:rPr>
      </w:r>
      <w:r>
        <w:rPr>
          <w:lang w:eastAsia="ro-RO" w:bidi="ro-RO"/>
        </w:rPr>
        <w:fldChar w:fldCharType="separate"/>
      </w:r>
      <w:r w:rsidRPr="006E0160">
        <w:t xml:space="preserve">Figura </w:t>
      </w:r>
      <w:r>
        <w:rPr>
          <w:noProof/>
        </w:rPr>
        <w:t>I</w:t>
      </w:r>
      <w:r>
        <w:t>.</w:t>
      </w:r>
      <w:r>
        <w:rPr>
          <w:noProof/>
        </w:rPr>
        <w:t>6</w:t>
      </w:r>
      <w:r>
        <w:rPr>
          <w:lang w:eastAsia="ro-RO" w:bidi="ro-RO"/>
        </w:rPr>
        <w:fldChar w:fldCharType="end"/>
      </w:r>
      <w:r>
        <w:rPr>
          <w:lang w:eastAsia="ro-RO" w:bidi="ro-RO"/>
        </w:rPr>
        <w:t>)</w:t>
      </w:r>
      <w:r w:rsidRPr="006E0160">
        <w:rPr>
          <w:lang w:eastAsia="ro-RO" w:bidi="ro-RO"/>
        </w:rPr>
        <w:t>.</w:t>
      </w:r>
    </w:p>
    <w:p w14:paraId="65A1B81F" w14:textId="77777777" w:rsidR="00CD3152" w:rsidRDefault="00CD3152" w:rsidP="00CD3152">
      <w:pPr>
        <w:ind w:firstLine="708"/>
        <w:jc w:val="both"/>
        <w:rPr>
          <w:lang w:eastAsia="ro-RO" w:bidi="ro-RO"/>
        </w:rPr>
      </w:pPr>
    </w:p>
    <w:p w14:paraId="0821674A" w14:textId="77777777" w:rsidR="00CD3152" w:rsidRDefault="00CD3152" w:rsidP="00CD3152">
      <w:pPr>
        <w:keepNext/>
        <w:jc w:val="center"/>
      </w:pPr>
      <w:r>
        <w:rPr>
          <w:noProof/>
        </w:rPr>
        <w:drawing>
          <wp:inline distT="0" distB="0" distL="0" distR="0" wp14:anchorId="4F23684E" wp14:editId="1C654F8E">
            <wp:extent cx="5040000" cy="2520000"/>
            <wp:effectExtent l="0" t="0" r="8255" b="13970"/>
            <wp:docPr id="190451621" name="Chart 1">
              <a:extLst xmlns:a="http://schemas.openxmlformats.org/drawingml/2006/main">
                <a:ext uri="{FF2B5EF4-FFF2-40B4-BE49-F238E27FC236}">
                  <a16:creationId xmlns:a16="http://schemas.microsoft.com/office/drawing/2014/main" id="{51AECF09-4C44-9ED5-EC28-CBE26C7E51F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04843630" w14:textId="6D86D3DC" w:rsidR="00CD3152" w:rsidRDefault="00CD3152" w:rsidP="00CD3152">
      <w:pPr>
        <w:pStyle w:val="Caption"/>
        <w:jc w:val="center"/>
        <w:rPr>
          <w:color w:val="000000"/>
          <w:lang w:eastAsia="ro-RO" w:bidi="ro-RO"/>
        </w:rPr>
      </w:pPr>
      <w:bookmarkStart w:id="10" w:name="_Ref211245299"/>
      <w:r>
        <w:t xml:space="preserve">Figura </w:t>
      </w:r>
      <w:fldSimple w:instr=" STYLEREF 1 \s ">
        <w:r w:rsidR="0080370C">
          <w:rPr>
            <w:noProof/>
          </w:rPr>
          <w:t>I</w:t>
        </w:r>
      </w:fldSimple>
      <w:r w:rsidR="0080370C">
        <w:t>.</w:t>
      </w:r>
      <w:fldSimple w:instr=" SEQ Figura \* ARABIC \s 1 ">
        <w:r w:rsidR="0080370C">
          <w:rPr>
            <w:noProof/>
          </w:rPr>
          <w:t>7</w:t>
        </w:r>
      </w:fldSimple>
      <w:bookmarkEnd w:id="10"/>
      <w:r w:rsidRPr="001E78F2">
        <w:t xml:space="preserve"> Frecvența consumului de tutun zilnic la populația rezidentă de </w:t>
      </w:r>
      <w:r>
        <w:t>15 ani și peste</w:t>
      </w:r>
      <w:r w:rsidRPr="001E78F2">
        <w:t xml:space="preserve">, în funcție de numărul de țigări fumate și grupe de vârstă, Sursa: </w:t>
      </w:r>
      <w:r w:rsidRPr="006E0160">
        <w:t>EHIS 2019</w:t>
      </w:r>
      <w:r>
        <w:fldChar w:fldCharType="begin"/>
      </w:r>
      <w:r w:rsidR="0009552B">
        <w:instrText xml:space="preserve"> ADDIN EN.CITE &lt;EndNote&gt;&lt;Cite&gt;&lt;Author&gt;INS&lt;/Author&gt;&lt;Year&gt;2021&lt;/Year&gt;&lt;RecNum&gt;9227&lt;/RecNum&gt;&lt;DisplayText&gt;&lt;style size="10"&gt;[3]&lt;/style&gt;&lt;/DisplayText&gt;&lt;record&gt;&lt;rec-number&gt;9227&lt;/rec-number&gt;&lt;foreign-keys&gt;&lt;key app="EN" db-id="fw0prtesnvf55cepezbx255wwza5zw0ssatt" timestamp="1759716798" guid="36a23b9d-60d3-4874-abc0-31c6c4eb1a87"&gt;9227&lt;/key&gt;&lt;/foreign-keys&gt;&lt;ref-type name="Report"&gt;27&lt;/ref-type&gt;&lt;contributors&gt;&lt;authors&gt;&lt;author&gt;&lt;style face="normal" font="default" charset="238" size="100%"&gt;INS&lt;/style&gt;&lt;/author&gt;&lt;/authors&gt;&lt;secondary-authors&gt;&lt;author&gt;&lt;style face="normal" font="default" charset="238" size="100%"&gt;INS&lt;/style&gt;&lt;/author&gt;&lt;/secondary-authors&gt;&lt;/contributors&gt;&lt;titles&gt;&lt;title&gt;&lt;style face="normal" font="default" charset="238" size="100%"&gt;Starea de sănătate a populației din Rom&lt;/style&gt;&lt;style face="normal" font="default" size="100%"&gt;â&lt;/style&gt;&lt;style face="normal" font="default" charset="238" size="100%"&gt;nia -2019&lt;/style&gt;&lt;/title&gt;&lt;/titles&gt;&lt;dates&gt;&lt;year&gt;&lt;style face="normal" font="default" charset="238" size="100%"&gt;2021&lt;/style&gt;&lt;/year&gt;&lt;/dates&gt;&lt;label&gt;&lt;style face="normal" font="default" charset="238" size="100%"&gt;INS Starea de sănătate a populației din Rom&lt;/style&gt;&lt;style face="normal" font="default" size="100%"&gt;â&lt;/style&gt;&lt;style face="normal" font="default" charset="238" size="100%"&gt;nia -2019&lt;/style&gt;&lt;/label&gt;&lt;urls&gt;&lt;related-urls&gt;&lt;url&gt;https://insse.ro/cms/sites/default/files/field/publicatii/starea_de_sanatate_a_populatiei_din_romania_2019.pdf&lt;/url&gt;&lt;/related-urls&gt;&lt;/urls&gt;&lt;/record&gt;&lt;/Cite&gt;&lt;/EndNote&gt;</w:instrText>
      </w:r>
      <w:r>
        <w:fldChar w:fldCharType="separate"/>
      </w:r>
      <w:r w:rsidR="0009552B">
        <w:rPr>
          <w:noProof/>
        </w:rPr>
        <w:t>[3]</w:t>
      </w:r>
      <w:r>
        <w:fldChar w:fldCharType="end"/>
      </w:r>
    </w:p>
    <w:p w14:paraId="5F1F7AAB" w14:textId="77777777" w:rsidR="00CD3152" w:rsidRDefault="00CD3152" w:rsidP="00CD3152">
      <w:pPr>
        <w:ind w:firstLine="708"/>
        <w:jc w:val="both"/>
        <w:rPr>
          <w:lang w:eastAsia="ro-RO" w:bidi="ro-RO"/>
        </w:rPr>
      </w:pPr>
      <w:r>
        <w:rPr>
          <w:lang w:eastAsia="ro-RO" w:bidi="ro-RO"/>
        </w:rPr>
        <w:t>Din perspectiva numărului de țigări utilizate, 57</w:t>
      </w:r>
      <w:r w:rsidRPr="00D32305">
        <w:rPr>
          <w:lang w:eastAsia="ro-RO" w:bidi="ro-RO"/>
        </w:rPr>
        <w:t>% dintre</w:t>
      </w:r>
      <w:r>
        <w:rPr>
          <w:lang w:eastAsia="ro-RO" w:bidi="ro-RO"/>
        </w:rPr>
        <w:t xml:space="preserve"> adulții</w:t>
      </w:r>
      <w:r w:rsidRPr="00D32305">
        <w:rPr>
          <w:lang w:eastAsia="ro-RO" w:bidi="ro-RO"/>
        </w:rPr>
        <w:t xml:space="preserve"> fumători zilnici fumează între 10 și 19 țigări pe zi</w:t>
      </w:r>
      <w:r>
        <w:rPr>
          <w:lang w:eastAsia="ro-RO" w:bidi="ro-RO"/>
        </w:rPr>
        <w:t xml:space="preserve"> și mai mult de un sfert dintre aceștia (</w:t>
      </w:r>
      <w:r w:rsidRPr="00D32305">
        <w:rPr>
          <w:lang w:eastAsia="ro-RO" w:bidi="ro-RO"/>
        </w:rPr>
        <w:t>2</w:t>
      </w:r>
      <w:r>
        <w:rPr>
          <w:lang w:eastAsia="ro-RO" w:bidi="ro-RO"/>
        </w:rPr>
        <w:t>7</w:t>
      </w:r>
      <w:r w:rsidRPr="00D32305">
        <w:rPr>
          <w:lang w:eastAsia="ro-RO" w:bidi="ro-RO"/>
        </w:rPr>
        <w:t>%</w:t>
      </w:r>
      <w:r>
        <w:rPr>
          <w:lang w:eastAsia="ro-RO" w:bidi="ro-RO"/>
        </w:rPr>
        <w:t>)</w:t>
      </w:r>
      <w:r w:rsidRPr="00D32305">
        <w:rPr>
          <w:lang w:eastAsia="ro-RO" w:bidi="ro-RO"/>
        </w:rPr>
        <w:t xml:space="preserve"> consumă între 20 și 29 de țigări zilnic</w:t>
      </w:r>
      <w:r>
        <w:rPr>
          <w:lang w:eastAsia="ro-RO" w:bidi="ro-RO"/>
        </w:rPr>
        <w:t xml:space="preserve"> (</w:t>
      </w:r>
      <w:r>
        <w:rPr>
          <w:lang w:eastAsia="ro-RO" w:bidi="ro-RO"/>
        </w:rPr>
        <w:fldChar w:fldCharType="begin"/>
      </w:r>
      <w:r>
        <w:rPr>
          <w:lang w:eastAsia="ro-RO" w:bidi="ro-RO"/>
        </w:rPr>
        <w:instrText xml:space="preserve"> REF _Ref211245299 \h </w:instrText>
      </w:r>
      <w:r>
        <w:rPr>
          <w:lang w:eastAsia="ro-RO" w:bidi="ro-RO"/>
        </w:rPr>
      </w:r>
      <w:r>
        <w:rPr>
          <w:lang w:eastAsia="ro-RO" w:bidi="ro-RO"/>
        </w:rPr>
        <w:fldChar w:fldCharType="separate"/>
      </w:r>
      <w:r>
        <w:t xml:space="preserve">Figura </w:t>
      </w:r>
      <w:r>
        <w:rPr>
          <w:noProof/>
        </w:rPr>
        <w:t>I</w:t>
      </w:r>
      <w:r>
        <w:t>.</w:t>
      </w:r>
      <w:r>
        <w:rPr>
          <w:noProof/>
        </w:rPr>
        <w:t>7</w:t>
      </w:r>
      <w:r>
        <w:rPr>
          <w:lang w:eastAsia="ro-RO" w:bidi="ro-RO"/>
        </w:rPr>
        <w:fldChar w:fldCharType="end"/>
      </w:r>
      <w:r>
        <w:rPr>
          <w:lang w:eastAsia="ro-RO" w:bidi="ro-RO"/>
        </w:rPr>
        <w:t>)</w:t>
      </w:r>
      <w:r w:rsidRPr="00D32305">
        <w:rPr>
          <w:lang w:eastAsia="ro-RO" w:bidi="ro-RO"/>
        </w:rPr>
        <w:t>.</w:t>
      </w:r>
      <w:r>
        <w:rPr>
          <w:lang w:eastAsia="ro-RO" w:bidi="ro-RO"/>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6"/>
        <w:gridCol w:w="4606"/>
      </w:tblGrid>
      <w:tr w:rsidR="00CD3152" w14:paraId="5AC73FED" w14:textId="77777777" w:rsidTr="00F032B4">
        <w:tc>
          <w:tcPr>
            <w:tcW w:w="4606" w:type="dxa"/>
          </w:tcPr>
          <w:p w14:paraId="55B1EAE8" w14:textId="77777777" w:rsidR="00CD3152" w:rsidRDefault="00CD3152" w:rsidP="00F032B4">
            <w:pPr>
              <w:keepNext/>
              <w:jc w:val="both"/>
            </w:pPr>
            <w:r>
              <w:rPr>
                <w:noProof/>
              </w:rPr>
              <w:lastRenderedPageBreak/>
              <w:drawing>
                <wp:inline distT="0" distB="0" distL="0" distR="0" wp14:anchorId="75A9BE8B" wp14:editId="0BFFD109">
                  <wp:extent cx="2879725" cy="2159635"/>
                  <wp:effectExtent l="0" t="0" r="15875" b="12065"/>
                  <wp:docPr id="1735098616" name="Chart 1">
                    <a:extLst xmlns:a="http://schemas.openxmlformats.org/drawingml/2006/main">
                      <a:ext uri="{FF2B5EF4-FFF2-40B4-BE49-F238E27FC236}">
                        <a16:creationId xmlns:a16="http://schemas.microsoft.com/office/drawing/2014/main" id="{8B714B2D-9F88-4CB0-A39D-6BDB9230541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258D98A1" w14:textId="36CA1C38" w:rsidR="00CD3152" w:rsidRDefault="00CD3152" w:rsidP="00F032B4">
            <w:pPr>
              <w:pStyle w:val="Caption"/>
              <w:jc w:val="both"/>
              <w:rPr>
                <w:color w:val="000000"/>
                <w:lang w:eastAsia="ro-RO" w:bidi="ro-RO"/>
              </w:rPr>
            </w:pPr>
            <w:bookmarkStart w:id="11" w:name="_Ref211245349"/>
            <w:r>
              <w:t xml:space="preserve">Figura </w:t>
            </w:r>
            <w:fldSimple w:instr=" STYLEREF 1 \s ">
              <w:r w:rsidR="0080370C">
                <w:rPr>
                  <w:noProof/>
                </w:rPr>
                <w:t>I</w:t>
              </w:r>
            </w:fldSimple>
            <w:r w:rsidR="0080370C">
              <w:t>.</w:t>
            </w:r>
            <w:fldSimple w:instr=" SEQ Figura \* ARABIC \s 1 ">
              <w:r w:rsidR="0080370C">
                <w:rPr>
                  <w:noProof/>
                </w:rPr>
                <w:t>8</w:t>
              </w:r>
            </w:fldSimple>
            <w:bookmarkEnd w:id="11"/>
            <w:r>
              <w:t xml:space="preserve"> </w:t>
            </w:r>
            <w:r w:rsidRPr="00D62E23">
              <w:t xml:space="preserve">Frecvența consumului de tutun zilnic la populația rezidentă de 15 ani și peste, în funcție de numărul de țigări fumate și </w:t>
            </w:r>
            <w:r>
              <w:t>gen</w:t>
            </w:r>
            <w:r w:rsidRPr="00D62E23">
              <w:t xml:space="preserve">, Sursa: </w:t>
            </w:r>
            <w:r w:rsidRPr="006E0160">
              <w:t>EHIS 2019</w:t>
            </w:r>
            <w:r>
              <w:fldChar w:fldCharType="begin"/>
            </w:r>
            <w:r w:rsidR="0009552B">
              <w:instrText xml:space="preserve"> ADDIN EN.CITE &lt;EndNote&gt;&lt;Cite&gt;&lt;Author&gt;INS&lt;/Author&gt;&lt;Year&gt;2021&lt;/Year&gt;&lt;RecNum&gt;9227&lt;/RecNum&gt;&lt;DisplayText&gt;&lt;style size="10"&gt;[3]&lt;/style&gt;&lt;/DisplayText&gt;&lt;record&gt;&lt;rec-number&gt;9227&lt;/rec-number&gt;&lt;foreign-keys&gt;&lt;key app="EN" db-id="fw0prtesnvf55cepezbx255wwza5zw0ssatt" timestamp="1759716798" guid="36a23b9d-60d3-4874-abc0-31c6c4eb1a87"&gt;9227&lt;/key&gt;&lt;/foreign-keys&gt;&lt;ref-type name="Report"&gt;27&lt;/ref-type&gt;&lt;contributors&gt;&lt;authors&gt;&lt;author&gt;&lt;style face="normal" font="default" charset="238" size="100%"&gt;INS&lt;/style&gt;&lt;/author&gt;&lt;/authors&gt;&lt;secondary-authors&gt;&lt;author&gt;&lt;style face="normal" font="default" charset="238" size="100%"&gt;INS&lt;/style&gt;&lt;/author&gt;&lt;/secondary-authors&gt;&lt;/contributors&gt;&lt;titles&gt;&lt;title&gt;&lt;style face="normal" font="default" charset="238" size="100%"&gt;Starea de sănătate a populației din Rom&lt;/style&gt;&lt;style face="normal" font="default" size="100%"&gt;â&lt;/style&gt;&lt;style face="normal" font="default" charset="238" size="100%"&gt;nia -2019&lt;/style&gt;&lt;/title&gt;&lt;/titles&gt;&lt;dates&gt;&lt;year&gt;&lt;style face="normal" font="default" charset="238" size="100%"&gt;2021&lt;/style&gt;&lt;/year&gt;&lt;/dates&gt;&lt;label&gt;&lt;style face="normal" font="default" charset="238" size="100%"&gt;INS Starea de sănătate a populației din Rom&lt;/style&gt;&lt;style face="normal" font="default" size="100%"&gt;â&lt;/style&gt;&lt;style face="normal" font="default" charset="238" size="100%"&gt;nia -2019&lt;/style&gt;&lt;/label&gt;&lt;urls&gt;&lt;related-urls&gt;&lt;url&gt;https://insse.ro/cms/sites/default/files/field/publicatii/starea_de_sanatate_a_populatiei_din_romania_2019.pdf&lt;/url&gt;&lt;/related-urls&gt;&lt;/urls&gt;&lt;/record&gt;&lt;/Cite&gt;&lt;/EndNote&gt;</w:instrText>
            </w:r>
            <w:r>
              <w:fldChar w:fldCharType="separate"/>
            </w:r>
            <w:r w:rsidR="0009552B">
              <w:rPr>
                <w:noProof/>
              </w:rPr>
              <w:t>[3]</w:t>
            </w:r>
            <w:r>
              <w:fldChar w:fldCharType="end"/>
            </w:r>
          </w:p>
        </w:tc>
        <w:tc>
          <w:tcPr>
            <w:tcW w:w="4606" w:type="dxa"/>
          </w:tcPr>
          <w:p w14:paraId="442523DE" w14:textId="77777777" w:rsidR="00CD3152" w:rsidRDefault="00CD3152" w:rsidP="00F032B4">
            <w:pPr>
              <w:keepNext/>
              <w:jc w:val="both"/>
            </w:pPr>
            <w:r>
              <w:rPr>
                <w:noProof/>
              </w:rPr>
              <w:drawing>
                <wp:inline distT="0" distB="0" distL="0" distR="0" wp14:anchorId="70030788" wp14:editId="3F44CE43">
                  <wp:extent cx="2880000" cy="2160000"/>
                  <wp:effectExtent l="0" t="0" r="15875" b="12065"/>
                  <wp:docPr id="727843937" name="Chart 1">
                    <a:extLst xmlns:a="http://schemas.openxmlformats.org/drawingml/2006/main">
                      <a:ext uri="{FF2B5EF4-FFF2-40B4-BE49-F238E27FC236}">
                        <a16:creationId xmlns:a16="http://schemas.microsoft.com/office/drawing/2014/main" id="{720594CC-4A22-42B0-BE04-C36228870B2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5FDDCB25" w14:textId="44A0E136" w:rsidR="00CD3152" w:rsidRDefault="00CD3152" w:rsidP="00F032B4">
            <w:pPr>
              <w:pStyle w:val="Caption"/>
              <w:jc w:val="both"/>
              <w:rPr>
                <w:color w:val="000000"/>
                <w:lang w:eastAsia="ro-RO" w:bidi="ro-RO"/>
              </w:rPr>
            </w:pPr>
            <w:bookmarkStart w:id="12" w:name="_Ref211245484"/>
            <w:r>
              <w:t xml:space="preserve">Figura </w:t>
            </w:r>
            <w:fldSimple w:instr=" STYLEREF 1 \s ">
              <w:r w:rsidR="0080370C">
                <w:rPr>
                  <w:noProof/>
                </w:rPr>
                <w:t>I</w:t>
              </w:r>
            </w:fldSimple>
            <w:r w:rsidR="0080370C">
              <w:t>.</w:t>
            </w:r>
            <w:fldSimple w:instr=" SEQ Figura \* ARABIC \s 1 ">
              <w:r w:rsidR="0080370C">
                <w:rPr>
                  <w:noProof/>
                </w:rPr>
                <w:t>9</w:t>
              </w:r>
            </w:fldSimple>
            <w:bookmarkEnd w:id="12"/>
            <w:r>
              <w:t xml:space="preserve"> </w:t>
            </w:r>
            <w:r w:rsidRPr="00D62E23">
              <w:t xml:space="preserve">Frecvența consumului de tutun zilnic la populația rezidentă de 15 ani și peste, în funcție de numărul de țigări fumate și </w:t>
            </w:r>
            <w:r>
              <w:t>mediul de rezidență</w:t>
            </w:r>
            <w:r w:rsidRPr="00D62E23">
              <w:t xml:space="preserve">, Sursa: </w:t>
            </w:r>
            <w:r w:rsidRPr="006E0160">
              <w:t>EHIS 2019</w:t>
            </w:r>
            <w:r>
              <w:fldChar w:fldCharType="begin"/>
            </w:r>
            <w:r w:rsidR="0009552B">
              <w:instrText xml:space="preserve"> ADDIN EN.CITE &lt;EndNote&gt;&lt;Cite&gt;&lt;Author&gt;INS&lt;/Author&gt;&lt;Year&gt;2021&lt;/Year&gt;&lt;RecNum&gt;9227&lt;/RecNum&gt;&lt;DisplayText&gt;&lt;style size="10"&gt;[3]&lt;/style&gt;&lt;/DisplayText&gt;&lt;record&gt;&lt;rec-number&gt;9227&lt;/rec-number&gt;&lt;foreign-keys&gt;&lt;key app="EN" db-id="fw0prtesnvf55cepezbx255wwza5zw0ssatt" timestamp="1759716798" guid="36a23b9d-60d3-4874-abc0-31c6c4eb1a87"&gt;9227&lt;/key&gt;&lt;/foreign-keys&gt;&lt;ref-type name="Report"&gt;27&lt;/ref-type&gt;&lt;contributors&gt;&lt;authors&gt;&lt;author&gt;&lt;style face="normal" font="default" charset="238" size="100%"&gt;INS&lt;/style&gt;&lt;/author&gt;&lt;/authors&gt;&lt;secondary-authors&gt;&lt;author&gt;&lt;style face="normal" font="default" charset="238" size="100%"&gt;INS&lt;/style&gt;&lt;/author&gt;&lt;/secondary-authors&gt;&lt;/contributors&gt;&lt;titles&gt;&lt;title&gt;&lt;style face="normal" font="default" charset="238" size="100%"&gt;Starea de sănătate a populației din Rom&lt;/style&gt;&lt;style face="normal" font="default" size="100%"&gt;â&lt;/style&gt;&lt;style face="normal" font="default" charset="238" size="100%"&gt;nia -2019&lt;/style&gt;&lt;/title&gt;&lt;/titles&gt;&lt;dates&gt;&lt;year&gt;&lt;style face="normal" font="default" charset="238" size="100%"&gt;2021&lt;/style&gt;&lt;/year&gt;&lt;/dates&gt;&lt;label&gt;&lt;style face="normal" font="default" charset="238" size="100%"&gt;INS Starea de sănătate a populației din Rom&lt;/style&gt;&lt;style face="normal" font="default" size="100%"&gt;â&lt;/style&gt;&lt;style face="normal" font="default" charset="238" size="100%"&gt;nia -2019&lt;/style&gt;&lt;/label&gt;&lt;urls&gt;&lt;related-urls&gt;&lt;url&gt;https://insse.ro/cms/sites/default/files/field/publicatii/starea_de_sanatate_a_populatiei_din_romania_2019.pdf&lt;/url&gt;&lt;/related-urls&gt;&lt;/urls&gt;&lt;/record&gt;&lt;/Cite&gt;&lt;/EndNote&gt;</w:instrText>
            </w:r>
            <w:r>
              <w:fldChar w:fldCharType="separate"/>
            </w:r>
            <w:r w:rsidR="0009552B">
              <w:rPr>
                <w:noProof/>
              </w:rPr>
              <w:t>[3]</w:t>
            </w:r>
            <w:r>
              <w:fldChar w:fldCharType="end"/>
            </w:r>
          </w:p>
        </w:tc>
      </w:tr>
    </w:tbl>
    <w:p w14:paraId="28EC601C" w14:textId="77777777" w:rsidR="00CD3152" w:rsidRDefault="00CD3152" w:rsidP="00CD3152">
      <w:pPr>
        <w:ind w:firstLine="708"/>
        <w:jc w:val="both"/>
        <w:rPr>
          <w:lang w:eastAsia="ro-RO" w:bidi="ro-RO"/>
        </w:rPr>
      </w:pPr>
    </w:p>
    <w:p w14:paraId="0F2FD310" w14:textId="77777777" w:rsidR="00CD3152" w:rsidRDefault="00CD3152" w:rsidP="00CD3152">
      <w:pPr>
        <w:ind w:firstLine="708"/>
        <w:jc w:val="both"/>
        <w:rPr>
          <w:lang w:eastAsia="ro-RO" w:bidi="ro-RO"/>
        </w:rPr>
      </w:pPr>
      <w:r>
        <w:rPr>
          <w:lang w:eastAsia="ro-RO" w:bidi="ro-RO"/>
        </w:rPr>
        <w:t>În ceea ce privește numărul de țigări fumate zilnic se observă că ponderea cea mai mare se înregistrează pentru 10-19 țigări/zi pentru ambele genuri (56,62% la bărbați și 57,65% la femei). 32% dintre bărbați și 18% dintre femei fumează zilnic mai mult de 20 de țigări/zi (</w:t>
      </w:r>
      <w:r>
        <w:rPr>
          <w:lang w:eastAsia="ro-RO" w:bidi="ro-RO"/>
        </w:rPr>
        <w:fldChar w:fldCharType="begin"/>
      </w:r>
      <w:r>
        <w:rPr>
          <w:lang w:eastAsia="ro-RO" w:bidi="ro-RO"/>
        </w:rPr>
        <w:instrText xml:space="preserve"> REF _Ref211245349 \h </w:instrText>
      </w:r>
      <w:r>
        <w:rPr>
          <w:lang w:eastAsia="ro-RO" w:bidi="ro-RO"/>
        </w:rPr>
      </w:r>
      <w:r>
        <w:rPr>
          <w:lang w:eastAsia="ro-RO" w:bidi="ro-RO"/>
        </w:rPr>
        <w:fldChar w:fldCharType="separate"/>
      </w:r>
      <w:r>
        <w:t xml:space="preserve">Figura </w:t>
      </w:r>
      <w:r>
        <w:rPr>
          <w:noProof/>
        </w:rPr>
        <w:t>I</w:t>
      </w:r>
      <w:r>
        <w:t>.</w:t>
      </w:r>
      <w:r>
        <w:rPr>
          <w:noProof/>
        </w:rPr>
        <w:t>8</w:t>
      </w:r>
      <w:r>
        <w:rPr>
          <w:lang w:eastAsia="ro-RO" w:bidi="ro-RO"/>
        </w:rPr>
        <w:fldChar w:fldCharType="end"/>
      </w:r>
      <w:r>
        <w:rPr>
          <w:lang w:eastAsia="ro-RO" w:bidi="ro-RO"/>
        </w:rPr>
        <w:t>).</w:t>
      </w:r>
    </w:p>
    <w:p w14:paraId="38C0CBD4" w14:textId="3EED3784" w:rsidR="00CD3152" w:rsidRDefault="00CD3152" w:rsidP="00CD3152">
      <w:pPr>
        <w:ind w:firstLine="708"/>
        <w:jc w:val="both"/>
        <w:rPr>
          <w:lang w:eastAsia="ro-RO" w:bidi="ro-RO"/>
        </w:rPr>
      </w:pPr>
      <w:r>
        <w:rPr>
          <w:lang w:eastAsia="ro-RO" w:bidi="ro-RO"/>
        </w:rPr>
        <w:t xml:space="preserve">În funcție de mediul de rezidență, frecvența cea mai mare a fumatului zilnic se înregistrează pentru 10-19 țigări/zi, fiind cu aproximativ 2 puncte procentuale mai mare în rural decât în urban (58% vs 56%). </w:t>
      </w:r>
      <w:r w:rsidR="00F63808" w:rsidRPr="00F63808">
        <w:rPr>
          <w:lang w:eastAsia="ro-RO" w:bidi="ro-RO"/>
        </w:rPr>
        <w:t>În schimb, în mediul urban se fumează mai intens când vine vorba de e</w:t>
      </w:r>
      <w:r w:rsidR="00F63808">
        <w:rPr>
          <w:lang w:eastAsia="ro-RO" w:bidi="ro-RO"/>
        </w:rPr>
        <w:t>x</w:t>
      </w:r>
      <w:r w:rsidR="00F63808" w:rsidRPr="00F63808">
        <w:rPr>
          <w:lang w:eastAsia="ro-RO" w:bidi="ro-RO"/>
        </w:rPr>
        <w:t xml:space="preserve">treme, fiind vorba despre fumătorii ,,înrăiți” (20-29 de țigări pe zi) aceștia fiind mai mulți în urban decât rural și fumătorii ,,moderați” (5-9 țigări pe zi) cu o pondere ușor mai mare la oraș 11%, față de sat 10% </w:t>
      </w:r>
      <w:r w:rsidR="00F63808">
        <w:rPr>
          <w:lang w:eastAsia="ro-RO" w:bidi="ro-RO"/>
        </w:rPr>
        <w:t>(</w:t>
      </w:r>
      <w:r>
        <w:rPr>
          <w:lang w:eastAsia="ro-RO" w:bidi="ro-RO"/>
        </w:rPr>
        <w:fldChar w:fldCharType="begin"/>
      </w:r>
      <w:r>
        <w:rPr>
          <w:lang w:eastAsia="ro-RO" w:bidi="ro-RO"/>
        </w:rPr>
        <w:instrText xml:space="preserve"> REF _Ref211245484 \h </w:instrText>
      </w:r>
      <w:r>
        <w:rPr>
          <w:lang w:eastAsia="ro-RO" w:bidi="ro-RO"/>
        </w:rPr>
      </w:r>
      <w:r>
        <w:rPr>
          <w:lang w:eastAsia="ro-RO" w:bidi="ro-RO"/>
        </w:rPr>
        <w:fldChar w:fldCharType="separate"/>
      </w:r>
      <w:r>
        <w:t xml:space="preserve">Figura </w:t>
      </w:r>
      <w:r>
        <w:rPr>
          <w:noProof/>
        </w:rPr>
        <w:t>I</w:t>
      </w:r>
      <w:r>
        <w:t>.</w:t>
      </w:r>
      <w:r>
        <w:rPr>
          <w:noProof/>
        </w:rPr>
        <w:t>9</w:t>
      </w:r>
      <w:r>
        <w:rPr>
          <w:lang w:eastAsia="ro-RO" w:bidi="ro-RO"/>
        </w:rPr>
        <w:fldChar w:fldCharType="end"/>
      </w:r>
      <w:r>
        <w:rPr>
          <w:lang w:eastAsia="ro-RO" w:bidi="ro-RO"/>
        </w:rPr>
        <w:t>).</w:t>
      </w:r>
    </w:p>
    <w:p w14:paraId="575854A3" w14:textId="77777777" w:rsidR="00CD3152" w:rsidRDefault="00CD3152" w:rsidP="00CD3152">
      <w:pPr>
        <w:ind w:firstLine="708"/>
        <w:jc w:val="both"/>
        <w:rPr>
          <w:lang w:eastAsia="ro-RO" w:bidi="ro-RO"/>
        </w:rPr>
      </w:pPr>
    </w:p>
    <w:p w14:paraId="72B3DC22" w14:textId="77777777" w:rsidR="00CD3152" w:rsidRDefault="00CD3152" w:rsidP="00CD3152">
      <w:pPr>
        <w:pStyle w:val="Heading3"/>
        <w:jc w:val="both"/>
        <w:rPr>
          <w:lang w:eastAsia="ro-RO" w:bidi="ro-RO"/>
        </w:rPr>
      </w:pPr>
      <w:bookmarkStart w:id="13" w:name="_Toc232660554"/>
      <w:r w:rsidRPr="00A15F42">
        <w:rPr>
          <w:lang w:eastAsia="ro-RO" w:bidi="ro-RO"/>
        </w:rPr>
        <w:t xml:space="preserve">Prevalența consumului de tutun convențional la populația 15 ani </w:t>
      </w:r>
      <w:r>
        <w:rPr>
          <w:lang w:eastAsia="ro-RO" w:bidi="ro-RO"/>
        </w:rPr>
        <w:t>– comparații internaționale</w:t>
      </w:r>
      <w:bookmarkEnd w:id="13"/>
    </w:p>
    <w:p w14:paraId="79110C45" w14:textId="5FC1BACD" w:rsidR="00CD3152" w:rsidRDefault="00CD3152" w:rsidP="00CD3152">
      <w:pPr>
        <w:ind w:firstLine="708"/>
        <w:jc w:val="both"/>
        <w:rPr>
          <w:noProof/>
        </w:rPr>
      </w:pPr>
      <w:r w:rsidRPr="00334269">
        <w:rPr>
          <w:noProof/>
        </w:rPr>
        <w:t>În România, prevalența fumatului a rămas apropiată de media UE și a înregistrat o reducere modestă în ultimii ani (19% în 2019 comparativ cu 20% în 2014). Cu toate acestea, România are una dintre cele mai mari disparități de gen în ceea ce privește fumatul zilnic în UE. În România, prevalența fumatului zilnic în rândul femeilor se clasează pe penultima poziție (8 % comparativ cu media UE de 14%), în timp ce, în rândul bărbaților, ocupă una dintre pozițiile cele mai înalte (31% comparativ cu media UE de 23%).</w:t>
      </w:r>
      <w:r w:rsidRPr="00334269">
        <w:rPr>
          <w:noProof/>
        </w:rPr>
        <w:fldChar w:fldCharType="begin"/>
      </w:r>
      <w:r w:rsidR="0009552B">
        <w:rPr>
          <w:noProof/>
        </w:rPr>
        <w:instrText xml:space="preserve"> ADDIN EN.CITE &lt;EndNote&gt;&lt;Cite&gt;&lt;Author&gt;OECD&lt;/Author&gt;&lt;Year&gt;2025&lt;/Year&gt;&lt;RecNum&gt;9129&lt;/RecNum&gt;&lt;DisplayText&gt;&lt;style size="10"&gt;[4]&lt;/style&gt;&lt;/DisplayText&gt;&lt;record&gt;&lt;rec-number&gt;9129&lt;/rec-number&gt;&lt;foreign-keys&gt;&lt;key app="EN" db-id="fw0prtesnvf55cepezbx255wwza5zw0ssatt" timestamp="1754271119" guid="3ff7e050-5580-4517-a844-8a4fc2f3e8c4"&gt;9129&lt;/key&gt;&lt;/foreign-keys&gt;&lt;ref-type name="Report"&gt;27&lt;/ref-type&gt;&lt;contributors&gt;&lt;authors&gt;&lt;author&gt;&lt;style face="normal" font="default" charset="238" size="100%"&gt;OECD&lt;/style&gt;&lt;/author&gt;&lt;/authors&gt;&lt;secondary-authors&gt;&lt;author&gt;&lt;style face="normal" font="default" charset="238" size="100%"&gt;OECD&lt;/style&gt;&lt;/author&gt;&lt;/secondary-authors&gt;&lt;/contributors&gt;&lt;titles&gt;&lt;title&gt;&lt;style face="normal" font="default" charset="238" size="100%"&gt;European Cancer Inequalities Registry - Profil de țară privind cancerul, 2025&lt;/style&gt;&lt;/title&gt;&lt;secondary-title&gt;&lt;style face="normal" font="default" size="100%"&gt;„Profiluri de &lt;/style&gt;&lt;style face="normal" font="default" charset="238" size="100%"&gt;țară privind cancerul”&lt;/style&gt;&lt;/secondary-title&gt;&lt;/titles&gt;&lt;dates&gt;&lt;year&gt;&lt;style face="normal" font="default" charset="238" size="100%"&gt;2025&lt;/style&gt;&lt;/year&gt;&lt;/dates&gt;&lt;pub-location&gt;&lt;style face="normal" font="default" charset="238" size="100%"&gt;online&lt;/style&gt;&lt;/pub-location&gt;&lt;urls&gt;&lt;/urls&gt;&lt;/record&gt;&lt;/Cite&gt;&lt;/EndNote&gt;</w:instrText>
      </w:r>
      <w:r w:rsidRPr="00334269">
        <w:rPr>
          <w:noProof/>
        </w:rPr>
        <w:fldChar w:fldCharType="separate"/>
      </w:r>
      <w:r w:rsidR="0009552B" w:rsidRPr="0009552B">
        <w:rPr>
          <w:noProof/>
          <w:sz w:val="20"/>
        </w:rPr>
        <w:t>[4]</w:t>
      </w:r>
      <w:r w:rsidRPr="00334269">
        <w:rPr>
          <w:noProof/>
        </w:rPr>
        <w:fldChar w:fldCharType="end"/>
      </w:r>
    </w:p>
    <w:p w14:paraId="1E10A017" w14:textId="4FF3DF96" w:rsidR="00CD3152" w:rsidRDefault="00CD3152" w:rsidP="00CD3152">
      <w:pPr>
        <w:ind w:firstLine="708"/>
        <w:jc w:val="both"/>
        <w:rPr>
          <w:lang w:eastAsia="ro-RO" w:bidi="ro-RO"/>
        </w:rPr>
      </w:pPr>
      <w:r w:rsidRPr="00CB5C96">
        <w:rPr>
          <w:lang w:eastAsia="ro-RO" w:bidi="ro-RO"/>
        </w:rPr>
        <w:t>Între 2014 și 2019, consumul de tutun în România a rămas relativ stabil, la 14 țigarete în medie per fumător pe zi în 2019 (comparativ cu 13 țigarete la nivelul UE). În România, Persoanele de genul masculin fumează, în medie, cu 2,8 țigări mai mult decât persoanele de genul feminin</w:t>
      </w:r>
      <w:r w:rsidRPr="00CB5C96">
        <w:rPr>
          <w:lang w:eastAsia="ro-RO" w:bidi="ro-RO"/>
        </w:rPr>
        <w:fldChar w:fldCharType="begin">
          <w:fldData xml:space="preserve">PEVuZE5vdGU+PENpdGU+PEF1dGhvcj5JTlM8L0F1dGhvcj48WWVhcj4yMDIxPC9ZZWFyPjxSZWNO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</w:fldData>
        </w:fldChar>
      </w:r>
      <w:r w:rsidR="0009552B">
        <w:rPr>
          <w:lang w:eastAsia="ro-RO" w:bidi="ro-RO"/>
        </w:rPr>
        <w:instrText xml:space="preserve"> ADDIN EN.CITE </w:instrText>
      </w:r>
      <w:r w:rsidR="0009552B">
        <w:rPr>
          <w:lang w:eastAsia="ro-RO" w:bidi="ro-RO"/>
        </w:rPr>
        <w:fldChar w:fldCharType="begin">
          <w:fldData xml:space="preserve">PEVuZE5vdGU+PENpdGU+PEF1dGhvcj5JTlM8L0F1dGhvcj48WWVhcj4yMDIxPC9ZZWFyPjxSZWNO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</w:fldData>
        </w:fldChar>
      </w:r>
      <w:r w:rsidR="0009552B">
        <w:rPr>
          <w:lang w:eastAsia="ro-RO" w:bidi="ro-RO"/>
        </w:rPr>
        <w:instrText xml:space="preserve"> ADDIN EN.CITE.DATA </w:instrText>
      </w:r>
      <w:r w:rsidR="0009552B">
        <w:rPr>
          <w:lang w:eastAsia="ro-RO" w:bidi="ro-RO"/>
        </w:rPr>
      </w:r>
      <w:r w:rsidR="0009552B">
        <w:rPr>
          <w:lang w:eastAsia="ro-RO" w:bidi="ro-RO"/>
        </w:rPr>
        <w:fldChar w:fldCharType="end"/>
      </w:r>
      <w:r w:rsidRPr="00CB5C96">
        <w:rPr>
          <w:lang w:eastAsia="ro-RO" w:bidi="ro-RO"/>
        </w:rPr>
      </w:r>
      <w:r w:rsidRPr="00CB5C96">
        <w:rPr>
          <w:lang w:eastAsia="ro-RO" w:bidi="ro-RO"/>
        </w:rPr>
        <w:fldChar w:fldCharType="separate"/>
      </w:r>
      <w:r w:rsidR="0009552B" w:rsidRPr="0009552B">
        <w:rPr>
          <w:noProof/>
          <w:sz w:val="20"/>
          <w:lang w:eastAsia="ro-RO" w:bidi="ro-RO"/>
        </w:rPr>
        <w:t>[3,4]</w:t>
      </w:r>
      <w:r w:rsidRPr="00CB5C96">
        <w:rPr>
          <w:lang w:eastAsia="ro-RO" w:bidi="ro-RO"/>
        </w:rPr>
        <w:fldChar w:fldCharType="end"/>
      </w:r>
      <w:r w:rsidRPr="00CB5C96">
        <w:rPr>
          <w:lang w:eastAsia="ro-RO" w:bidi="ro-RO"/>
        </w:rPr>
        <w:t>.</w:t>
      </w:r>
    </w:p>
    <w:p w14:paraId="7EDA50EB" w14:textId="77777777" w:rsidR="00CD3152" w:rsidRDefault="00CD3152" w:rsidP="00CD3152">
      <w:pPr>
        <w:ind w:firstLine="708"/>
        <w:jc w:val="both"/>
        <w:rPr>
          <w:noProof/>
        </w:rPr>
      </w:pPr>
      <w:r w:rsidRPr="00F15693">
        <w:rPr>
          <w:noProof/>
        </w:rPr>
        <w:t>Prevalența standardizată în funcție de vârstă a consumului zilnic de tutun în rândul persoanelor cu vârsta de peste 15 ani din Regiunea Europeană a OMS a variat, în anul 2022, între 5,4% și 39,5%, evidențiind disparități semnificative între țările din regiune în ceea ce privește nivelurile de consum.</w:t>
      </w:r>
      <w:r w:rsidRPr="00F15693">
        <w:rPr>
          <w:noProof/>
        </w:rPr>
        <w:fldChar w:fldCharType="begin"/>
      </w:r>
      <w:r>
        <w:rPr>
          <w:noProof/>
        </w:rPr>
        <w:instrText xml:space="preserve"> ADDIN EN.CITE &lt;EndNote&gt;&lt;Cite&gt;&lt;Author&gt;WHO&lt;/Author&gt;&lt;Year&gt;2025&lt;/Year&gt;&lt;RecNum&gt;9164&lt;/RecNum&gt;&lt;DisplayText&gt;&lt;style size="10"&gt;[1]&lt;/style&gt;&lt;/DisplayText&gt;&lt;record&gt;&lt;rec-number&gt;9164&lt;/rec-number&gt;&lt;foreign-keys&gt;&lt;key app="EN" db-id="fw0prtesnvf55cepezbx255wwza5zw0ssatt" timestamp="1754337538" guid="9259fa9f-663f-4ed9-933e-21e2993be56b"&gt;9164&lt;/key&gt;&lt;/foreign-keys&gt;&lt;ref-type name="Web Page"&gt;12&lt;/ref-type&gt;&lt;contributors&gt;&lt;authors&gt;&lt;author&gt;WHO&lt;/author&gt;&lt;/authors&gt;&lt;/contributors&gt;&lt;titles&gt;&lt;title&gt;Regional Office for Europe - Status of tobacco use in the Region&lt;/title&gt;&lt;/titles&gt;&lt;volume&gt;2025&lt;/volume&gt;&lt;number&gt;28th July&lt;/number&gt;&lt;dates&gt;&lt;year&gt;2025&lt;/year&gt;&lt;/dates&gt;&lt;urls&gt;&lt;related-urls&gt;&lt;url&gt;https://www.who.int/europe/news-room/fact-sheets/item/tobacco&lt;/url&gt;&lt;/related-urls&gt;&lt;/urls&gt;&lt;/record&gt;&lt;/Cite&gt;&lt;/EndNote&gt;</w:instrText>
      </w:r>
      <w:r w:rsidRPr="00F15693">
        <w:rPr>
          <w:noProof/>
        </w:rPr>
        <w:fldChar w:fldCharType="separate"/>
      </w:r>
      <w:r w:rsidRPr="00F15693">
        <w:rPr>
          <w:noProof/>
          <w:sz w:val="20"/>
        </w:rPr>
        <w:t>[1]</w:t>
      </w:r>
      <w:r w:rsidRPr="00F15693">
        <w:rPr>
          <w:noProof/>
        </w:rPr>
        <w:fldChar w:fldCharType="end"/>
      </w:r>
    </w:p>
    <w:p w14:paraId="185F3AEA" w14:textId="60225F4D" w:rsidR="00CD3152" w:rsidRPr="006E0160" w:rsidRDefault="00CD3152" w:rsidP="00CD3152">
      <w:pPr>
        <w:ind w:firstLine="708"/>
        <w:jc w:val="both"/>
        <w:rPr>
          <w:noProof/>
        </w:rPr>
      </w:pPr>
      <w:r w:rsidRPr="006E0160">
        <w:rPr>
          <w:noProof/>
        </w:rPr>
        <w:t xml:space="preserve">Dacă în trecut consumul de tutun era în principal un fenomen asociat populației masculine, în prezent diferențele de prevalență între bărbați și femei s-au redus considerabil, ajungând la mai puțin de 5% în țări precum Danemarca și Islanda. Conform Raportului global OMS privind tendințele în </w:t>
      </w:r>
      <w:r w:rsidRPr="006E0160">
        <w:rPr>
          <w:noProof/>
        </w:rPr>
        <w:lastRenderedPageBreak/>
        <w:t>prevalența consumului de tutun 2000–2030</w:t>
      </w:r>
      <w:r w:rsidRPr="006E0160">
        <w:rPr>
          <w:noProof/>
        </w:rPr>
        <w:fldChar w:fldCharType="begin"/>
      </w:r>
      <w:r w:rsidR="0009552B">
        <w:rPr>
          <w:noProof/>
        </w:rPr>
        <w:instrText xml:space="preserve"> ADDIN EN.CITE &lt;EndNote&gt;&lt;Cite&gt;&lt;Author&gt;WHO&lt;/Author&gt;&lt;Year&gt;2024&lt;/Year&gt;&lt;RecNum&gt;9126&lt;/RecNum&gt;&lt;DisplayText&gt;&lt;style size="10"&gt;[5]&lt;/style&gt;&lt;/DisplayText&gt;&lt;record&gt;&lt;rec-number&gt;9126&lt;/rec-number&gt;&lt;foreign-keys&gt;&lt;key app="EN" db-id="fw0prtesnvf55cepezbx255wwza5zw0ssatt" timestamp="1754270829" guid="a0758e30-cb0f-4869-9fa4-58303a0de0bf"&gt;9126&lt;/key&gt;&lt;/foreign-keys&gt;&lt;ref-type name="Report"&gt;27&lt;/ref-type&gt;&lt;contributors&gt;&lt;authors&gt;&lt;author&gt;&lt;style face="normal" font="default" charset="238" size="100%"&gt;WHO&lt;/style&gt;&lt;/author&gt;&lt;/authors&gt;&lt;secondary-authors&gt;&lt;author&gt;&lt;style face="normal" font="default" charset="238" size="100%"&gt;WHO&lt;/style&gt;&lt;/author&gt;&lt;/secondary-authors&gt;&lt;/contributors&gt;&lt;titles&gt;&lt;title&gt;WHO global report on trends in prevalence of tobacco use 2000–2030&lt;/title&gt;&lt;/titles&gt;&lt;dates&gt;&lt;year&gt;&lt;style face="normal" font="default" charset="238" size="100%"&gt;2024&lt;/style&gt;&lt;/year&gt;&lt;/dates&gt;&lt;pub-location&gt;&lt;style face="normal" font="default" charset="238" size="100%"&gt;Geneva&lt;/style&gt;&lt;/pub-location&gt;&lt;urls&gt;&lt;related-urls&gt;&lt;url&gt;https://www.who.int/publications/i/item/9789240088283&lt;/url&gt;&lt;/related-urls&gt;&lt;/urls&gt;&lt;/record&gt;&lt;/Cite&gt;&lt;/EndNote&gt;</w:instrText>
      </w:r>
      <w:r w:rsidRPr="006E0160">
        <w:rPr>
          <w:noProof/>
        </w:rPr>
        <w:fldChar w:fldCharType="separate"/>
      </w:r>
      <w:r w:rsidR="0009552B" w:rsidRPr="0009552B">
        <w:rPr>
          <w:noProof/>
          <w:sz w:val="20"/>
        </w:rPr>
        <w:t>[5]</w:t>
      </w:r>
      <w:r w:rsidRPr="006E0160">
        <w:rPr>
          <w:noProof/>
        </w:rPr>
        <w:fldChar w:fldCharType="end"/>
      </w:r>
      <w:r w:rsidRPr="006E0160">
        <w:rPr>
          <w:noProof/>
        </w:rPr>
        <w:t xml:space="preserve">, în anul 2022, un procent de 18,5% dintre femeile cu vârsta de 15 ani și peste din Regiunea Europeană a OMS utilizau produse din tutun. </w:t>
      </w:r>
    </w:p>
    <w:p w14:paraId="1863DA15" w14:textId="68EFA748" w:rsidR="00CD3152" w:rsidRDefault="00CD3152" w:rsidP="00CD3152">
      <w:pPr>
        <w:ind w:firstLine="708"/>
        <w:jc w:val="both"/>
        <w:rPr>
          <w:noProof/>
        </w:rPr>
      </w:pPr>
      <w:r w:rsidRPr="006E0160">
        <w:rPr>
          <w:noProof/>
        </w:rPr>
        <w:t>Previziunile OMS pentru anul 2025 indic</w:t>
      </w:r>
      <w:r w:rsidR="004C6E32">
        <w:rPr>
          <w:noProof/>
        </w:rPr>
        <w:t>au</w:t>
      </w:r>
      <w:r w:rsidRPr="006E0160">
        <w:rPr>
          <w:noProof/>
        </w:rPr>
        <w:t xml:space="preserve"> o prevalență estimată de 30,6% în rândul bărbaților și 18,2% în rândul femeilor din Regiunea Europeană. Comparativ cu anul 2010, aceste valori ar reprezenta o reducere relativă de 22% pentru bărbați și de doar 9% pentru femei. Cu toate acestea, doar 11 țări din regiune se află în prezent pe traiectoria necesară pentru a atinge obiectivul global de reducere a</w:t>
      </w:r>
      <w:r>
        <w:rPr>
          <w:noProof/>
        </w:rPr>
        <w:t xml:space="preserve"> </w:t>
      </w:r>
      <w:r w:rsidRPr="006E0160">
        <w:rPr>
          <w:noProof/>
        </w:rPr>
        <w:t>consumului de tutun cu 30% până în 2025, ceea ce evidențiază nevoia urgentă de intensificare a eforturilor în domeniul controlului tutunului.</w:t>
      </w:r>
      <w:r w:rsidRPr="006E0160">
        <w:rPr>
          <w:noProof/>
        </w:rPr>
        <w:fldChar w:fldCharType="begin"/>
      </w:r>
      <w:r w:rsidR="0009552B">
        <w:rPr>
          <w:noProof/>
        </w:rPr>
        <w:instrText xml:space="preserve"> ADDIN EN.CITE &lt;EndNote&gt;&lt;Cite&gt;&lt;Author&gt;WHO&lt;/Author&gt;&lt;Year&gt;2024&lt;/Year&gt;&lt;RecNum&gt;9126&lt;/RecNum&gt;&lt;DisplayText&gt;&lt;style size="10"&gt;[5]&lt;/style&gt;&lt;/DisplayText&gt;&lt;record&gt;&lt;rec-number&gt;9126&lt;/rec-number&gt;&lt;foreign-keys&gt;&lt;key app="EN" db-id="fw0prtesnvf55cepezbx255wwza5zw0ssatt" timestamp="1754270829" guid="a0758e30-cb0f-4869-9fa4-58303a0de0bf"&gt;9126&lt;/key&gt;&lt;/foreign-keys&gt;&lt;ref-type name="Report"&gt;27&lt;/ref-type&gt;&lt;contributors&gt;&lt;authors&gt;&lt;author&gt;&lt;style face="normal" font="default" charset="238" size="100%"&gt;WHO&lt;/style&gt;&lt;/author&gt;&lt;/authors&gt;&lt;secondary-authors&gt;&lt;author&gt;&lt;style face="normal" font="default" charset="238" size="100%"&gt;WHO&lt;/style&gt;&lt;/author&gt;&lt;/secondary-authors&gt;&lt;/contributors&gt;&lt;titles&gt;&lt;title&gt;WHO global report on trends in prevalence of tobacco use 2000–2030&lt;/title&gt;&lt;/titles&gt;&lt;dates&gt;&lt;year&gt;&lt;style face="normal" font="default" charset="238" size="100%"&gt;2024&lt;/style&gt;&lt;/year&gt;&lt;/dates&gt;&lt;pub-location&gt;&lt;style face="normal" font="default" charset="238" size="100%"&gt;Geneva&lt;/style&gt;&lt;/pub-location&gt;&lt;urls&gt;&lt;related-urls&gt;&lt;url&gt;https://www.who.int/publications/i/item/9789240088283&lt;/url&gt;&lt;/related-urls&gt;&lt;/urls&gt;&lt;/record&gt;&lt;/Cite&gt;&lt;/EndNote&gt;</w:instrText>
      </w:r>
      <w:r w:rsidRPr="006E0160">
        <w:rPr>
          <w:noProof/>
        </w:rPr>
        <w:fldChar w:fldCharType="separate"/>
      </w:r>
      <w:r w:rsidR="0009552B" w:rsidRPr="0009552B">
        <w:rPr>
          <w:noProof/>
          <w:sz w:val="20"/>
        </w:rPr>
        <w:t>[5]</w:t>
      </w:r>
      <w:r w:rsidRPr="006E0160">
        <w:rPr>
          <w:noProof/>
        </w:rPr>
        <w:fldChar w:fldCharType="end"/>
      </w:r>
    </w:p>
    <w:p w14:paraId="51495AFC" w14:textId="082E3361" w:rsidR="00CD3152" w:rsidRDefault="00CD3152" w:rsidP="00A62A7C">
      <w:pPr>
        <w:pStyle w:val="Caption"/>
        <w:numPr>
          <w:ilvl w:val="0"/>
          <w:numId w:val="8"/>
        </w:numPr>
        <w:tabs>
          <w:tab w:val="left" w:pos="567"/>
        </w:tabs>
        <w:ind w:left="0" w:firstLine="0"/>
        <w:jc w:val="both"/>
        <w:rPr>
          <w:b w:val="0"/>
          <w:bCs w:val="0"/>
          <w:noProof/>
          <w:sz w:val="24"/>
          <w:szCs w:val="22"/>
        </w:rPr>
      </w:pPr>
      <w:r w:rsidRPr="00161408">
        <w:rPr>
          <w:b w:val="0"/>
          <w:bCs w:val="0"/>
          <w:noProof/>
          <w:sz w:val="24"/>
          <w:szCs w:val="22"/>
        </w:rPr>
        <w:t xml:space="preserve">În contextul analizei comparative a prevalenței fumatului zilnic în rândul populației adulte (15 ani și peste) din statele membre UE, datele disponibile în raportul </w:t>
      </w:r>
      <w:r w:rsidRPr="008C5D95">
        <w:rPr>
          <w:i/>
          <w:iCs/>
          <w:noProof/>
          <w:sz w:val="24"/>
          <w:szCs w:val="22"/>
        </w:rPr>
        <w:t>Sănătatea pe scurt: Europa 202</w:t>
      </w:r>
      <w:r w:rsidR="00D4526D">
        <w:rPr>
          <w:i/>
          <w:iCs/>
          <w:noProof/>
          <w:sz w:val="24"/>
          <w:szCs w:val="22"/>
        </w:rPr>
        <w:t>5</w:t>
      </w:r>
      <w:r w:rsidRPr="008C5D95">
        <w:rPr>
          <w:i/>
          <w:iCs/>
          <w:noProof/>
          <w:sz w:val="24"/>
          <w:szCs w:val="22"/>
        </w:rPr>
        <w:t xml:space="preserve"> (Health at a glance</w:t>
      </w:r>
      <w:r w:rsidRPr="001A1C0B">
        <w:rPr>
          <w:i/>
          <w:iCs/>
          <w:noProof/>
          <w:sz w:val="24"/>
          <w:szCs w:val="22"/>
        </w:rPr>
        <w:t>: Europe</w:t>
      </w:r>
      <w:r w:rsidRPr="008C5D95">
        <w:rPr>
          <w:i/>
          <w:iCs/>
          <w:noProof/>
          <w:sz w:val="24"/>
          <w:szCs w:val="22"/>
        </w:rPr>
        <w:t xml:space="preserve"> 202</w:t>
      </w:r>
      <w:r w:rsidR="00D4526D">
        <w:rPr>
          <w:i/>
          <w:iCs/>
          <w:noProof/>
          <w:sz w:val="24"/>
          <w:szCs w:val="22"/>
        </w:rPr>
        <w:t>5</w:t>
      </w:r>
      <w:r w:rsidRPr="008C5D95">
        <w:rPr>
          <w:i/>
          <w:iCs/>
          <w:noProof/>
          <w:sz w:val="24"/>
          <w:szCs w:val="22"/>
        </w:rPr>
        <w:t>)</w:t>
      </w:r>
      <w:r w:rsidRPr="00161408">
        <w:rPr>
          <w:b w:val="0"/>
          <w:bCs w:val="0"/>
          <w:noProof/>
          <w:sz w:val="24"/>
          <w:szCs w:val="22"/>
        </w:rPr>
        <w:t xml:space="preserve"> </w:t>
      </w:r>
      <w:r w:rsidR="00D4526D">
        <w:rPr>
          <w:b w:val="0"/>
          <w:bCs w:val="0"/>
          <w:noProof/>
          <w:sz w:val="24"/>
          <w:szCs w:val="22"/>
        </w:rPr>
        <w:fldChar w:fldCharType="begin"/>
      </w:r>
      <w:r w:rsidR="00D4526D">
        <w:rPr>
          <w:b w:val="0"/>
          <w:bCs w:val="0"/>
          <w:noProof/>
          <w:sz w:val="24"/>
          <w:szCs w:val="22"/>
        </w:rPr>
        <w:instrText xml:space="preserve"> ADDIN EN.CITE &lt;EndNote&gt;&lt;Cite&gt;&lt;Author&gt;OECD&lt;/Author&gt;&lt;Year&gt;2025&lt;/Year&gt;&lt;RecNum&gt;9768&lt;/RecNum&gt;&lt;DisplayText&gt;&lt;style size="10"&gt;[6]&lt;/style&gt;&lt;/DisplayText&gt;&lt;record&gt;&lt;rec-number&gt;9768&lt;/rec-number&gt;&lt;foreign-keys&gt;&lt;key app="EN" db-id="fw0prtesnvf55cepezbx255wwza5zw0ssatt" timestamp="1781749697"&gt;9768&lt;/key&gt;&lt;/foreign-keys&gt;&lt;ref-type name="Report"&gt;27&lt;/ref-type&gt;&lt;contributors&gt;&lt;authors&gt;&lt;author&gt;&lt;style face="normal" font="default" charset="238" size="100%"&gt;OECD&lt;/style&gt;&lt;/author&gt;&lt;/authors&gt;&lt;secondary-authors&gt;&lt;author&gt; OECD Publishing&lt;/author&gt;&lt;/secondary-authors&gt;&lt;/contributors&gt;&lt;titles&gt;&lt;title&gt;Health at a Glance 2025: OECD Indicators&lt;/title&gt;&lt;/titles&gt;&lt;dates&gt;&lt;year&gt;&lt;style face="normal" font="default" charset="238" size="100%"&gt;2025&lt;/style&gt;&lt;/year&gt;&lt;/dates&gt;&lt;urls&gt;&lt;related-urls&gt;&lt;url&gt;https://www.oecd.org/en/publications/health-at-a-glance-2025_8f9e3f98-en/full-report.html&lt;/url&gt;&lt;/related-urls&gt;&lt;/urls&gt;&lt;electronic-resource-num&gt;https://doi.org/10.1787/8f9e3f98-en.&lt;/electronic-resource-num&gt;&lt;/record&gt;&lt;/Cite&gt;&lt;/EndNote&gt;</w:instrText>
      </w:r>
      <w:r w:rsidR="00D4526D">
        <w:rPr>
          <w:b w:val="0"/>
          <w:bCs w:val="0"/>
          <w:noProof/>
          <w:sz w:val="24"/>
          <w:szCs w:val="22"/>
        </w:rPr>
        <w:fldChar w:fldCharType="separate"/>
      </w:r>
      <w:r w:rsidR="00D4526D" w:rsidRPr="00D4526D">
        <w:rPr>
          <w:b w:val="0"/>
          <w:bCs w:val="0"/>
          <w:noProof/>
          <w:szCs w:val="22"/>
        </w:rPr>
        <w:t>[6]</w:t>
      </w:r>
      <w:r w:rsidR="00D4526D">
        <w:rPr>
          <w:b w:val="0"/>
          <w:bCs w:val="0"/>
          <w:noProof/>
          <w:sz w:val="24"/>
          <w:szCs w:val="22"/>
        </w:rPr>
        <w:fldChar w:fldCharType="end"/>
      </w:r>
      <w:r w:rsidR="00D4526D">
        <w:rPr>
          <w:b w:val="0"/>
          <w:bCs w:val="0"/>
          <w:noProof/>
          <w:sz w:val="24"/>
          <w:szCs w:val="22"/>
        </w:rPr>
        <w:t xml:space="preserve"> </w:t>
      </w:r>
      <w:r w:rsidRPr="00161408">
        <w:rPr>
          <w:b w:val="0"/>
          <w:bCs w:val="0"/>
          <w:noProof/>
          <w:sz w:val="24"/>
          <w:szCs w:val="22"/>
        </w:rPr>
        <w:t xml:space="preserve">evidențiază faptul că ratele fumatului în rândul adulților au scăzut în aproape toate țările UE în ultimul deceniu, </w:t>
      </w:r>
      <w:r w:rsidR="00046237" w:rsidRPr="00046237">
        <w:rPr>
          <w:b w:val="0"/>
          <w:bCs w:val="0"/>
          <w:noProof/>
          <w:sz w:val="24"/>
          <w:szCs w:val="22"/>
        </w:rPr>
        <w:t>în timp ce vapatul a crescut</w:t>
      </w:r>
      <w:r w:rsidRPr="00161408">
        <w:rPr>
          <w:b w:val="0"/>
          <w:bCs w:val="0"/>
          <w:noProof/>
          <w:sz w:val="24"/>
          <w:szCs w:val="22"/>
        </w:rPr>
        <w:t>.</w:t>
      </w:r>
      <w:r w:rsidR="00046237">
        <w:rPr>
          <w:b w:val="0"/>
          <w:bCs w:val="0"/>
          <w:noProof/>
          <w:sz w:val="24"/>
          <w:szCs w:val="22"/>
        </w:rPr>
        <w:t xml:space="preserve"> </w:t>
      </w:r>
      <w:r w:rsidR="00046237" w:rsidRPr="00046237">
        <w:rPr>
          <w:b w:val="0"/>
          <w:bCs w:val="0"/>
          <w:noProof/>
          <w:sz w:val="24"/>
          <w:szCs w:val="22"/>
        </w:rPr>
        <w:t>În toate țările OECD, 14,8% dintre persoanele cu vârsta de 15 ani și peste au fumat zilnic în 2023.</w:t>
      </w:r>
    </w:p>
    <w:p w14:paraId="677C5FB8" w14:textId="3D5C23E9" w:rsidR="00046237" w:rsidRDefault="00BD6EA0" w:rsidP="00046237">
      <w:r>
        <w:rPr>
          <w:noProof/>
        </w:rPr>
        <w:drawing>
          <wp:inline distT="0" distB="0" distL="0" distR="0" wp14:anchorId="12DA76EA" wp14:editId="18483E31">
            <wp:extent cx="5849620" cy="1961515"/>
            <wp:effectExtent l="0" t="0" r="0" b="0"/>
            <wp:docPr id="290179780" name="Chart 1">
              <a:extLst xmlns:a="http://schemas.openxmlformats.org/drawingml/2006/main">
                <a:ext uri="{FF2B5EF4-FFF2-40B4-BE49-F238E27FC236}">
                  <a16:creationId xmlns:a16="http://schemas.microsoft.com/office/drawing/2014/main" id="{9007F6BB-9D43-4A50-8690-5AF1F745BA5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063455C2" w14:textId="48D92A60" w:rsidR="00CD3152" w:rsidRPr="004748FE" w:rsidRDefault="004748FE" w:rsidP="00CD3152">
      <w:pPr>
        <w:keepNext/>
        <w:jc w:val="both"/>
        <w:rPr>
          <w:i/>
          <w:iCs/>
          <w:sz w:val="16"/>
          <w:szCs w:val="16"/>
        </w:rPr>
      </w:pPr>
      <w:r w:rsidRPr="004748FE">
        <w:rPr>
          <w:i/>
          <w:iCs/>
          <w:sz w:val="16"/>
          <w:szCs w:val="16"/>
        </w:rPr>
        <w:t>Nota: 1. Cele mai recente date din 2020-22. 2. Date din 2024. Țările cu date din 2019 nu sunt afișate. 2. Cele mai recente date din 2024.</w:t>
      </w:r>
      <w:r w:rsidRPr="004748FE">
        <w:rPr>
          <w:i/>
          <w:iCs/>
          <w:sz w:val="16"/>
          <w:szCs w:val="16"/>
        </w:rPr>
        <w:tab/>
      </w:r>
      <w:r w:rsidRPr="004748FE">
        <w:rPr>
          <w:i/>
          <w:iCs/>
          <w:sz w:val="16"/>
          <w:szCs w:val="16"/>
        </w:rPr>
        <w:tab/>
      </w:r>
      <w:r w:rsidRPr="004748FE">
        <w:rPr>
          <w:i/>
          <w:iCs/>
          <w:sz w:val="16"/>
          <w:szCs w:val="16"/>
        </w:rPr>
        <w:tab/>
      </w:r>
      <w:r w:rsidRPr="004748FE">
        <w:rPr>
          <w:i/>
          <w:iCs/>
          <w:sz w:val="16"/>
          <w:szCs w:val="16"/>
        </w:rPr>
        <w:tab/>
      </w:r>
      <w:r w:rsidRPr="004748FE">
        <w:rPr>
          <w:i/>
          <w:iCs/>
          <w:sz w:val="16"/>
          <w:szCs w:val="16"/>
        </w:rPr>
        <w:tab/>
      </w:r>
      <w:r w:rsidRPr="004748FE">
        <w:rPr>
          <w:i/>
          <w:iCs/>
          <w:sz w:val="16"/>
          <w:szCs w:val="16"/>
        </w:rPr>
        <w:tab/>
      </w:r>
      <w:r w:rsidRPr="004748FE">
        <w:rPr>
          <w:i/>
          <w:iCs/>
          <w:sz w:val="16"/>
          <w:szCs w:val="16"/>
        </w:rPr>
        <w:tab/>
      </w:r>
      <w:r w:rsidRPr="004748FE">
        <w:rPr>
          <w:i/>
          <w:iCs/>
          <w:sz w:val="16"/>
          <w:szCs w:val="16"/>
        </w:rPr>
        <w:tab/>
      </w:r>
    </w:p>
    <w:p w14:paraId="20CAAFA5" w14:textId="6D7A00A9" w:rsidR="00CD3152" w:rsidRDefault="00CD3152" w:rsidP="00CD3152">
      <w:pPr>
        <w:pStyle w:val="Caption"/>
        <w:jc w:val="both"/>
        <w:rPr>
          <w:noProof/>
        </w:rPr>
      </w:pPr>
      <w:bookmarkStart w:id="14" w:name="_Ref211245634"/>
      <w:r>
        <w:t xml:space="preserve">Figura </w:t>
      </w:r>
      <w:fldSimple w:instr=" STYLEREF 1 \s ">
        <w:r w:rsidR="0080370C">
          <w:rPr>
            <w:noProof/>
          </w:rPr>
          <w:t>I</w:t>
        </w:r>
      </w:fldSimple>
      <w:r w:rsidR="0080370C">
        <w:t>.</w:t>
      </w:r>
      <w:fldSimple w:instr=" SEQ Figura \* ARABIC \s 1 ">
        <w:r w:rsidR="0080370C">
          <w:rPr>
            <w:noProof/>
          </w:rPr>
          <w:t>10</w:t>
        </w:r>
      </w:fldSimple>
      <w:bookmarkEnd w:id="14"/>
      <w:r w:rsidRPr="00176E2F">
        <w:t xml:space="preserve"> Evoluția ratelor fumatului zilnic în rândul </w:t>
      </w:r>
      <w:r>
        <w:t>populației 15 ani și peste</w:t>
      </w:r>
      <w:r w:rsidRPr="00176E2F">
        <w:t>, în anul 201</w:t>
      </w:r>
      <w:r w:rsidR="00BD6EA0">
        <w:t>3</w:t>
      </w:r>
      <w:r w:rsidRPr="00176E2F">
        <w:t xml:space="preserve"> și </w:t>
      </w:r>
      <w:r>
        <w:t xml:space="preserve">anul </w:t>
      </w:r>
      <w:r w:rsidRPr="00176E2F">
        <w:t>202</w:t>
      </w:r>
      <w:r w:rsidR="00BD6EA0">
        <w:t>3</w:t>
      </w:r>
      <w:r w:rsidRPr="00176E2F">
        <w:t xml:space="preserve"> (sau cel mai apropiat an), *Media UE este neponderată, Sursa: OECD Health Statistics 202</w:t>
      </w:r>
      <w:r w:rsidR="00BD6EA0">
        <w:t>5</w:t>
      </w:r>
      <w:r w:rsidRPr="00176E2F">
        <w:t xml:space="preserve"> (bazat pe sondaje naționale sau pe European health interview surveys </w:t>
      </w:r>
      <w:r>
        <w:t>–</w:t>
      </w:r>
      <w:r w:rsidRPr="00176E2F">
        <w:t xml:space="preserve"> EHIS</w:t>
      </w:r>
      <w:r>
        <w:t xml:space="preserve"> 2019</w:t>
      </w:r>
      <w:r w:rsidRPr="00176E2F">
        <w:t>).</w:t>
      </w:r>
    </w:p>
    <w:p w14:paraId="1AC12150" w14:textId="6B21A385" w:rsidR="00CD3152" w:rsidRDefault="00BD6EA0" w:rsidP="00CD3152">
      <w:pPr>
        <w:ind w:firstLine="708"/>
        <w:jc w:val="both"/>
        <w:rPr>
          <w:noProof/>
        </w:rPr>
      </w:pPr>
      <w:r w:rsidRPr="00BD6EA0">
        <w:rPr>
          <w:noProof/>
        </w:rPr>
        <w:t>Proporția fumătorilor zilnici a fost cea mai mare în Turcia, Ungaria și Grecia, precum și în țările partenere/</w:t>
      </w:r>
      <w:r>
        <w:rPr>
          <w:noProof/>
        </w:rPr>
        <w:t xml:space="preserve">în curs de aderare </w:t>
      </w:r>
      <w:r w:rsidRPr="00BD6EA0">
        <w:rPr>
          <w:noProof/>
        </w:rPr>
        <w:t>Indonezia, Bulgaria și China, unde cel puțin una din patru persoane fuma zilnic</w:t>
      </w:r>
      <w:r>
        <w:rPr>
          <w:noProof/>
        </w:rPr>
        <w:t>.</w:t>
      </w:r>
      <w:r w:rsidRPr="00BD6EA0">
        <w:rPr>
          <w:noProof/>
        </w:rPr>
        <w:t xml:space="preserve"> </w:t>
      </w:r>
      <w:r w:rsidR="00CD3152">
        <w:rPr>
          <w:noProof/>
        </w:rPr>
        <w:t>(</w:t>
      </w:r>
      <w:r w:rsidR="00CD3152">
        <w:rPr>
          <w:noProof/>
        </w:rPr>
        <w:fldChar w:fldCharType="begin"/>
      </w:r>
      <w:r w:rsidR="00CD3152">
        <w:rPr>
          <w:noProof/>
        </w:rPr>
        <w:instrText xml:space="preserve"> REF _Ref211245634 \h </w:instrText>
      </w:r>
      <w:r w:rsidR="00CD3152">
        <w:rPr>
          <w:noProof/>
        </w:rPr>
      </w:r>
      <w:r w:rsidR="00CD3152">
        <w:rPr>
          <w:noProof/>
        </w:rPr>
        <w:fldChar w:fldCharType="separate"/>
      </w:r>
      <w:r w:rsidR="00CD3152">
        <w:t xml:space="preserve">Figura </w:t>
      </w:r>
      <w:r w:rsidR="00CD3152">
        <w:rPr>
          <w:noProof/>
        </w:rPr>
        <w:t>I</w:t>
      </w:r>
      <w:r w:rsidR="00CD3152">
        <w:t>.</w:t>
      </w:r>
      <w:r w:rsidR="00CD3152">
        <w:rPr>
          <w:noProof/>
        </w:rPr>
        <w:t>10</w:t>
      </w:r>
      <w:r w:rsidR="00CD3152">
        <w:rPr>
          <w:noProof/>
        </w:rPr>
        <w:fldChar w:fldCharType="end"/>
      </w:r>
      <w:r w:rsidR="00CD3152">
        <w:rPr>
          <w:noProof/>
        </w:rPr>
        <w:t>)</w:t>
      </w:r>
      <w:r w:rsidR="00CD3152" w:rsidRPr="008C5D95">
        <w:rPr>
          <w:noProof/>
        </w:rPr>
        <w:t>.</w:t>
      </w:r>
    </w:p>
    <w:p w14:paraId="7E27C1C4" w14:textId="7824ECB1" w:rsidR="00CD3152" w:rsidRDefault="00BD6EA0" w:rsidP="00CD3152">
      <w:pPr>
        <w:ind w:firstLine="708"/>
        <w:jc w:val="both"/>
        <w:rPr>
          <w:noProof/>
        </w:rPr>
      </w:pPr>
      <w:r>
        <w:rPr>
          <w:noProof/>
        </w:rPr>
        <w:t>C</w:t>
      </w:r>
      <w:r w:rsidRPr="00BD6EA0">
        <w:rPr>
          <w:noProof/>
        </w:rPr>
        <w:t xml:space="preserve">ele mai scăzute rate au fost observate în Islanda și Costa Rica, unde proporția fumătorilor zilnici era de 6% sau mai puțin </w:t>
      </w:r>
      <w:r w:rsidR="00CD3152">
        <w:rPr>
          <w:noProof/>
        </w:rPr>
        <w:t>(</w:t>
      </w:r>
      <w:r w:rsidR="00CD3152">
        <w:rPr>
          <w:noProof/>
        </w:rPr>
        <w:fldChar w:fldCharType="begin"/>
      </w:r>
      <w:r w:rsidR="00CD3152">
        <w:rPr>
          <w:noProof/>
        </w:rPr>
        <w:instrText xml:space="preserve"> REF _Ref211245634 \h </w:instrText>
      </w:r>
      <w:r w:rsidR="00CD3152">
        <w:rPr>
          <w:noProof/>
        </w:rPr>
      </w:r>
      <w:r w:rsidR="00CD3152">
        <w:rPr>
          <w:noProof/>
        </w:rPr>
        <w:fldChar w:fldCharType="separate"/>
      </w:r>
      <w:r w:rsidR="00CD3152">
        <w:t xml:space="preserve">Figura </w:t>
      </w:r>
      <w:r w:rsidR="00CD3152">
        <w:rPr>
          <w:noProof/>
        </w:rPr>
        <w:t>I</w:t>
      </w:r>
      <w:r w:rsidR="00CD3152">
        <w:t>.</w:t>
      </w:r>
      <w:r w:rsidR="00CD3152">
        <w:rPr>
          <w:noProof/>
        </w:rPr>
        <w:t>10</w:t>
      </w:r>
      <w:r w:rsidR="00CD3152">
        <w:rPr>
          <w:noProof/>
        </w:rPr>
        <w:fldChar w:fldCharType="end"/>
      </w:r>
      <w:r w:rsidR="00CD3152">
        <w:rPr>
          <w:noProof/>
        </w:rPr>
        <w:t>)</w:t>
      </w:r>
      <w:r w:rsidR="00CD3152" w:rsidRPr="006E0160">
        <w:rPr>
          <w:noProof/>
        </w:rPr>
        <w:t>.</w:t>
      </w:r>
    </w:p>
    <w:p w14:paraId="55BB8465" w14:textId="6D6A26C3" w:rsidR="00652260" w:rsidRDefault="00652260" w:rsidP="00CD3152">
      <w:pPr>
        <w:ind w:firstLine="708"/>
        <w:jc w:val="both"/>
        <w:rPr>
          <w:noProof/>
        </w:rPr>
      </w:pPr>
      <w:r w:rsidRPr="00652260">
        <w:rPr>
          <w:noProof/>
        </w:rPr>
        <w:t>În toate țările OCDE, bărbații sunt mai predispuși să fumeze decât femeile: în medie, 18,5% dintre bărbați au fumat zilnic în 2023, comparativ cu 11,4% dintre femei. Unele țări prezintă disparități mari de gen – această diferență este cea mai pronunțată în Japonia, Coreea, Lituania, Letonia și Turcia, precum și în țările partenere Indonezia, China și Africa de Sud</w:t>
      </w:r>
      <w:r>
        <w:rPr>
          <w:noProof/>
        </w:rPr>
        <w:fldChar w:fldCharType="begin"/>
      </w:r>
      <w:r>
        <w:rPr>
          <w:noProof/>
        </w:rPr>
        <w:instrText xml:space="preserve"> ADDIN EN.CITE &lt;EndNote&gt;&lt;Cite&gt;&lt;Author&gt;OECD&lt;/Author&gt;&lt;Year&gt;2025&lt;/Year&gt;&lt;RecNum&gt;9768&lt;/RecNum&gt;&lt;DisplayText&gt;&lt;style size="10"&gt;[6]&lt;/style&gt;&lt;/DisplayText&gt;&lt;record&gt;&lt;rec-number&gt;9768&lt;/rec-number&gt;&lt;foreign-keys&gt;&lt;key app="EN" db-id="fw0prtesnvf55cepezbx255wwza5zw0ssatt" timestamp="1781749697"&gt;9768&lt;/key&gt;&lt;/foreign-keys&gt;&lt;ref-type name="Report"&gt;27&lt;/ref-type&gt;&lt;contributors&gt;&lt;authors&gt;&lt;author&gt;&lt;style face="normal" font="default" charset="238" size="100%"&gt;OECD&lt;/style&gt;&lt;/author&gt;&lt;/authors&gt;&lt;secondary-authors&gt;&lt;author&gt; OECD Publishing&lt;/author&gt;&lt;/secondary-authors&gt;&lt;/contributors&gt;&lt;titles&gt;&lt;title&gt;Health at a Glance 2025: OECD Indicators&lt;/title&gt;&lt;/titles&gt;&lt;dates&gt;&lt;year&gt;&lt;style face="normal" font="default" charset="238" size="100%"&gt;2025&lt;/style&gt;&lt;/year&gt;&lt;/dates&gt;&lt;urls&gt;&lt;related-urls&gt;&lt;url&gt;https://www.oecd.org/en/publications/health-at-a-glance-2025_8f9e3f98-en/full-report.html&lt;/url&gt;&lt;/related-urls&gt;&lt;/urls&gt;&lt;electronic-resource-num&gt;https://doi.org/10.1787/8f9e3f98-en.&lt;/electronic-resource-num&gt;&lt;/record&gt;&lt;/Cite&gt;&lt;/EndNote&gt;</w:instrText>
      </w:r>
      <w:r>
        <w:rPr>
          <w:noProof/>
        </w:rPr>
        <w:fldChar w:fldCharType="separate"/>
      </w:r>
      <w:r w:rsidRPr="00652260">
        <w:rPr>
          <w:noProof/>
          <w:sz w:val="20"/>
        </w:rPr>
        <w:t>[6]</w:t>
      </w:r>
      <w:r>
        <w:rPr>
          <w:noProof/>
        </w:rPr>
        <w:fldChar w:fldCharType="end"/>
      </w:r>
      <w:r w:rsidRPr="00652260">
        <w:rPr>
          <w:noProof/>
        </w:rPr>
        <w:t xml:space="preserve">. </w:t>
      </w:r>
    </w:p>
    <w:p w14:paraId="15672E8B" w14:textId="0B6DBC90" w:rsidR="00E0450F" w:rsidRDefault="00E0450F" w:rsidP="0043169B">
      <w:pPr>
        <w:ind w:firstLine="708"/>
        <w:jc w:val="center"/>
        <w:rPr>
          <w:noProof/>
        </w:rPr>
      </w:pPr>
      <w:r>
        <w:rPr>
          <w:noProof/>
        </w:rPr>
        <w:lastRenderedPageBreak/>
        <w:drawing>
          <wp:inline distT="0" distB="0" distL="0" distR="0" wp14:anchorId="0BE79F2E" wp14:editId="0EB2BD9E">
            <wp:extent cx="5327226" cy="2519680"/>
            <wp:effectExtent l="0" t="0" r="0" b="0"/>
            <wp:docPr id="866795604" name="Chart 1">
              <a:extLst xmlns:a="http://schemas.openxmlformats.org/drawingml/2006/main">
                <a:ext uri="{FF2B5EF4-FFF2-40B4-BE49-F238E27FC236}">
                  <a16:creationId xmlns:a16="http://schemas.microsoft.com/office/drawing/2014/main" id="{BC3319B4-11A8-4513-A648-588BE4D6B0C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1061029E" w14:textId="60E0E500" w:rsidR="0043169B" w:rsidRPr="0043169B" w:rsidRDefault="0043169B" w:rsidP="0043169B">
      <w:pPr>
        <w:pStyle w:val="Caption"/>
        <w:ind w:left="709" w:firstLine="709"/>
        <w:jc w:val="both"/>
        <w:rPr>
          <w:b w:val="0"/>
          <w:bCs w:val="0"/>
          <w:i/>
          <w:iCs/>
          <w:sz w:val="16"/>
          <w:szCs w:val="16"/>
        </w:rPr>
      </w:pPr>
      <w:bookmarkStart w:id="15" w:name="_Ref211245716"/>
      <w:r w:rsidRPr="0043169B">
        <w:rPr>
          <w:b w:val="0"/>
          <w:bCs w:val="0"/>
          <w:i/>
          <w:iCs/>
          <w:sz w:val="16"/>
          <w:szCs w:val="16"/>
        </w:rPr>
        <w:t>Nota: 1.Date din 2019. 2. Date din 2020-22.  3. Cele mai noi date din 2024</w:t>
      </w:r>
      <w:r w:rsidRPr="0043169B">
        <w:rPr>
          <w:b w:val="0"/>
          <w:bCs w:val="0"/>
          <w:i/>
          <w:iCs/>
          <w:sz w:val="16"/>
          <w:szCs w:val="16"/>
        </w:rPr>
        <w:tab/>
      </w:r>
      <w:r w:rsidRPr="0043169B">
        <w:rPr>
          <w:b w:val="0"/>
          <w:bCs w:val="0"/>
          <w:i/>
          <w:iCs/>
          <w:sz w:val="16"/>
          <w:szCs w:val="16"/>
        </w:rPr>
        <w:tab/>
      </w:r>
      <w:r w:rsidRPr="0043169B">
        <w:rPr>
          <w:b w:val="0"/>
          <w:bCs w:val="0"/>
          <w:i/>
          <w:iCs/>
          <w:sz w:val="16"/>
          <w:szCs w:val="16"/>
        </w:rPr>
        <w:tab/>
      </w:r>
      <w:r w:rsidRPr="0043169B">
        <w:rPr>
          <w:b w:val="0"/>
          <w:bCs w:val="0"/>
          <w:i/>
          <w:iCs/>
          <w:sz w:val="16"/>
          <w:szCs w:val="16"/>
        </w:rPr>
        <w:tab/>
      </w:r>
    </w:p>
    <w:p w14:paraId="28545EB5" w14:textId="75A4CE82" w:rsidR="00CD3152" w:rsidRDefault="00CD3152" w:rsidP="00CD3152">
      <w:pPr>
        <w:pStyle w:val="Caption"/>
        <w:jc w:val="both"/>
      </w:pPr>
      <w:r>
        <w:t xml:space="preserve">Figura </w:t>
      </w:r>
      <w:fldSimple w:instr=" STYLEREF 1 \s ">
        <w:r w:rsidR="0080370C">
          <w:rPr>
            <w:noProof/>
          </w:rPr>
          <w:t>I</w:t>
        </w:r>
      </w:fldSimple>
      <w:r w:rsidR="0080370C">
        <w:t>.</w:t>
      </w:r>
      <w:fldSimple w:instr=" SEQ Figura \* ARABIC \s 1 ">
        <w:r w:rsidR="0080370C">
          <w:rPr>
            <w:noProof/>
          </w:rPr>
          <w:t>11</w:t>
        </w:r>
      </w:fldSimple>
      <w:bookmarkEnd w:id="15"/>
      <w:r w:rsidRPr="002F1152">
        <w:t xml:space="preserve"> Prevalența fumatului zilnic în rândul </w:t>
      </w:r>
      <w:r>
        <w:t xml:space="preserve">populației cu vârsta 15 ani și </w:t>
      </w:r>
      <w:r w:rsidRPr="002F1152">
        <w:t xml:space="preserve">peste, pe sexe, </w:t>
      </w:r>
      <w:r>
        <w:t xml:space="preserve">în </w:t>
      </w:r>
      <w:r w:rsidRPr="002F1152">
        <w:t>202</w:t>
      </w:r>
      <w:r w:rsidR="0043169B">
        <w:t>3</w:t>
      </w:r>
      <w:r w:rsidRPr="002F1152">
        <w:t xml:space="preserve"> (sau cel mai apropiat an disponibil), *Media UE este neponderată, Sursa: OECD Health Statistics 202</w:t>
      </w:r>
      <w:r w:rsidR="0043169B">
        <w:t>5</w:t>
      </w:r>
      <w:r w:rsidRPr="002F1152">
        <w:t xml:space="preserve"> (bazat pe sondaj național sau pe European Health Interview surveys - EHIS).</w:t>
      </w:r>
    </w:p>
    <w:p w14:paraId="2B47C46D" w14:textId="15CB101D" w:rsidR="00CD3152" w:rsidRDefault="00CD3152" w:rsidP="00CD3152">
      <w:pPr>
        <w:ind w:firstLine="708"/>
        <w:jc w:val="both"/>
        <w:rPr>
          <w:noProof/>
        </w:rPr>
      </w:pPr>
      <w:r w:rsidRPr="006E0160">
        <w:rPr>
          <w:noProof/>
        </w:rPr>
        <w:t xml:space="preserve">Disparitățile de gen sunt marcante: în România </w:t>
      </w:r>
      <w:r>
        <w:rPr>
          <w:noProof/>
        </w:rPr>
        <w:t>frecvența</w:t>
      </w:r>
      <w:r w:rsidRPr="006E0160">
        <w:rPr>
          <w:noProof/>
        </w:rPr>
        <w:t xml:space="preserve"> fumatului zilnic în rândul bărbaților (30,6%) depășește valoarea medie UE de 22,3%, în timp ce în rândul femeilor aceasta se situează în jurul a 7,5%, semnificativ sub media UE pentru acest grup (14,8%). Cea mai mare prevalență a fumatului zilnic la genul masculin se înregistrează în</w:t>
      </w:r>
      <w:r w:rsidR="00F42D2B">
        <w:rPr>
          <w:noProof/>
        </w:rPr>
        <w:t xml:space="preserve"> Indonezia (62,7%) și</w:t>
      </w:r>
      <w:r w:rsidRPr="006E0160">
        <w:rPr>
          <w:noProof/>
        </w:rPr>
        <w:t xml:space="preserve"> Bulgaria (38%), iar cea mai mică în </w:t>
      </w:r>
      <w:r w:rsidR="00F42D2B">
        <w:rPr>
          <w:noProof/>
        </w:rPr>
        <w:t>Islanda</w:t>
      </w:r>
      <w:r w:rsidRPr="006E0160">
        <w:rPr>
          <w:noProof/>
        </w:rPr>
        <w:t xml:space="preserve"> (</w:t>
      </w:r>
      <w:r w:rsidR="00F42D2B">
        <w:rPr>
          <w:noProof/>
        </w:rPr>
        <w:t>5,4</w:t>
      </w:r>
      <w:r w:rsidRPr="006E0160">
        <w:rPr>
          <w:noProof/>
        </w:rPr>
        <w:t>%)</w:t>
      </w:r>
      <w:r w:rsidR="00F42D2B">
        <w:rPr>
          <w:noProof/>
        </w:rPr>
        <w:t xml:space="preserve">. </w:t>
      </w:r>
      <w:r w:rsidRPr="006E0160">
        <w:rPr>
          <w:noProof/>
        </w:rPr>
        <w:t xml:space="preserve">La genul feminin, pe primele locuri se situează Ungaria (22,3%) și Bulgaria (21,1%), iar pe ultimele locuri Suedia (8,5%), Portugalia (9%). România (7,5%) se află </w:t>
      </w:r>
      <w:r w:rsidR="001C6650">
        <w:rPr>
          <w:noProof/>
        </w:rPr>
        <w:t>între țările valori mici ale</w:t>
      </w:r>
      <w:r w:rsidRPr="006E0160">
        <w:rPr>
          <w:noProof/>
        </w:rPr>
        <w:t xml:space="preserve"> prevalenț</w:t>
      </w:r>
      <w:r w:rsidR="001C6650">
        <w:rPr>
          <w:noProof/>
        </w:rPr>
        <w:t>ei</w:t>
      </w:r>
      <w:r w:rsidRPr="006E0160">
        <w:rPr>
          <w:noProof/>
        </w:rPr>
        <w:t xml:space="preserve"> fumatului zilnic la femei</w:t>
      </w:r>
      <w:r>
        <w:rPr>
          <w:noProof/>
        </w:rPr>
        <w:t xml:space="preserve"> (</w:t>
      </w:r>
      <w:r>
        <w:rPr>
          <w:noProof/>
        </w:rPr>
        <w:fldChar w:fldCharType="begin"/>
      </w:r>
      <w:r>
        <w:rPr>
          <w:noProof/>
        </w:rPr>
        <w:instrText xml:space="preserve"> REF _Ref211245716 \h </w:instrText>
      </w:r>
      <w:r>
        <w:rPr>
          <w:noProof/>
        </w:rPr>
      </w:r>
      <w:r>
        <w:rPr>
          <w:noProof/>
        </w:rPr>
        <w:fldChar w:fldCharType="separate"/>
      </w:r>
      <w:r>
        <w:t xml:space="preserve">Figura </w:t>
      </w:r>
      <w:r>
        <w:rPr>
          <w:noProof/>
        </w:rPr>
        <w:t>I</w:t>
      </w:r>
      <w:r>
        <w:t>.</w:t>
      </w:r>
      <w:r>
        <w:rPr>
          <w:noProof/>
        </w:rPr>
        <w:t>11</w:t>
      </w:r>
      <w:r>
        <w:rPr>
          <w:noProof/>
        </w:rPr>
        <w:fldChar w:fldCharType="end"/>
      </w:r>
      <w:r>
        <w:rPr>
          <w:noProof/>
        </w:rPr>
        <w:t>)</w:t>
      </w:r>
      <w:r w:rsidRPr="006E0160">
        <w:rPr>
          <w:noProof/>
        </w:rPr>
        <w:t>.</w:t>
      </w:r>
      <w:r w:rsidRPr="006E0160">
        <w:rPr>
          <w:noProof/>
        </w:rPr>
        <w:fldChar w:fldCharType="begin"/>
      </w:r>
      <w:r w:rsidR="00D4526D">
        <w:rPr>
          <w:noProof/>
        </w:rPr>
        <w:instrText xml:space="preserve"> ADDIN EN.CITE &lt;EndNote&gt;&lt;Cite&gt;&lt;Author&gt;OECD&lt;/Author&gt;&lt;Year&gt;2024&lt;/Year&gt;&lt;RecNum&gt;9124&lt;/RecNum&gt;&lt;DisplayText&gt;&lt;style size="10"&gt;[7]&lt;/style&gt;&lt;/DisplayText&gt;&lt;record&gt;&lt;rec-number&gt;9124&lt;/rec-number&gt;&lt;foreign-keys&gt;&lt;key app="EN" db-id="fw0prtesnvf55cepezbx255wwza5zw0ssatt" timestamp="1754270590" guid="e2f7515f-2de0-473b-9759-4011dc0fdaa4"&gt;9124&lt;/key&gt;&lt;/foreign-keys&gt;&lt;ref-type name="Report"&gt;27&lt;/ref-type&gt;&lt;contributors&gt;&lt;authors&gt;&lt;author&gt;OECD &lt;/author&gt;&lt;/authors&gt;&lt;secondary-authors&gt;&lt;author&gt;OECD Publishing&lt;/author&gt;&lt;/secondary-authors&gt;&lt;/contributors&gt;&lt;titles&gt;&lt;title&gt;Health at a Glance: Europe 2024: State of Health in the EU Cycle&lt;/title&gt;&lt;/titles&gt;&lt;dates&gt;&lt;year&gt;&lt;style face="normal" font="default" charset="238" size="100%"&gt;2024&lt;/style&gt;&lt;/year&gt;&lt;/dates&gt;&lt;pub-location&gt;&lt;style face="normal" font="default" charset="238" size="100%"&gt;Paris&lt;/style&gt;&lt;/pub-location&gt;&lt;urls&gt;&lt;/urls&gt;&lt;electronic-resource-num&gt;&lt;style face="normal" font="default" charset="238" size="100%"&gt;1&lt;/style&gt;&lt;style face="normal" font="default" size="100%"&gt;0.1787/b3704e14-en&lt;/style&gt;&lt;/electronic-resource-num&gt;&lt;/record&gt;&lt;/Cite&gt;&lt;/EndNote&gt;</w:instrText>
      </w:r>
      <w:r w:rsidRPr="006E0160">
        <w:rPr>
          <w:noProof/>
        </w:rPr>
        <w:fldChar w:fldCharType="separate"/>
      </w:r>
      <w:r w:rsidR="00D4526D" w:rsidRPr="00D4526D">
        <w:rPr>
          <w:noProof/>
          <w:sz w:val="20"/>
        </w:rPr>
        <w:t>[7]</w:t>
      </w:r>
      <w:r w:rsidRPr="006E0160">
        <w:rPr>
          <w:noProof/>
        </w:rPr>
        <w:fldChar w:fldCharType="end"/>
      </w:r>
    </w:p>
    <w:p w14:paraId="7B4760F6" w14:textId="77777777" w:rsidR="00CD3152" w:rsidRDefault="00CD3152" w:rsidP="00852DB3">
      <w:pPr>
        <w:keepNext/>
        <w:ind w:firstLine="0"/>
        <w:jc w:val="both"/>
      </w:pPr>
      <w:r>
        <w:rPr>
          <w:noProof/>
        </w:rPr>
        <w:drawing>
          <wp:inline distT="0" distB="0" distL="0" distR="0" wp14:anchorId="4FF8A8CE" wp14:editId="1170C014">
            <wp:extent cx="5775960" cy="2519680"/>
            <wp:effectExtent l="0" t="0" r="0" b="0"/>
            <wp:docPr id="446430669" name="Chart 1">
              <a:extLst xmlns:a="http://schemas.openxmlformats.org/drawingml/2006/main">
                <a:ext uri="{FF2B5EF4-FFF2-40B4-BE49-F238E27FC236}">
                  <a16:creationId xmlns:a16="http://schemas.microsoft.com/office/drawing/2014/main" id="{00000000-0008-0000-03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7C5FB5A0" w14:textId="62D14B5C" w:rsidR="00CD3152" w:rsidRDefault="00CD3152" w:rsidP="00CD3152">
      <w:pPr>
        <w:pStyle w:val="Caption"/>
        <w:jc w:val="both"/>
      </w:pPr>
      <w:bookmarkStart w:id="16" w:name="_Ref211245821"/>
      <w:r>
        <w:t xml:space="preserve">Figura </w:t>
      </w:r>
      <w:fldSimple w:instr=" STYLEREF 1 \s ">
        <w:r w:rsidR="0080370C">
          <w:rPr>
            <w:noProof/>
          </w:rPr>
          <w:t>I</w:t>
        </w:r>
      </w:fldSimple>
      <w:r w:rsidR="0080370C">
        <w:t>.</w:t>
      </w:r>
      <w:fldSimple w:instr=" SEQ Figura \* ARABIC \s 1 ">
        <w:r w:rsidR="0080370C">
          <w:rPr>
            <w:noProof/>
          </w:rPr>
          <w:t>12</w:t>
        </w:r>
      </w:fldSimple>
      <w:bookmarkEnd w:id="16"/>
      <w:r w:rsidRPr="00B5747B">
        <w:t xml:space="preserve"> Prevalența fumatului zilnic în rândul populației cu vârsta 15 ani și peste, </w:t>
      </w:r>
      <w:r>
        <w:t>în funcție de</w:t>
      </w:r>
      <w:r w:rsidRPr="00B5747B">
        <w:t xml:space="preserve"> </w:t>
      </w:r>
      <w:r>
        <w:t>nivelul de instruire</w:t>
      </w:r>
      <w:r w:rsidRPr="00B5747B">
        <w:t xml:space="preserve">, Sursa: </w:t>
      </w:r>
      <w:r>
        <w:t xml:space="preserve">EUROSTAT, </w:t>
      </w:r>
      <w:r w:rsidRPr="00B5747B">
        <w:t>bazat pe EHIS</w:t>
      </w:r>
      <w:r>
        <w:t xml:space="preserve"> 2019 </w:t>
      </w:r>
      <w:r w:rsidRPr="00DD508D">
        <w:t>(online data code: hlth_ehis_sk3e)</w:t>
      </w:r>
      <w:r w:rsidRPr="00B5747B">
        <w:t>.</w:t>
      </w:r>
    </w:p>
    <w:p w14:paraId="7EC7A97E" w14:textId="77777777" w:rsidR="00CD3152" w:rsidRDefault="00CD3152" w:rsidP="00CD3152">
      <w:pPr>
        <w:ind w:firstLine="708"/>
        <w:jc w:val="both"/>
        <w:rPr>
          <w:noProof/>
        </w:rPr>
      </w:pPr>
      <w:r w:rsidRPr="00B5747B">
        <w:rPr>
          <w:noProof/>
        </w:rPr>
        <w:t>În România, ponderea fumătorilor</w:t>
      </w:r>
      <w:r>
        <w:rPr>
          <w:noProof/>
        </w:rPr>
        <w:t xml:space="preserve"> zilnici din grupa de vârstă 15 ani și peste,</w:t>
      </w:r>
      <w:r w:rsidRPr="00B5747B">
        <w:rPr>
          <w:noProof/>
        </w:rPr>
        <w:t xml:space="preserve"> cu studii medii (</w:t>
      </w:r>
      <w:r>
        <w:rPr>
          <w:noProof/>
        </w:rPr>
        <w:t>21</w:t>
      </w:r>
      <w:r w:rsidRPr="00B5747B">
        <w:rPr>
          <w:noProof/>
        </w:rPr>
        <w:t>,</w:t>
      </w:r>
      <w:r>
        <w:rPr>
          <w:noProof/>
        </w:rPr>
        <w:t>7</w:t>
      </w:r>
      <w:r w:rsidRPr="00B5747B">
        <w:rPr>
          <w:noProof/>
        </w:rPr>
        <w:t>%) este mai mare decât cea a fumătorilor cu un nivel de educație superior (</w:t>
      </w:r>
      <w:r>
        <w:rPr>
          <w:noProof/>
        </w:rPr>
        <w:t>17,8</w:t>
      </w:r>
      <w:r w:rsidRPr="00B5747B">
        <w:rPr>
          <w:noProof/>
        </w:rPr>
        <w:t>%) sau scăzut (</w:t>
      </w:r>
      <w:r>
        <w:rPr>
          <w:noProof/>
        </w:rPr>
        <w:t>13,4</w:t>
      </w:r>
      <w:r w:rsidRPr="00B5747B">
        <w:rPr>
          <w:noProof/>
        </w:rPr>
        <w:t>%).</w:t>
      </w:r>
      <w:r>
        <w:rPr>
          <w:noProof/>
        </w:rPr>
        <w:t xml:space="preserve"> P</w:t>
      </w:r>
      <w:r w:rsidRPr="007B3514">
        <w:rPr>
          <w:noProof/>
        </w:rPr>
        <w:t>onderea fumătorilor zilnici</w:t>
      </w:r>
      <w:r>
        <w:rPr>
          <w:noProof/>
        </w:rPr>
        <w:t xml:space="preserve"> în România se află sub media UE pentru consumatorii cu studii medii (21,9%) și scăzut (18,6%), și ușor peste media UE pentru consumatorii cu studii superioare (12,7%)(</w:t>
      </w:r>
      <w:r>
        <w:rPr>
          <w:noProof/>
        </w:rPr>
        <w:fldChar w:fldCharType="begin"/>
      </w:r>
      <w:r>
        <w:rPr>
          <w:noProof/>
        </w:rPr>
        <w:instrText xml:space="preserve"> REF _Ref211245821 \h </w:instrText>
      </w:r>
      <w:r>
        <w:rPr>
          <w:noProof/>
        </w:rPr>
      </w:r>
      <w:r>
        <w:rPr>
          <w:noProof/>
        </w:rPr>
        <w:fldChar w:fldCharType="separate"/>
      </w:r>
      <w:r>
        <w:t xml:space="preserve">Figura </w:t>
      </w:r>
      <w:r>
        <w:rPr>
          <w:noProof/>
        </w:rPr>
        <w:t>I</w:t>
      </w:r>
      <w:r>
        <w:t>.</w:t>
      </w:r>
      <w:r>
        <w:rPr>
          <w:noProof/>
        </w:rPr>
        <w:t>13</w:t>
      </w:r>
      <w:r>
        <w:rPr>
          <w:noProof/>
        </w:rPr>
        <w:fldChar w:fldCharType="end"/>
      </w:r>
      <w:r>
        <w:rPr>
          <w:noProof/>
        </w:rPr>
        <w:t>).</w:t>
      </w:r>
    </w:p>
    <w:p w14:paraId="4CBE360B" w14:textId="77777777" w:rsidR="00CD3152" w:rsidRDefault="00CD3152" w:rsidP="00852DB3">
      <w:pPr>
        <w:keepNext/>
        <w:ind w:firstLine="0"/>
        <w:jc w:val="both"/>
      </w:pPr>
      <w:r>
        <w:rPr>
          <w:noProof/>
        </w:rPr>
        <w:lastRenderedPageBreak/>
        <w:drawing>
          <wp:inline distT="0" distB="0" distL="0" distR="0" wp14:anchorId="2D857F8E" wp14:editId="2B7A7914">
            <wp:extent cx="5814060" cy="2369820"/>
            <wp:effectExtent l="0" t="0" r="0" b="11430"/>
            <wp:docPr id="180436050" name="Chart 1">
              <a:extLst xmlns:a="http://schemas.openxmlformats.org/drawingml/2006/main">
                <a:ext uri="{FF2B5EF4-FFF2-40B4-BE49-F238E27FC236}">
                  <a16:creationId xmlns:a16="http://schemas.microsoft.com/office/drawing/2014/main" id="{00000000-0008-0000-05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382C13CC" w14:textId="2B30C3D3" w:rsidR="00CD3152" w:rsidRDefault="00CD3152" w:rsidP="00CD3152">
      <w:pPr>
        <w:pStyle w:val="Caption"/>
        <w:jc w:val="both"/>
        <w:rPr>
          <w:noProof/>
        </w:rPr>
      </w:pPr>
      <w:bookmarkStart w:id="17" w:name="_Ref211311723"/>
      <w:r>
        <w:t xml:space="preserve">Figura </w:t>
      </w:r>
      <w:fldSimple w:instr=" STYLEREF 1 \s ">
        <w:r w:rsidR="0080370C">
          <w:rPr>
            <w:noProof/>
          </w:rPr>
          <w:t>I</w:t>
        </w:r>
      </w:fldSimple>
      <w:r w:rsidR="0080370C">
        <w:t>.</w:t>
      </w:r>
      <w:fldSimple w:instr=" SEQ Figura \* ARABIC \s 1 ">
        <w:r w:rsidR="0080370C">
          <w:rPr>
            <w:noProof/>
          </w:rPr>
          <w:t>13</w:t>
        </w:r>
      </w:fldSimple>
      <w:bookmarkEnd w:id="17"/>
      <w:r w:rsidRPr="000C548B">
        <w:t xml:space="preserve"> Prevalența fumatului zilnic în rândul populației cu vârsta 15 ani și peste, în funcție de </w:t>
      </w:r>
      <w:r>
        <w:t>numărul de țigări consumate</w:t>
      </w:r>
      <w:r w:rsidRPr="000C548B">
        <w:t>, Sursa: EUROSTAT</w:t>
      </w:r>
      <w:r>
        <w:t xml:space="preserve">, </w:t>
      </w:r>
      <w:r w:rsidRPr="000C548B">
        <w:t>bazat pe EHIS 2019</w:t>
      </w:r>
      <w:r>
        <w:t>,</w:t>
      </w:r>
      <w:r w:rsidRPr="002C636A">
        <w:t xml:space="preserve"> (online data code: hlth_ehis_sk3e)</w:t>
      </w:r>
      <w:r w:rsidRPr="000C548B">
        <w:t>.</w:t>
      </w:r>
    </w:p>
    <w:p w14:paraId="0E003DBF" w14:textId="77777777" w:rsidR="00CD3152" w:rsidRDefault="00CD3152" w:rsidP="00CD3152">
      <w:pPr>
        <w:ind w:firstLine="708"/>
        <w:jc w:val="both"/>
        <w:rPr>
          <w:noProof/>
        </w:rPr>
      </w:pPr>
      <w:r w:rsidRPr="00BF43C3">
        <w:rPr>
          <w:noProof/>
        </w:rPr>
        <w:t>În ceea ce privește numărul de țigări fumate zilnic</w:t>
      </w:r>
      <w:r>
        <w:rPr>
          <w:noProof/>
        </w:rPr>
        <w:t>,</w:t>
      </w:r>
      <w:r w:rsidRPr="00BF43C3">
        <w:rPr>
          <w:noProof/>
        </w:rPr>
        <w:t xml:space="preserve"> se observă că ponderea cea mai mare se înregistrează pentru </w:t>
      </w:r>
      <w:r>
        <w:rPr>
          <w:noProof/>
        </w:rPr>
        <w:t>mai puțin de 20</w:t>
      </w:r>
      <w:r w:rsidRPr="00BF43C3">
        <w:rPr>
          <w:noProof/>
        </w:rPr>
        <w:t xml:space="preserve"> țigări/zi </w:t>
      </w:r>
      <w:r>
        <w:rPr>
          <w:noProof/>
        </w:rPr>
        <w:t>atât în România cât și la nivelul UE, cu diferență de 0,7 puncte procentuale în favoarea României</w:t>
      </w:r>
      <w:r w:rsidRPr="00BF43C3">
        <w:rPr>
          <w:noProof/>
        </w:rPr>
        <w:t xml:space="preserve">. </w:t>
      </w:r>
      <w:r>
        <w:rPr>
          <w:noProof/>
        </w:rPr>
        <w:t>5,4</w:t>
      </w:r>
      <w:r w:rsidRPr="00BF43C3">
        <w:rPr>
          <w:noProof/>
        </w:rPr>
        <w:t xml:space="preserve">% dintre </w:t>
      </w:r>
      <w:r>
        <w:rPr>
          <w:noProof/>
        </w:rPr>
        <w:t xml:space="preserve">fumătorii zilnici din România fumează </w:t>
      </w:r>
      <w:r w:rsidRPr="00BF43C3">
        <w:rPr>
          <w:noProof/>
        </w:rPr>
        <w:t>mai mult de 20 de țigări/zi</w:t>
      </w:r>
      <w:r>
        <w:rPr>
          <w:noProof/>
        </w:rPr>
        <w:t>, valoare ușor sub media UE de 5,9% (</w:t>
      </w:r>
      <w:r>
        <w:rPr>
          <w:noProof/>
        </w:rPr>
        <w:fldChar w:fldCharType="begin"/>
      </w:r>
      <w:r>
        <w:rPr>
          <w:noProof/>
        </w:rPr>
        <w:instrText xml:space="preserve"> REF _Ref211311723 \h </w:instrText>
      </w:r>
      <w:r>
        <w:rPr>
          <w:noProof/>
        </w:rPr>
      </w:r>
      <w:r>
        <w:rPr>
          <w:noProof/>
        </w:rPr>
        <w:fldChar w:fldCharType="separate"/>
      </w:r>
      <w:r>
        <w:t xml:space="preserve">Figura </w:t>
      </w:r>
      <w:r>
        <w:rPr>
          <w:noProof/>
        </w:rPr>
        <w:t>I</w:t>
      </w:r>
      <w:r>
        <w:t>.</w:t>
      </w:r>
      <w:r>
        <w:rPr>
          <w:noProof/>
        </w:rPr>
        <w:t>14</w:t>
      </w:r>
      <w:r>
        <w:rPr>
          <w:noProof/>
        </w:rPr>
        <w:fldChar w:fldCharType="end"/>
      </w:r>
      <w:r>
        <w:rPr>
          <w:noProof/>
        </w:rPr>
        <w:t>).</w:t>
      </w:r>
    </w:p>
    <w:p w14:paraId="3A4D8A8D" w14:textId="77777777" w:rsidR="00CD3152" w:rsidRDefault="00CD3152" w:rsidP="00852DB3">
      <w:pPr>
        <w:keepNext/>
        <w:ind w:firstLine="0"/>
        <w:jc w:val="both"/>
      </w:pPr>
      <w:r>
        <w:rPr>
          <w:noProof/>
        </w:rPr>
        <w:drawing>
          <wp:inline distT="0" distB="0" distL="0" distR="0" wp14:anchorId="141CA55C" wp14:editId="1561DFA2">
            <wp:extent cx="5836920" cy="2346960"/>
            <wp:effectExtent l="0" t="0" r="0" b="15240"/>
            <wp:docPr id="718157911" name="Chart 1">
              <a:extLst xmlns:a="http://schemas.openxmlformats.org/drawingml/2006/main">
                <a:ext uri="{FF2B5EF4-FFF2-40B4-BE49-F238E27FC236}">
                  <a16:creationId xmlns:a16="http://schemas.microsoft.com/office/drawing/2014/main" id="{00000000-0008-0000-06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4BC9059C" w14:textId="21F7BEE4" w:rsidR="00CD3152" w:rsidRDefault="00CD3152" w:rsidP="00CD3152">
      <w:pPr>
        <w:pStyle w:val="Caption"/>
        <w:jc w:val="both"/>
        <w:rPr>
          <w:noProof/>
        </w:rPr>
      </w:pPr>
      <w:bookmarkStart w:id="18" w:name="_Ref211246004"/>
      <w:r>
        <w:t xml:space="preserve">Figura </w:t>
      </w:r>
      <w:fldSimple w:instr=" STYLEREF 1 \s ">
        <w:r w:rsidR="0080370C">
          <w:rPr>
            <w:noProof/>
          </w:rPr>
          <w:t>I</w:t>
        </w:r>
      </w:fldSimple>
      <w:r w:rsidR="0080370C">
        <w:t>.</w:t>
      </w:r>
      <w:fldSimple w:instr=" SEQ Figura \* ARABIC \s 1 ">
        <w:r w:rsidR="0080370C">
          <w:rPr>
            <w:noProof/>
          </w:rPr>
          <w:t>14</w:t>
        </w:r>
      </w:fldSimple>
      <w:bookmarkEnd w:id="18"/>
      <w:r w:rsidRPr="000A0824">
        <w:t xml:space="preserve"> Prevalența fumatului zilnic în rândul populației cu vârsta 15 ani și peste,</w:t>
      </w:r>
      <w:r>
        <w:t xml:space="preserve"> care consumă mai mult de 20 de țigări zilnic</w:t>
      </w:r>
      <w:r w:rsidRPr="000A0824">
        <w:t xml:space="preserve"> în funcție de </w:t>
      </w:r>
      <w:r>
        <w:t>gen</w:t>
      </w:r>
      <w:r w:rsidRPr="000A0824">
        <w:t>, Sursa: EUROSTAT</w:t>
      </w:r>
      <w:r>
        <w:t xml:space="preserve">, </w:t>
      </w:r>
      <w:r w:rsidRPr="000A0824">
        <w:t>bazat pe EHIS 2019</w:t>
      </w:r>
      <w:r>
        <w:t>,</w:t>
      </w:r>
      <w:r w:rsidRPr="00DD1596">
        <w:t xml:space="preserve"> </w:t>
      </w:r>
      <w:r w:rsidRPr="00454EEF">
        <w:t>(online data code: hlth_ehis_sk3e)</w:t>
      </w:r>
      <w:r w:rsidRPr="000A0824">
        <w:t>.</w:t>
      </w:r>
    </w:p>
    <w:p w14:paraId="79E908F6" w14:textId="77777777" w:rsidR="00CD3152" w:rsidRDefault="00CD3152" w:rsidP="00CD3152">
      <w:pPr>
        <w:pStyle w:val="Caption"/>
        <w:ind w:firstLine="708"/>
        <w:jc w:val="both"/>
        <w:rPr>
          <w:b w:val="0"/>
          <w:bCs w:val="0"/>
          <w:sz w:val="24"/>
          <w:szCs w:val="24"/>
        </w:rPr>
      </w:pPr>
      <w:r w:rsidRPr="000A0824">
        <w:rPr>
          <w:b w:val="0"/>
          <w:bCs w:val="0"/>
          <w:sz w:val="24"/>
          <w:szCs w:val="24"/>
        </w:rPr>
        <w:t xml:space="preserve">În ceea ce privește </w:t>
      </w:r>
      <w:r>
        <w:rPr>
          <w:b w:val="0"/>
          <w:bCs w:val="0"/>
          <w:sz w:val="24"/>
          <w:szCs w:val="24"/>
        </w:rPr>
        <w:t xml:space="preserve">fumătorii zilnici care fumează peste 20 de țigări/zi, </w:t>
      </w:r>
      <w:r w:rsidRPr="000A0824">
        <w:rPr>
          <w:b w:val="0"/>
          <w:bCs w:val="0"/>
          <w:sz w:val="24"/>
          <w:szCs w:val="24"/>
        </w:rPr>
        <w:t xml:space="preserve">se observă că ponderea cea mai mare se înregistrează </w:t>
      </w:r>
      <w:r>
        <w:rPr>
          <w:b w:val="0"/>
          <w:bCs w:val="0"/>
          <w:sz w:val="24"/>
          <w:szCs w:val="24"/>
        </w:rPr>
        <w:t>pentru genul masculin atât în România cât și la nivelul UE. La această categorie de fumători, România se află peste media UE la genul masculin (9,7% vs 8,5%) și sub media UE pentru genul feminin (1,4% vs 3,4</w:t>
      </w:r>
      <w:r w:rsidRPr="009B05C6">
        <w:rPr>
          <w:b w:val="0"/>
          <w:bCs w:val="0"/>
          <w:sz w:val="24"/>
          <w:szCs w:val="24"/>
        </w:rPr>
        <w:t>%) (</w:t>
      </w:r>
      <w:r w:rsidRPr="009B05C6">
        <w:rPr>
          <w:b w:val="0"/>
          <w:bCs w:val="0"/>
          <w:sz w:val="24"/>
          <w:szCs w:val="24"/>
        </w:rPr>
        <w:fldChar w:fldCharType="begin"/>
      </w:r>
      <w:r w:rsidRPr="009B05C6">
        <w:rPr>
          <w:b w:val="0"/>
          <w:bCs w:val="0"/>
          <w:sz w:val="24"/>
          <w:szCs w:val="24"/>
        </w:rPr>
        <w:instrText xml:space="preserve"> REF _Ref211246004 \h  \* MERGEFORMAT </w:instrText>
      </w:r>
      <w:r w:rsidRPr="009B05C6">
        <w:rPr>
          <w:b w:val="0"/>
          <w:bCs w:val="0"/>
          <w:sz w:val="24"/>
          <w:szCs w:val="24"/>
        </w:rPr>
      </w:r>
      <w:r w:rsidRPr="009B05C6">
        <w:rPr>
          <w:b w:val="0"/>
          <w:bCs w:val="0"/>
          <w:sz w:val="24"/>
          <w:szCs w:val="24"/>
        </w:rPr>
        <w:fldChar w:fldCharType="separate"/>
      </w:r>
      <w:r w:rsidRPr="00F23DA0">
        <w:rPr>
          <w:b w:val="0"/>
          <w:bCs w:val="0"/>
          <w:sz w:val="24"/>
          <w:szCs w:val="24"/>
        </w:rPr>
        <w:t xml:space="preserve">Figura </w:t>
      </w:r>
      <w:r w:rsidRPr="00F23DA0">
        <w:rPr>
          <w:b w:val="0"/>
          <w:bCs w:val="0"/>
          <w:noProof/>
          <w:sz w:val="24"/>
          <w:szCs w:val="24"/>
        </w:rPr>
        <w:t>I</w:t>
      </w:r>
      <w:r w:rsidRPr="00F23DA0">
        <w:rPr>
          <w:b w:val="0"/>
          <w:bCs w:val="0"/>
          <w:sz w:val="24"/>
          <w:szCs w:val="24"/>
        </w:rPr>
        <w:t>.</w:t>
      </w:r>
      <w:r w:rsidRPr="00F23DA0">
        <w:rPr>
          <w:b w:val="0"/>
          <w:bCs w:val="0"/>
          <w:noProof/>
          <w:sz w:val="24"/>
          <w:szCs w:val="24"/>
        </w:rPr>
        <w:t>15</w:t>
      </w:r>
      <w:r w:rsidRPr="009B05C6">
        <w:rPr>
          <w:b w:val="0"/>
          <w:bCs w:val="0"/>
          <w:sz w:val="24"/>
          <w:szCs w:val="24"/>
        </w:rPr>
        <w:fldChar w:fldCharType="end"/>
      </w:r>
      <w:r w:rsidRPr="009B05C6">
        <w:rPr>
          <w:b w:val="0"/>
          <w:bCs w:val="0"/>
          <w:sz w:val="24"/>
          <w:szCs w:val="24"/>
        </w:rPr>
        <w:t>).</w:t>
      </w:r>
    </w:p>
    <w:p w14:paraId="7C09B6A8" w14:textId="47437FF8" w:rsidR="00CD3152" w:rsidRDefault="00CD3152" w:rsidP="00CD3152">
      <w:pPr>
        <w:pStyle w:val="Caption"/>
        <w:ind w:firstLine="708"/>
        <w:jc w:val="both"/>
        <w:rPr>
          <w:b w:val="0"/>
          <w:bCs w:val="0"/>
          <w:sz w:val="24"/>
          <w:szCs w:val="24"/>
        </w:rPr>
      </w:pPr>
      <w:r w:rsidRPr="006E0160">
        <w:rPr>
          <w:b w:val="0"/>
          <w:bCs w:val="0"/>
          <w:sz w:val="24"/>
          <w:szCs w:val="24"/>
        </w:rPr>
        <w:t>Deși România se înscrie în tendința pozitivă de reducere a fumatului zilnic observată la nivelul UE, menținerea unei prevalențe ușor peste media europeană relevă oportunitatea de consolidare a politicilor existente, cu scopul apropierii de nivelurile scăzute înregistrate de statele membre cu cele mai bune rezultate.</w:t>
      </w:r>
      <w:r w:rsidRPr="006E0160">
        <w:rPr>
          <w:b w:val="0"/>
          <w:bCs w:val="0"/>
          <w:sz w:val="24"/>
          <w:szCs w:val="24"/>
        </w:rPr>
        <w:fldChar w:fldCharType="begin"/>
      </w:r>
      <w:r w:rsidR="00D4526D">
        <w:rPr>
          <w:b w:val="0"/>
          <w:bCs w:val="0"/>
          <w:sz w:val="24"/>
          <w:szCs w:val="24"/>
        </w:rPr>
        <w:instrText xml:space="preserve"> ADDIN EN.CITE &lt;EndNote&gt;&lt;Cite&gt;&lt;Author&gt;OECD&lt;/Author&gt;&lt;Year&gt;2024&lt;/Year&gt;&lt;RecNum&gt;9124&lt;/RecNum&gt;&lt;DisplayText&gt;&lt;style size="10"&gt;[7]&lt;/style&gt;&lt;/DisplayText&gt;&lt;record&gt;&lt;rec-number&gt;9124&lt;/rec-number&gt;&lt;foreign-keys&gt;&lt;key app="EN" db-id="fw0prtesnvf55cepezbx255wwza5zw0ssatt" timestamp="1754270590" guid="e2f7515f-2de0-473b-9759-4011dc0fdaa4"&gt;9124&lt;/key&gt;&lt;/foreign-keys&gt;&lt;ref-type name="Report"&gt;27&lt;/ref-type&gt;&lt;contributors&gt;&lt;authors&gt;&lt;author&gt;OECD &lt;/author&gt;&lt;/authors&gt;&lt;secondary-authors&gt;&lt;author&gt;OECD Publishing&lt;/author&gt;&lt;/secondary-authors&gt;&lt;/contributors&gt;&lt;titles&gt;&lt;title&gt;Health at a Glance: Europe 2024: State of Health in the EU Cycle&lt;/title&gt;&lt;/titles&gt;&lt;dates&gt;&lt;year&gt;&lt;style face="normal" font="default" charset="238" size="100%"&gt;2024&lt;/style&gt;&lt;/year&gt;&lt;/dates&gt;&lt;pub-location&gt;&lt;style face="normal" font="default" charset="238" size="100%"&gt;Paris&lt;/style&gt;&lt;/pub-location&gt;&lt;urls&gt;&lt;/urls&gt;&lt;electronic-resource-num&gt;&lt;style face="normal" font="default" charset="238" size="100%"&gt;1&lt;/style&gt;&lt;style face="normal" font="default" size="100%"&gt;0.1787/b3704e14-en&lt;/style&gt;&lt;/electronic-resource-num&gt;&lt;/record&gt;&lt;/Cite&gt;&lt;/EndNote&gt;</w:instrText>
      </w:r>
      <w:r w:rsidRPr="006E0160">
        <w:rPr>
          <w:b w:val="0"/>
          <w:bCs w:val="0"/>
          <w:sz w:val="24"/>
          <w:szCs w:val="24"/>
        </w:rPr>
        <w:fldChar w:fldCharType="separate"/>
      </w:r>
      <w:r w:rsidR="00D4526D" w:rsidRPr="00D4526D">
        <w:rPr>
          <w:b w:val="0"/>
          <w:bCs w:val="0"/>
          <w:noProof/>
          <w:szCs w:val="24"/>
        </w:rPr>
        <w:t>[7]</w:t>
      </w:r>
      <w:r w:rsidRPr="006E0160">
        <w:rPr>
          <w:b w:val="0"/>
          <w:bCs w:val="0"/>
          <w:sz w:val="24"/>
          <w:szCs w:val="24"/>
        </w:rPr>
        <w:fldChar w:fldCharType="end"/>
      </w:r>
    </w:p>
    <w:p w14:paraId="232AF274" w14:textId="77777777" w:rsidR="0050450B" w:rsidRPr="0050450B" w:rsidRDefault="0050450B" w:rsidP="0050450B"/>
    <w:p w14:paraId="1BB13D73" w14:textId="77777777" w:rsidR="00CD3152" w:rsidRPr="00AD5A34" w:rsidRDefault="00CD3152" w:rsidP="00CD3152"/>
    <w:p w14:paraId="798F2656" w14:textId="77777777" w:rsidR="00CD3152" w:rsidRDefault="00CD3152" w:rsidP="00CD3152">
      <w:pPr>
        <w:pStyle w:val="Heading3"/>
        <w:jc w:val="both"/>
        <w:rPr>
          <w:noProof/>
        </w:rPr>
      </w:pPr>
      <w:bookmarkStart w:id="19" w:name="_Toc232660555"/>
      <w:r w:rsidRPr="008248CC">
        <w:rPr>
          <w:noProof/>
        </w:rPr>
        <w:lastRenderedPageBreak/>
        <w:t xml:space="preserve">Prevalența </w:t>
      </w:r>
      <w:r>
        <w:rPr>
          <w:noProof/>
        </w:rPr>
        <w:t xml:space="preserve">utilizării zilnice și ocazionale de țigări electronice sau dispozitive electronice similare </w:t>
      </w:r>
      <w:r w:rsidRPr="008248CC">
        <w:rPr>
          <w:noProof/>
        </w:rPr>
        <w:t>la populația 15 ani și peste</w:t>
      </w:r>
      <w:bookmarkEnd w:id="19"/>
    </w:p>
    <w:p w14:paraId="03BEAEFA" w14:textId="77777777" w:rsidR="00CD3152" w:rsidRDefault="00CD3152" w:rsidP="00CD3152">
      <w:pPr>
        <w:keepNext/>
        <w:ind w:firstLine="708"/>
        <w:jc w:val="center"/>
      </w:pPr>
      <w:r>
        <w:rPr>
          <w:noProof/>
        </w:rPr>
        <w:drawing>
          <wp:inline distT="0" distB="0" distL="0" distR="0" wp14:anchorId="6FA149E9" wp14:editId="199D67E8">
            <wp:extent cx="5040000" cy="2520000"/>
            <wp:effectExtent l="0" t="0" r="8255" b="13970"/>
            <wp:docPr id="893617661" name="Chart 1">
              <a:extLst xmlns:a="http://schemas.openxmlformats.org/drawingml/2006/main">
                <a:ext uri="{FF2B5EF4-FFF2-40B4-BE49-F238E27FC236}">
                  <a16:creationId xmlns:a16="http://schemas.microsoft.com/office/drawing/2014/main" id="{B53FB090-7142-3A2A-91BA-01783243435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454B5881" w14:textId="5E52B05D" w:rsidR="00CD3152" w:rsidRDefault="00CD3152" w:rsidP="00CD3152">
      <w:pPr>
        <w:pStyle w:val="Caption"/>
        <w:jc w:val="center"/>
        <w:rPr>
          <w:noProof/>
        </w:rPr>
      </w:pPr>
      <w:bookmarkStart w:id="20" w:name="_Ref211246331"/>
      <w:r>
        <w:t xml:space="preserve">Figura </w:t>
      </w:r>
      <w:fldSimple w:instr=" STYLEREF 1 \s ">
        <w:r w:rsidR="0080370C">
          <w:rPr>
            <w:noProof/>
          </w:rPr>
          <w:t>I</w:t>
        </w:r>
      </w:fldSimple>
      <w:r w:rsidR="0080370C">
        <w:t>.</w:t>
      </w:r>
      <w:fldSimple w:instr=" SEQ Figura \* ARABIC \s 1 ">
        <w:r w:rsidR="0080370C">
          <w:rPr>
            <w:noProof/>
          </w:rPr>
          <w:t>15</w:t>
        </w:r>
      </w:fldSimple>
      <w:bookmarkEnd w:id="20"/>
      <w:r w:rsidRPr="008E0557">
        <w:t xml:space="preserve"> </w:t>
      </w:r>
      <w:r>
        <w:t>F</w:t>
      </w:r>
      <w:r w:rsidRPr="008E0557">
        <w:t>recvența utilizării zilnice și ocazionale de țigări electronice sau dispozitive electronice similare la populația din grupa de vârstă 15</w:t>
      </w:r>
      <w:r>
        <w:t xml:space="preserve"> ani și peste</w:t>
      </w:r>
      <w:r w:rsidRPr="008E0557">
        <w:t xml:space="preserve">, Sursa: </w:t>
      </w:r>
      <w:r w:rsidRPr="006E0160">
        <w:t>EHIS 2019</w:t>
      </w:r>
      <w:r>
        <w:fldChar w:fldCharType="begin"/>
      </w:r>
      <w:r w:rsidR="0009552B">
        <w:instrText xml:space="preserve"> ADDIN EN.CITE &lt;EndNote&gt;&lt;Cite&gt;&lt;Author&gt;INS&lt;/Author&gt;&lt;Year&gt;2021&lt;/Year&gt;&lt;RecNum&gt;9227&lt;/RecNum&gt;&lt;DisplayText&gt;&lt;style size="10"&gt;[3]&lt;/style&gt;&lt;/DisplayText&gt;&lt;record&gt;&lt;rec-number&gt;9227&lt;/rec-number&gt;&lt;foreign-keys&gt;&lt;key app="EN" db-id="fw0prtesnvf55cepezbx255wwza5zw0ssatt" timestamp="1759716798" guid="36a23b9d-60d3-4874-abc0-31c6c4eb1a87"&gt;9227&lt;/key&gt;&lt;/foreign-keys&gt;&lt;ref-type name="Report"&gt;27&lt;/ref-type&gt;&lt;contributors&gt;&lt;authors&gt;&lt;author&gt;&lt;style face="normal" font="default" charset="238" size="100%"&gt;INS&lt;/style&gt;&lt;/author&gt;&lt;/authors&gt;&lt;secondary-authors&gt;&lt;author&gt;&lt;style face="normal" font="default" charset="238" size="100%"&gt;INS&lt;/style&gt;&lt;/author&gt;&lt;/secondary-authors&gt;&lt;/contributors&gt;&lt;titles&gt;&lt;title&gt;&lt;style face="normal" font="default" charset="238" size="100%"&gt;Starea de sănătate a populației din Rom&lt;/style&gt;&lt;style face="normal" font="default" size="100%"&gt;â&lt;/style&gt;&lt;style face="normal" font="default" charset="238" size="100%"&gt;nia -2019&lt;/style&gt;&lt;/title&gt;&lt;/titles&gt;&lt;dates&gt;&lt;year&gt;&lt;style face="normal" font="default" charset="238" size="100%"&gt;2021&lt;/style&gt;&lt;/year&gt;&lt;/dates&gt;&lt;label&gt;&lt;style face="normal" font="default" charset="238" size="100%"&gt;INS Starea de sănătate a populației din Rom&lt;/style&gt;&lt;style face="normal" font="default" size="100%"&gt;â&lt;/style&gt;&lt;style face="normal" font="default" charset="238" size="100%"&gt;nia -2019&lt;/style&gt;&lt;/label&gt;&lt;urls&gt;&lt;related-urls&gt;&lt;url&gt;https://insse.ro/cms/sites/default/files/field/publicatii/starea_de_sanatate_a_populatiei_din_romania_2019.pdf&lt;/url&gt;&lt;/related-urls&gt;&lt;/urls&gt;&lt;/record&gt;&lt;/Cite&gt;&lt;/EndNote&gt;</w:instrText>
      </w:r>
      <w:r>
        <w:fldChar w:fldCharType="separate"/>
      </w:r>
      <w:r w:rsidR="0009552B">
        <w:rPr>
          <w:noProof/>
        </w:rPr>
        <w:t>[3]</w:t>
      </w:r>
      <w:r>
        <w:fldChar w:fldCharType="end"/>
      </w:r>
    </w:p>
    <w:p w14:paraId="768F22BA" w14:textId="77777777" w:rsidR="00CD3152" w:rsidRDefault="00CD3152" w:rsidP="00CD3152">
      <w:pPr>
        <w:ind w:firstLine="708"/>
        <w:jc w:val="both"/>
        <w:rPr>
          <w:noProof/>
        </w:rPr>
      </w:pPr>
      <w:r>
        <w:rPr>
          <w:noProof/>
        </w:rPr>
        <w:t xml:space="preserve">Conform datelor EHIS 2019, în România, 1,73% din populația de 15 ani și peste utiliza </w:t>
      </w:r>
      <w:r w:rsidRPr="00134A4E">
        <w:rPr>
          <w:noProof/>
        </w:rPr>
        <w:t>țigări electronice sau dispozitive electronice similare</w:t>
      </w:r>
      <w:r>
        <w:rPr>
          <w:noProof/>
        </w:rPr>
        <w:t>, dintre aceștia 0,33% fiind utilizatori zilnici și 1,39% utilizatori ocazionali de aceste dispozitive (</w:t>
      </w:r>
      <w:r>
        <w:rPr>
          <w:noProof/>
        </w:rPr>
        <w:fldChar w:fldCharType="begin"/>
      </w:r>
      <w:r>
        <w:rPr>
          <w:noProof/>
        </w:rPr>
        <w:instrText xml:space="preserve"> REF _Ref211246331 \h </w:instrText>
      </w:r>
      <w:r>
        <w:rPr>
          <w:noProof/>
        </w:rPr>
      </w:r>
      <w:r>
        <w:rPr>
          <w:noProof/>
        </w:rPr>
        <w:fldChar w:fldCharType="separate"/>
      </w:r>
      <w:r>
        <w:t xml:space="preserve">Figura </w:t>
      </w:r>
      <w:r>
        <w:rPr>
          <w:noProof/>
        </w:rPr>
        <w:t>I</w:t>
      </w:r>
      <w:r>
        <w:t>.</w:t>
      </w:r>
      <w:r>
        <w:rPr>
          <w:noProof/>
        </w:rPr>
        <w:t>16</w:t>
      </w:r>
      <w:r>
        <w:rPr>
          <w:noProof/>
        </w:rPr>
        <w:fldChar w:fldCharType="end"/>
      </w:r>
      <w:r>
        <w:rPr>
          <w:noProof/>
        </w:rPr>
        <w:t>).</w:t>
      </w:r>
    </w:p>
    <w:p w14:paraId="6C343FEA" w14:textId="77777777" w:rsidR="00CD3152" w:rsidRDefault="00CD3152" w:rsidP="00CD3152">
      <w:pPr>
        <w:keepNext/>
        <w:jc w:val="center"/>
      </w:pPr>
      <w:r>
        <w:rPr>
          <w:noProof/>
        </w:rPr>
        <w:drawing>
          <wp:inline distT="0" distB="0" distL="0" distR="0" wp14:anchorId="46A7F74A" wp14:editId="34C69AB7">
            <wp:extent cx="5040000" cy="2520000"/>
            <wp:effectExtent l="0" t="0" r="8255" b="13970"/>
            <wp:docPr id="1110152383" name="Chart 1">
              <a:extLst xmlns:a="http://schemas.openxmlformats.org/drawingml/2006/main">
                <a:ext uri="{FF2B5EF4-FFF2-40B4-BE49-F238E27FC236}">
                  <a16:creationId xmlns:a16="http://schemas.microsoft.com/office/drawing/2014/main" id="{C1209CD7-73EC-D94A-626D-6E73BA08918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2B84E813" w14:textId="301DC80F" w:rsidR="00CD3152" w:rsidRDefault="00CD3152" w:rsidP="00CD3152">
      <w:pPr>
        <w:pStyle w:val="Caption"/>
        <w:jc w:val="center"/>
        <w:rPr>
          <w:noProof/>
        </w:rPr>
      </w:pPr>
      <w:bookmarkStart w:id="21" w:name="_Ref211246548"/>
      <w:r>
        <w:t xml:space="preserve">Figura </w:t>
      </w:r>
      <w:fldSimple w:instr=" STYLEREF 1 \s ">
        <w:r w:rsidR="0080370C">
          <w:rPr>
            <w:noProof/>
          </w:rPr>
          <w:t>I</w:t>
        </w:r>
      </w:fldSimple>
      <w:r w:rsidR="0080370C">
        <w:t>.</w:t>
      </w:r>
      <w:fldSimple w:instr=" SEQ Figura \* ARABIC \s 1 ">
        <w:r w:rsidR="0080370C">
          <w:rPr>
            <w:noProof/>
          </w:rPr>
          <w:t>16</w:t>
        </w:r>
      </w:fldSimple>
      <w:bookmarkEnd w:id="21"/>
      <w:r w:rsidRPr="000D699B">
        <w:t xml:space="preserve"> Frecvența utilizării zilnice și ocazionale de țigări electronice sau dispozitive electronice similare la populația din grupa de vârstă 15 ani și peste,</w:t>
      </w:r>
      <w:r>
        <w:t xml:space="preserve"> pe grupe de vârstă,</w:t>
      </w:r>
      <w:r w:rsidRPr="000D699B">
        <w:t xml:space="preserve"> Sursa: </w:t>
      </w:r>
      <w:r w:rsidRPr="006E0160">
        <w:t>EHIS 2019</w:t>
      </w:r>
      <w:r>
        <w:fldChar w:fldCharType="begin"/>
      </w:r>
      <w:r w:rsidR="0009552B">
        <w:instrText xml:space="preserve"> ADDIN EN.CITE &lt;EndNote&gt;&lt;Cite&gt;&lt;Author&gt;INS&lt;/Author&gt;&lt;Year&gt;2021&lt;/Year&gt;&lt;RecNum&gt;9227&lt;/RecNum&gt;&lt;DisplayText&gt;&lt;style size="10"&gt;[3]&lt;/style&gt;&lt;/DisplayText&gt;&lt;record&gt;&lt;rec-number&gt;9227&lt;/rec-number&gt;&lt;foreign-keys&gt;&lt;key app="EN" db-id="fw0prtesnvf55cepezbx255wwza5zw0ssatt" timestamp="1759716798" guid="36a23b9d-60d3-4874-abc0-31c6c4eb1a87"&gt;9227&lt;/key&gt;&lt;/foreign-keys&gt;&lt;ref-type name="Report"&gt;27&lt;/ref-type&gt;&lt;contributors&gt;&lt;authors&gt;&lt;author&gt;&lt;style face="normal" font="default" charset="238" size="100%"&gt;INS&lt;/style&gt;&lt;/author&gt;&lt;/authors&gt;&lt;secondary-authors&gt;&lt;author&gt;&lt;style face="normal" font="default" charset="238" size="100%"&gt;INS&lt;/style&gt;&lt;/author&gt;&lt;/secondary-authors&gt;&lt;/contributors&gt;&lt;titles&gt;&lt;title&gt;&lt;style face="normal" font="default" charset="238" size="100%"&gt;Starea de sănătate a populației din Rom&lt;/style&gt;&lt;style face="normal" font="default" size="100%"&gt;â&lt;/style&gt;&lt;style face="normal" font="default" charset="238" size="100%"&gt;nia -2019&lt;/style&gt;&lt;/title&gt;&lt;/titles&gt;&lt;dates&gt;&lt;year&gt;&lt;style face="normal" font="default" charset="238" size="100%"&gt;2021&lt;/style&gt;&lt;/year&gt;&lt;/dates&gt;&lt;label&gt;&lt;style face="normal" font="default" charset="238" size="100%"&gt;INS Starea de sănătate a populației din Rom&lt;/style&gt;&lt;style face="normal" font="default" size="100%"&gt;â&lt;/style&gt;&lt;style face="normal" font="default" charset="238" size="100%"&gt;nia -2019&lt;/style&gt;&lt;/label&gt;&lt;urls&gt;&lt;related-urls&gt;&lt;url&gt;https://insse.ro/cms/sites/default/files/field/publicatii/starea_de_sanatate_a_populatiei_din_romania_2019.pdf&lt;/url&gt;&lt;/related-urls&gt;&lt;/urls&gt;&lt;/record&gt;&lt;/Cite&gt;&lt;/EndNote&gt;</w:instrText>
      </w:r>
      <w:r>
        <w:fldChar w:fldCharType="separate"/>
      </w:r>
      <w:r w:rsidR="0009552B">
        <w:rPr>
          <w:noProof/>
        </w:rPr>
        <w:t>[3]</w:t>
      </w:r>
      <w:r>
        <w:fldChar w:fldCharType="end"/>
      </w:r>
    </w:p>
    <w:p w14:paraId="24C7E251" w14:textId="77777777" w:rsidR="00CD3152" w:rsidRDefault="00CD3152" w:rsidP="00CD3152">
      <w:pPr>
        <w:ind w:firstLine="708"/>
        <w:jc w:val="both"/>
        <w:rPr>
          <w:noProof/>
        </w:rPr>
      </w:pPr>
      <w:r w:rsidRPr="00FC5B44">
        <w:rPr>
          <w:noProof/>
        </w:rPr>
        <w:t>Frecvența utilizării zilnice de țigări electronice sau dispozitive electronice similare</w:t>
      </w:r>
      <w:r>
        <w:rPr>
          <w:noProof/>
        </w:rPr>
        <w:t xml:space="preserve"> are valori scăzute la toate grupele de vârstă, variind între 0,17% la 15–24 ani și 0,70%  la 55–64 ani (</w:t>
      </w:r>
      <w:r>
        <w:rPr>
          <w:noProof/>
        </w:rPr>
        <w:fldChar w:fldCharType="begin"/>
      </w:r>
      <w:r>
        <w:rPr>
          <w:noProof/>
        </w:rPr>
        <w:instrText xml:space="preserve"> REF _Ref211246548 \h </w:instrText>
      </w:r>
      <w:r>
        <w:rPr>
          <w:noProof/>
        </w:rPr>
      </w:r>
      <w:r>
        <w:rPr>
          <w:noProof/>
        </w:rPr>
        <w:fldChar w:fldCharType="separate"/>
      </w:r>
      <w:r>
        <w:t xml:space="preserve">Figura </w:t>
      </w:r>
      <w:r>
        <w:rPr>
          <w:noProof/>
        </w:rPr>
        <w:t>I</w:t>
      </w:r>
      <w:r>
        <w:t>.</w:t>
      </w:r>
      <w:r>
        <w:rPr>
          <w:noProof/>
        </w:rPr>
        <w:t>17</w:t>
      </w:r>
      <w:r>
        <w:rPr>
          <w:noProof/>
        </w:rPr>
        <w:fldChar w:fldCharType="end"/>
      </w:r>
      <w:r>
        <w:rPr>
          <w:noProof/>
        </w:rPr>
        <w:t>). Frecvența utilizării ocazionale a acestor dispozitive este mai mare decât cea zilnică, atingând un maxim de 2,90% în rândul persoanelor de 25–34 de ani, urmat de 1,68% la grupa 45–54 de ani și 1,60% la 35–44 de ani. Proporțiile scad treptat după 55 de ani, ajungând la 0,34% în rândul persoanelor de 75 de ani și peste (</w:t>
      </w:r>
      <w:r>
        <w:rPr>
          <w:noProof/>
        </w:rPr>
        <w:fldChar w:fldCharType="begin"/>
      </w:r>
      <w:r>
        <w:rPr>
          <w:noProof/>
        </w:rPr>
        <w:instrText xml:space="preserve"> REF _Ref211246548 \h </w:instrText>
      </w:r>
      <w:r>
        <w:rPr>
          <w:noProof/>
        </w:rPr>
      </w:r>
      <w:r>
        <w:rPr>
          <w:noProof/>
        </w:rPr>
        <w:fldChar w:fldCharType="separate"/>
      </w:r>
      <w:r>
        <w:t xml:space="preserve">Figura </w:t>
      </w:r>
      <w:r>
        <w:rPr>
          <w:noProof/>
        </w:rPr>
        <w:t>I</w:t>
      </w:r>
      <w:r>
        <w:t>.</w:t>
      </w:r>
      <w:r>
        <w:rPr>
          <w:noProof/>
        </w:rPr>
        <w:t>17</w:t>
      </w:r>
      <w:r>
        <w:rPr>
          <w:noProof/>
        </w:rPr>
        <w:fldChar w:fldCharType="end"/>
      </w:r>
      <w:r>
        <w:rPr>
          <w:noProof/>
        </w:rPr>
        <w:t>).</w:t>
      </w:r>
    </w:p>
    <w:p w14:paraId="234206DC" w14:textId="77777777" w:rsidR="00CD3152" w:rsidRDefault="00CD3152" w:rsidP="00CD3152">
      <w:pPr>
        <w:ind w:firstLine="708"/>
        <w:jc w:val="both"/>
        <w:rPr>
          <w:noProof/>
        </w:rPr>
      </w:pPr>
      <w:r>
        <w:rPr>
          <w:noProof/>
        </w:rPr>
        <w:lastRenderedPageBreak/>
        <w:t>U</w:t>
      </w:r>
      <w:r w:rsidRPr="00120E1C">
        <w:rPr>
          <w:noProof/>
        </w:rPr>
        <w:t>tiliz</w:t>
      </w:r>
      <w:r>
        <w:rPr>
          <w:noProof/>
        </w:rPr>
        <w:t>area</w:t>
      </w:r>
      <w:r w:rsidRPr="00120E1C">
        <w:rPr>
          <w:noProof/>
        </w:rPr>
        <w:t xml:space="preserve"> </w:t>
      </w:r>
      <w:r>
        <w:rPr>
          <w:noProof/>
        </w:rPr>
        <w:t>ocazională</w:t>
      </w:r>
      <w:r w:rsidRPr="00120E1C">
        <w:rPr>
          <w:noProof/>
        </w:rPr>
        <w:t xml:space="preserve"> de țigări electronice sau dispozitive electronice similare </w:t>
      </w:r>
      <w:r>
        <w:rPr>
          <w:noProof/>
        </w:rPr>
        <w:t>este mai prevalentă decât cea zilnică în toate grupele de vârstă, cu un vârf al consumului ocazional la adulții de vârstă mijlocie (25 – 34 de ani)(</w:t>
      </w:r>
      <w:r>
        <w:rPr>
          <w:noProof/>
        </w:rPr>
        <w:fldChar w:fldCharType="begin"/>
      </w:r>
      <w:r>
        <w:rPr>
          <w:noProof/>
        </w:rPr>
        <w:instrText xml:space="preserve"> REF _Ref211246548 \h </w:instrText>
      </w:r>
      <w:r>
        <w:rPr>
          <w:noProof/>
        </w:rPr>
      </w:r>
      <w:r>
        <w:rPr>
          <w:noProof/>
        </w:rPr>
        <w:fldChar w:fldCharType="separate"/>
      </w:r>
      <w:r>
        <w:t xml:space="preserve">Figura </w:t>
      </w:r>
      <w:r>
        <w:rPr>
          <w:noProof/>
        </w:rPr>
        <w:t>I</w:t>
      </w:r>
      <w:r>
        <w:t>.</w:t>
      </w:r>
      <w:r>
        <w:rPr>
          <w:noProof/>
        </w:rPr>
        <w:t>17</w:t>
      </w:r>
      <w:r>
        <w:rPr>
          <w:noProof/>
        </w:rPr>
        <w:fldChar w:fldCharType="end"/>
      </w:r>
      <w:r>
        <w:rPr>
          <w:noProof/>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6"/>
        <w:gridCol w:w="4606"/>
      </w:tblGrid>
      <w:tr w:rsidR="00CD3152" w14:paraId="2F5E3273" w14:textId="77777777" w:rsidTr="00F032B4">
        <w:tc>
          <w:tcPr>
            <w:tcW w:w="4601" w:type="dxa"/>
          </w:tcPr>
          <w:p w14:paraId="370DD9B3" w14:textId="77777777" w:rsidR="00CD3152" w:rsidRDefault="00CD3152" w:rsidP="00F032B4">
            <w:pPr>
              <w:keepNext/>
              <w:jc w:val="both"/>
            </w:pPr>
            <w:r>
              <w:rPr>
                <w:noProof/>
              </w:rPr>
              <w:drawing>
                <wp:inline distT="0" distB="0" distL="0" distR="0" wp14:anchorId="422A273C" wp14:editId="663010F2">
                  <wp:extent cx="2880000" cy="2160000"/>
                  <wp:effectExtent l="0" t="0" r="15875" b="12065"/>
                  <wp:docPr id="49462102" name="Chart 1">
                    <a:extLst xmlns:a="http://schemas.openxmlformats.org/drawingml/2006/main">
                      <a:ext uri="{FF2B5EF4-FFF2-40B4-BE49-F238E27FC236}">
                        <a16:creationId xmlns:a16="http://schemas.microsoft.com/office/drawing/2014/main" id="{A7F3BEB2-8F33-2DDE-E85E-49EEF652E58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29656F36" w14:textId="2740F663" w:rsidR="00CD3152" w:rsidRDefault="00CD3152" w:rsidP="00F032B4">
            <w:pPr>
              <w:pStyle w:val="Caption"/>
              <w:jc w:val="both"/>
              <w:rPr>
                <w:noProof/>
              </w:rPr>
            </w:pPr>
            <w:bookmarkStart w:id="22" w:name="_Ref211316060"/>
            <w:r>
              <w:t xml:space="preserve">Figura </w:t>
            </w:r>
            <w:fldSimple w:instr=" STYLEREF 1 \s ">
              <w:r w:rsidR="0080370C">
                <w:rPr>
                  <w:noProof/>
                </w:rPr>
                <w:t>I</w:t>
              </w:r>
            </w:fldSimple>
            <w:r w:rsidR="0080370C">
              <w:t>.</w:t>
            </w:r>
            <w:fldSimple w:instr=" SEQ Figura \* ARABIC \s 1 ">
              <w:r w:rsidR="0080370C">
                <w:rPr>
                  <w:noProof/>
                </w:rPr>
                <w:t>17</w:t>
              </w:r>
            </w:fldSimple>
            <w:bookmarkEnd w:id="22"/>
            <w:r w:rsidRPr="002A5285">
              <w:t xml:space="preserve"> Frecvența utilizării zilnice și ocazionale de țigări electronice sau dispozitive electronice similare la populația din grupa de vârstă 15 ani și peste, </w:t>
            </w:r>
            <w:r>
              <w:t>în funcție de gen</w:t>
            </w:r>
            <w:r w:rsidRPr="002A5285">
              <w:t xml:space="preserve">, Sursa: </w:t>
            </w:r>
            <w:r w:rsidRPr="006E0160">
              <w:t>EHIS 2019</w:t>
            </w:r>
            <w:r>
              <w:fldChar w:fldCharType="begin"/>
            </w:r>
            <w:r w:rsidR="0009552B">
              <w:instrText xml:space="preserve"> ADDIN EN.CITE &lt;EndNote&gt;&lt;Cite&gt;&lt;Author&gt;INS&lt;/Author&gt;&lt;Year&gt;2021&lt;/Year&gt;&lt;RecNum&gt;9227&lt;/RecNum&gt;&lt;DisplayText&gt;&lt;style size="10"&gt;[3]&lt;/style&gt;&lt;/DisplayText&gt;&lt;record&gt;&lt;rec-number&gt;9227&lt;/rec-number&gt;&lt;foreign-keys&gt;&lt;key app="EN" db-id="fw0prtesnvf55cepezbx255wwza5zw0ssatt" timestamp="1759716798" guid="36a23b9d-60d3-4874-abc0-31c6c4eb1a87"&gt;9227&lt;/key&gt;&lt;/foreign-keys&gt;&lt;ref-type name="Report"&gt;27&lt;/ref-type&gt;&lt;contributors&gt;&lt;authors&gt;&lt;author&gt;&lt;style face="normal" font="default" charset="238" size="100%"&gt;INS&lt;/style&gt;&lt;/author&gt;&lt;/authors&gt;&lt;secondary-authors&gt;&lt;author&gt;&lt;style face="normal" font="default" charset="238" size="100%"&gt;INS&lt;/style&gt;&lt;/author&gt;&lt;/secondary-authors&gt;&lt;/contributors&gt;&lt;titles&gt;&lt;title&gt;&lt;style face="normal" font="default" charset="238" size="100%"&gt;Starea de sănătate a populației din Rom&lt;/style&gt;&lt;style face="normal" font="default" size="100%"&gt;â&lt;/style&gt;&lt;style face="normal" font="default" charset="238" size="100%"&gt;nia -2019&lt;/style&gt;&lt;/title&gt;&lt;/titles&gt;&lt;dates&gt;&lt;year&gt;&lt;style face="normal" font="default" charset="238" size="100%"&gt;2021&lt;/style&gt;&lt;/year&gt;&lt;/dates&gt;&lt;label&gt;&lt;style face="normal" font="default" charset="238" size="100%"&gt;INS Starea de sănătate a populației din Rom&lt;/style&gt;&lt;style face="normal" font="default" size="100%"&gt;â&lt;/style&gt;&lt;style face="normal" font="default" charset="238" size="100%"&gt;nia -2019&lt;/style&gt;&lt;/label&gt;&lt;urls&gt;&lt;related-urls&gt;&lt;url&gt;https://insse.ro/cms/sites/default/files/field/publicatii/starea_de_sanatate_a_populatiei_din_romania_2019.pdf&lt;/url&gt;&lt;/related-urls&gt;&lt;/urls&gt;&lt;/record&gt;&lt;/Cite&gt;&lt;/EndNote&gt;</w:instrText>
            </w:r>
            <w:r>
              <w:fldChar w:fldCharType="separate"/>
            </w:r>
            <w:r w:rsidR="0009552B">
              <w:rPr>
                <w:noProof/>
              </w:rPr>
              <w:t>[3]</w:t>
            </w:r>
            <w:r>
              <w:fldChar w:fldCharType="end"/>
            </w:r>
          </w:p>
        </w:tc>
        <w:tc>
          <w:tcPr>
            <w:tcW w:w="4601" w:type="dxa"/>
          </w:tcPr>
          <w:p w14:paraId="33683386" w14:textId="77777777" w:rsidR="00CD3152" w:rsidRDefault="00CD3152" w:rsidP="00F032B4">
            <w:pPr>
              <w:keepNext/>
              <w:jc w:val="both"/>
            </w:pPr>
            <w:r>
              <w:rPr>
                <w:noProof/>
              </w:rPr>
              <w:drawing>
                <wp:inline distT="0" distB="0" distL="0" distR="0" wp14:anchorId="5D07002F" wp14:editId="709EF6F8">
                  <wp:extent cx="2880000" cy="2160000"/>
                  <wp:effectExtent l="0" t="0" r="15875" b="12065"/>
                  <wp:docPr id="1054470895" name="Chart 1">
                    <a:extLst xmlns:a="http://schemas.openxmlformats.org/drawingml/2006/main">
                      <a:ext uri="{FF2B5EF4-FFF2-40B4-BE49-F238E27FC236}">
                        <a16:creationId xmlns:a16="http://schemas.microsoft.com/office/drawing/2014/main" id="{F07668FC-0A73-49BB-30AF-005125FDAC0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3F8D6B67" w14:textId="1049E9A7" w:rsidR="00CD3152" w:rsidRDefault="00CD3152" w:rsidP="00F032B4">
            <w:pPr>
              <w:pStyle w:val="Caption"/>
              <w:jc w:val="both"/>
              <w:rPr>
                <w:noProof/>
              </w:rPr>
            </w:pPr>
            <w:bookmarkStart w:id="23" w:name="_Ref211316074"/>
            <w:r>
              <w:t xml:space="preserve">Figura </w:t>
            </w:r>
            <w:fldSimple w:instr=" STYLEREF 1 \s ">
              <w:r w:rsidR="0080370C">
                <w:rPr>
                  <w:noProof/>
                </w:rPr>
                <w:t>I</w:t>
              </w:r>
            </w:fldSimple>
            <w:r w:rsidR="0080370C">
              <w:t>.</w:t>
            </w:r>
            <w:fldSimple w:instr=" SEQ Figura \* ARABIC \s 1 ">
              <w:r w:rsidR="0080370C">
                <w:rPr>
                  <w:noProof/>
                </w:rPr>
                <w:t>18</w:t>
              </w:r>
            </w:fldSimple>
            <w:bookmarkEnd w:id="23"/>
            <w:r w:rsidRPr="002A5285">
              <w:t xml:space="preserve"> Frecvența utilizării zilnice și ocazionale de țigări electronice sau dispozitive electronice similare la populația din grupa de vârstă 15 ani și peste, </w:t>
            </w:r>
            <w:r>
              <w:t>în funcție de mediul de rezidență</w:t>
            </w:r>
            <w:r w:rsidRPr="002A5285">
              <w:t xml:space="preserve">, Sursa: </w:t>
            </w:r>
            <w:r w:rsidRPr="006E0160">
              <w:t>EHIS 2019</w:t>
            </w:r>
            <w:r>
              <w:fldChar w:fldCharType="begin"/>
            </w:r>
            <w:r w:rsidR="0009552B">
              <w:instrText xml:space="preserve"> ADDIN EN.CITE &lt;EndNote&gt;&lt;Cite&gt;&lt;Author&gt;INS&lt;/Author&gt;&lt;Year&gt;2021&lt;/Year&gt;&lt;RecNum&gt;9227&lt;/RecNum&gt;&lt;DisplayText&gt;&lt;style size="10"&gt;[3]&lt;/style&gt;&lt;/DisplayText&gt;&lt;record&gt;&lt;rec-number&gt;9227&lt;/rec-number&gt;&lt;foreign-keys&gt;&lt;key app="EN" db-id="fw0prtesnvf55cepezbx255wwza5zw0ssatt" timestamp="1759716798" guid="36a23b9d-60d3-4874-abc0-31c6c4eb1a87"&gt;9227&lt;/key&gt;&lt;/foreign-keys&gt;&lt;ref-type name="Report"&gt;27&lt;/ref-type&gt;&lt;contributors&gt;&lt;authors&gt;&lt;author&gt;&lt;style face="normal" font="default" charset="238" size="100%"&gt;INS&lt;/style&gt;&lt;/author&gt;&lt;/authors&gt;&lt;secondary-authors&gt;&lt;author&gt;&lt;style face="normal" font="default" charset="238" size="100%"&gt;INS&lt;/style&gt;&lt;/author&gt;&lt;/secondary-authors&gt;&lt;/contributors&gt;&lt;titles&gt;&lt;title&gt;&lt;style face="normal" font="default" charset="238" size="100%"&gt;Starea de sănătate a populației din Rom&lt;/style&gt;&lt;style face="normal" font="default" size="100%"&gt;â&lt;/style&gt;&lt;style face="normal" font="default" charset="238" size="100%"&gt;nia -2019&lt;/style&gt;&lt;/title&gt;&lt;/titles&gt;&lt;dates&gt;&lt;year&gt;&lt;style face="normal" font="default" charset="238" size="100%"&gt;2021&lt;/style&gt;&lt;/year&gt;&lt;/dates&gt;&lt;label&gt;&lt;style face="normal" font="default" charset="238" size="100%"&gt;INS Starea de sănătate a populației din Rom&lt;/style&gt;&lt;style face="normal" font="default" size="100%"&gt;â&lt;/style&gt;&lt;style face="normal" font="default" charset="238" size="100%"&gt;nia -2019&lt;/style&gt;&lt;/label&gt;&lt;urls&gt;&lt;related-urls&gt;&lt;url&gt;https://insse.ro/cms/sites/default/files/field/publicatii/starea_de_sanatate_a_populatiei_din_romania_2019.pdf&lt;/url&gt;&lt;/related-urls&gt;&lt;/urls&gt;&lt;/record&gt;&lt;/Cite&gt;&lt;/EndNote&gt;</w:instrText>
            </w:r>
            <w:r>
              <w:fldChar w:fldCharType="separate"/>
            </w:r>
            <w:r w:rsidR="0009552B">
              <w:rPr>
                <w:noProof/>
              </w:rPr>
              <w:t>[3]</w:t>
            </w:r>
            <w:r>
              <w:fldChar w:fldCharType="end"/>
            </w:r>
          </w:p>
        </w:tc>
      </w:tr>
    </w:tbl>
    <w:p w14:paraId="4BC22C0F" w14:textId="77777777" w:rsidR="00CD3152" w:rsidRDefault="00CD3152" w:rsidP="00CD3152">
      <w:pPr>
        <w:jc w:val="both"/>
        <w:rPr>
          <w:noProof/>
        </w:rPr>
      </w:pPr>
    </w:p>
    <w:p w14:paraId="732123D2" w14:textId="77777777" w:rsidR="00CD3152" w:rsidRDefault="00CD3152" w:rsidP="00CD3152">
      <w:pPr>
        <w:ind w:firstLine="708"/>
        <w:jc w:val="both"/>
        <w:rPr>
          <w:noProof/>
        </w:rPr>
      </w:pPr>
      <w:r>
        <w:rPr>
          <w:noProof/>
        </w:rPr>
        <w:t>Ponderea utilizatorilor de țigări electronice sau dispozitive similare electronice de genul masculin este mai mare decât la genul feminin, atât pentru utilizarea zilnică (0,47% față de 0,20%), cât și pentru  ocazională a acestor dispozitive (1,73%, respectiv 1,07%)(</w:t>
      </w:r>
      <w:r>
        <w:rPr>
          <w:noProof/>
        </w:rPr>
        <w:fldChar w:fldCharType="begin"/>
      </w:r>
      <w:r>
        <w:rPr>
          <w:noProof/>
        </w:rPr>
        <w:instrText xml:space="preserve"> REF _Ref211316060 \h </w:instrText>
      </w:r>
      <w:r>
        <w:rPr>
          <w:noProof/>
        </w:rPr>
      </w:r>
      <w:r>
        <w:rPr>
          <w:noProof/>
        </w:rPr>
        <w:fldChar w:fldCharType="separate"/>
      </w:r>
      <w:r>
        <w:t xml:space="preserve">Figura </w:t>
      </w:r>
      <w:r>
        <w:rPr>
          <w:noProof/>
        </w:rPr>
        <w:t>I</w:t>
      </w:r>
      <w:r>
        <w:t>.</w:t>
      </w:r>
      <w:r>
        <w:rPr>
          <w:noProof/>
        </w:rPr>
        <w:t>18</w:t>
      </w:r>
      <w:r>
        <w:rPr>
          <w:noProof/>
        </w:rPr>
        <w:fldChar w:fldCharType="end"/>
      </w:r>
      <w:r>
        <w:rPr>
          <w:noProof/>
        </w:rPr>
        <w:t>).</w:t>
      </w:r>
    </w:p>
    <w:p w14:paraId="59683077" w14:textId="77777777" w:rsidR="00CD3152" w:rsidRDefault="00CD3152" w:rsidP="00CD3152">
      <w:pPr>
        <w:ind w:firstLine="708"/>
        <w:jc w:val="both"/>
        <w:rPr>
          <w:noProof/>
        </w:rPr>
      </w:pPr>
      <w:r>
        <w:rPr>
          <w:noProof/>
        </w:rPr>
        <w:t>În funcție de mediul de rezidență,  în România, frecvența utilizării de țigări electronice este mai mare în urban, atât pentru utilizarea zilnică (0,38% față de 0,28%), cât și pentru cea ocazională (1,89% vs 0,08%)(</w:t>
      </w:r>
      <w:r>
        <w:rPr>
          <w:noProof/>
        </w:rPr>
        <w:fldChar w:fldCharType="begin"/>
      </w:r>
      <w:r>
        <w:rPr>
          <w:noProof/>
        </w:rPr>
        <w:instrText xml:space="preserve"> REF _Ref211316074 \h </w:instrText>
      </w:r>
      <w:r>
        <w:rPr>
          <w:noProof/>
        </w:rPr>
      </w:r>
      <w:r>
        <w:rPr>
          <w:noProof/>
        </w:rPr>
        <w:fldChar w:fldCharType="separate"/>
      </w:r>
      <w:r>
        <w:t xml:space="preserve">Figura </w:t>
      </w:r>
      <w:r>
        <w:rPr>
          <w:noProof/>
        </w:rPr>
        <w:t>I</w:t>
      </w:r>
      <w:r>
        <w:t>.</w:t>
      </w:r>
      <w:r>
        <w:rPr>
          <w:noProof/>
        </w:rPr>
        <w:t>19</w:t>
      </w:r>
      <w:r>
        <w:rPr>
          <w:noProof/>
        </w:rPr>
        <w:fldChar w:fldCharType="end"/>
      </w:r>
      <w:r>
        <w:rPr>
          <w:noProof/>
        </w:rPr>
        <w:t>).</w:t>
      </w:r>
    </w:p>
    <w:p w14:paraId="1CEB3167" w14:textId="77777777" w:rsidR="00096080" w:rsidRDefault="00CD3152" w:rsidP="00096080">
      <w:pPr>
        <w:ind w:firstLine="708"/>
        <w:jc w:val="both"/>
      </w:pPr>
      <w:r>
        <w:rPr>
          <w:noProof/>
        </w:rPr>
        <w:t xml:space="preserve">Astfel, în România, conform datelor EHIS 2019, frecvența </w:t>
      </w:r>
      <w:r w:rsidRPr="0028627F">
        <w:rPr>
          <w:noProof/>
        </w:rPr>
        <w:t>utiliz</w:t>
      </w:r>
      <w:r>
        <w:rPr>
          <w:noProof/>
        </w:rPr>
        <w:t>ării zilnice și ocazionale</w:t>
      </w:r>
      <w:r w:rsidRPr="0028627F">
        <w:rPr>
          <w:noProof/>
        </w:rPr>
        <w:t xml:space="preserve"> de țigări electronice sau dispozitive </w:t>
      </w:r>
      <w:r>
        <w:rPr>
          <w:noProof/>
        </w:rPr>
        <w:t xml:space="preserve">similare </w:t>
      </w:r>
      <w:r w:rsidRPr="0028627F">
        <w:rPr>
          <w:noProof/>
        </w:rPr>
        <w:t>electronice</w:t>
      </w:r>
      <w:r>
        <w:rPr>
          <w:noProof/>
        </w:rPr>
        <w:t xml:space="preserve"> este mai mare la bărbați decât la femei și în mediul urban față de mediul rural. </w:t>
      </w:r>
    </w:p>
    <w:p w14:paraId="410D8DFB" w14:textId="77777777" w:rsidR="00096080" w:rsidRDefault="00096080" w:rsidP="00096080">
      <w:pPr>
        <w:ind w:firstLine="708"/>
        <w:jc w:val="both"/>
        <w:rPr>
          <w:noProof/>
        </w:rPr>
      </w:pPr>
      <w:r>
        <w:rPr>
          <w:noProof/>
        </w:rPr>
        <w:t>V</w:t>
      </w:r>
      <w:r w:rsidR="006F5FD3" w:rsidRPr="006F5FD3">
        <w:rPr>
          <w:noProof/>
        </w:rPr>
        <w:t xml:space="preserve">apatul la adulți a crescut în majoritatea țărilor OECD. </w:t>
      </w:r>
      <w:r>
        <w:rPr>
          <w:noProof/>
        </w:rPr>
        <w:t>Folosit ca</w:t>
      </w:r>
      <w:r w:rsidR="006F5FD3" w:rsidRPr="006F5FD3">
        <w:rPr>
          <w:noProof/>
        </w:rPr>
        <w:t xml:space="preserve"> </w:t>
      </w:r>
      <w:r>
        <w:rPr>
          <w:noProof/>
        </w:rPr>
        <w:t>suport</w:t>
      </w:r>
      <w:r w:rsidR="006F5FD3" w:rsidRPr="006F5FD3">
        <w:rPr>
          <w:noProof/>
        </w:rPr>
        <w:t xml:space="preserve"> pentru renunțarea la fumat în unele </w:t>
      </w:r>
      <w:r>
        <w:rPr>
          <w:noProof/>
        </w:rPr>
        <w:t>țări</w:t>
      </w:r>
      <w:r w:rsidR="006F5FD3" w:rsidRPr="006F5FD3">
        <w:rPr>
          <w:noProof/>
        </w:rPr>
        <w:t xml:space="preserve">, vapatul </w:t>
      </w:r>
      <w:r>
        <w:rPr>
          <w:noProof/>
        </w:rPr>
        <w:t xml:space="preserve">poate </w:t>
      </w:r>
      <w:r w:rsidR="006F5FD3" w:rsidRPr="006F5FD3">
        <w:rPr>
          <w:noProof/>
        </w:rPr>
        <w:t>reprezent</w:t>
      </w:r>
      <w:r>
        <w:rPr>
          <w:noProof/>
        </w:rPr>
        <w:t>a de asemenea</w:t>
      </w:r>
      <w:r w:rsidR="006F5FD3" w:rsidRPr="006F5FD3">
        <w:rPr>
          <w:noProof/>
        </w:rPr>
        <w:t xml:space="preserve"> și o alegere </w:t>
      </w:r>
      <w:r>
        <w:rPr>
          <w:noProof/>
        </w:rPr>
        <w:t>inițială</w:t>
      </w:r>
      <w:r w:rsidR="006F5FD3" w:rsidRPr="006F5FD3">
        <w:rPr>
          <w:noProof/>
        </w:rPr>
        <w:t>.</w:t>
      </w:r>
    </w:p>
    <w:p w14:paraId="320AABB3" w14:textId="6538FA11" w:rsidR="00CD3152" w:rsidRPr="006E0160" w:rsidRDefault="006F5FD3" w:rsidP="00096080">
      <w:pPr>
        <w:ind w:firstLine="708"/>
        <w:jc w:val="both"/>
      </w:pPr>
      <w:r w:rsidRPr="006F5FD3">
        <w:rPr>
          <w:noProof/>
        </w:rPr>
        <w:t xml:space="preserve">  </w:t>
      </w:r>
      <w:r>
        <w:rPr>
          <w:noProof/>
        </w:rPr>
        <w:drawing>
          <wp:inline distT="0" distB="0" distL="0" distR="0" wp14:anchorId="5D790F21" wp14:editId="49BD9245">
            <wp:extent cx="5849620" cy="1960880"/>
            <wp:effectExtent l="0" t="0" r="0" b="0"/>
            <wp:docPr id="2100308419" name="Chart 1">
              <a:extLst xmlns:a="http://schemas.openxmlformats.org/drawingml/2006/main">
                <a:ext uri="{FF2B5EF4-FFF2-40B4-BE49-F238E27FC236}">
                  <a16:creationId xmlns:a16="http://schemas.microsoft.com/office/drawing/2014/main" id="{BAB42952-EC5A-4B13-AB66-EC959946246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5E69B66F" w14:textId="7B0D5C44" w:rsidR="00CD3152" w:rsidRDefault="00CD3152" w:rsidP="00CD3152">
      <w:pPr>
        <w:pStyle w:val="Caption"/>
        <w:ind w:firstLine="708"/>
      </w:pPr>
      <w:bookmarkStart w:id="24" w:name="_Ref211246895"/>
      <w:r w:rsidRPr="006E0160">
        <w:t xml:space="preserve">Figura </w:t>
      </w:r>
      <w:fldSimple w:instr=" STYLEREF 1 \s ">
        <w:r w:rsidR="0080370C">
          <w:rPr>
            <w:noProof/>
          </w:rPr>
          <w:t>I</w:t>
        </w:r>
      </w:fldSimple>
      <w:r w:rsidR="0080370C">
        <w:t>.</w:t>
      </w:r>
      <w:fldSimple w:instr=" SEQ Figura \* ARABIC \s 1 ">
        <w:r w:rsidR="0080370C">
          <w:rPr>
            <w:noProof/>
          </w:rPr>
          <w:t>19</w:t>
        </w:r>
      </w:fldSimple>
      <w:bookmarkEnd w:id="24"/>
      <w:r w:rsidRPr="006E0160">
        <w:t xml:space="preserve"> - Utilizarea regulată a produselor pentru vapat la </w:t>
      </w:r>
      <w:r>
        <w:t>populația 15 ani și peste</w:t>
      </w:r>
      <w:r w:rsidRPr="006E0160">
        <w:t xml:space="preserve">, </w:t>
      </w:r>
      <w:r>
        <w:t xml:space="preserve">în </w:t>
      </w:r>
      <w:r w:rsidRPr="006E0160">
        <w:t>202</w:t>
      </w:r>
      <w:r w:rsidR="006F5FD3">
        <w:t>3 și 2016</w:t>
      </w:r>
      <w:r w:rsidRPr="006E0160">
        <w:t xml:space="preserve"> (sau cel mai apropiat an disponibil), *Media UE este neponderată, Sursa: OECD Health Statistics 202</w:t>
      </w:r>
      <w:r w:rsidR="006F5FD3">
        <w:t>5</w:t>
      </w:r>
      <w:r w:rsidRPr="006E0160">
        <w:t xml:space="preserve"> (bazat pe sondaje naționale sau pe European Health Interview surveys - EHIS).</w:t>
      </w:r>
    </w:p>
    <w:p w14:paraId="1235ABCA" w14:textId="77777777" w:rsidR="001F54BA" w:rsidRDefault="001F54BA" w:rsidP="001F54BA">
      <w:pPr>
        <w:ind w:firstLine="708"/>
        <w:jc w:val="both"/>
        <w:rPr>
          <w:noProof/>
        </w:rPr>
      </w:pPr>
      <w:r w:rsidRPr="006F5FD3">
        <w:rPr>
          <w:noProof/>
        </w:rPr>
        <w:lastRenderedPageBreak/>
        <w:t>Între 2016 și 2023, ratele regulate de vaping au crescut în medie de la 3% la 6% în țările OECD cu date disponibile</w:t>
      </w:r>
      <w:r>
        <w:rPr>
          <w:noProof/>
        </w:rPr>
        <w:fldChar w:fldCharType="begin"/>
      </w:r>
      <w:r>
        <w:rPr>
          <w:noProof/>
        </w:rPr>
        <w:instrText xml:space="preserve"> ADDIN EN.CITE &lt;EndNote&gt;&lt;Cite&gt;&lt;Author&gt;OECD&lt;/Author&gt;&lt;Year&gt;2025&lt;/Year&gt;&lt;RecNum&gt;9768&lt;/RecNum&gt;&lt;DisplayText&gt;&lt;style size="10"&gt;[6]&lt;/style&gt;&lt;/DisplayText&gt;&lt;record&gt;&lt;rec-number&gt;9768&lt;/rec-number&gt;&lt;foreign-keys&gt;&lt;key app="EN" db-id="fw0prtesnvf55cepezbx255wwza5zw0ssatt" timestamp="1781749697"&gt;9768&lt;/key&gt;&lt;/foreign-keys&gt;&lt;ref-type name="Report"&gt;27&lt;/ref-type&gt;&lt;contributors&gt;&lt;authors&gt;&lt;author&gt;&lt;style face="normal" font="default" charset="238" size="100%"&gt;OECD&lt;/style&gt;&lt;/author&gt;&lt;/authors&gt;&lt;secondary-authors&gt;&lt;author&gt; OECD Publishing&lt;/author&gt;&lt;/secondary-authors&gt;&lt;/contributors&gt;&lt;titles&gt;&lt;title&gt;Health at a Glance 2025: OECD Indicators&lt;/title&gt;&lt;/titles&gt;&lt;dates&gt;&lt;year&gt;&lt;style face="normal" font="default" charset="238" size="100%"&gt;2025&lt;/style&gt;&lt;/year&gt;&lt;/dates&gt;&lt;urls&gt;&lt;related-urls&gt;&lt;url&gt;https://www.oecd.org/en/publications/health-at-a-glance-2025_8f9e3f98-en/full-report.html&lt;/url&gt;&lt;/related-urls&gt;&lt;/urls&gt;&lt;electronic-resource-num&gt;https://doi.org/10.1787/8f9e3f98-en.&lt;/electronic-resource-num&gt;&lt;/record&gt;&lt;/Cite&gt;&lt;/EndNote&gt;</w:instrText>
      </w:r>
      <w:r>
        <w:rPr>
          <w:noProof/>
        </w:rPr>
        <w:fldChar w:fldCharType="separate"/>
      </w:r>
      <w:r w:rsidRPr="001F54BA">
        <w:rPr>
          <w:noProof/>
          <w:sz w:val="20"/>
        </w:rPr>
        <w:t>[6]</w:t>
      </w:r>
      <w:r>
        <w:rPr>
          <w:noProof/>
        </w:rPr>
        <w:fldChar w:fldCharType="end"/>
      </w:r>
      <w:r>
        <w:rPr>
          <w:noProof/>
        </w:rPr>
        <w:t>.</w:t>
      </w:r>
    </w:p>
    <w:p w14:paraId="300C2905" w14:textId="77777777" w:rsidR="001F54BA" w:rsidRDefault="001F54BA" w:rsidP="001F54BA">
      <w:pPr>
        <w:ind w:firstLine="708"/>
        <w:jc w:val="both"/>
        <w:rPr>
          <w:noProof/>
        </w:rPr>
      </w:pPr>
      <w:r w:rsidRPr="00096080">
        <w:rPr>
          <w:noProof/>
        </w:rPr>
        <w:t>Cele mai mari creșteri au fost observate în Noua Zeelandă, unde 14% dintre persoanele cu vârsta de 15 ani și peste au raportat vapatul regulat în 2023, și Estonia, unde rata a fost de 12%</w:t>
      </w:r>
      <w:r>
        <w:rPr>
          <w:noProof/>
        </w:rPr>
        <w:fldChar w:fldCharType="begin"/>
      </w:r>
      <w:r>
        <w:rPr>
          <w:noProof/>
        </w:rPr>
        <w:instrText xml:space="preserve"> ADDIN EN.CITE &lt;EndNote&gt;&lt;Cite&gt;&lt;Author&gt;OECD&lt;/Author&gt;&lt;Year&gt;2025&lt;/Year&gt;&lt;RecNum&gt;9768&lt;/RecNum&gt;&lt;DisplayText&gt;&lt;style size="10"&gt;[6]&lt;/style&gt;&lt;/DisplayText&gt;&lt;record&gt;&lt;rec-number&gt;9768&lt;/rec-number&gt;&lt;foreign-keys&gt;&lt;key app="EN" db-id="fw0prtesnvf55cepezbx255wwza5zw0ssatt" timestamp="1781749697"&gt;9768&lt;/key&gt;&lt;/foreign-keys&gt;&lt;ref-type name="Report"&gt;27&lt;/ref-type&gt;&lt;contributors&gt;&lt;authors&gt;&lt;author&gt;&lt;style face="normal" font="default" charset="238" size="100%"&gt;OECD&lt;/style&gt;&lt;/author&gt;&lt;/authors&gt;&lt;secondary-authors&gt;&lt;author&gt; OECD Publishing&lt;/author&gt;&lt;/secondary-authors&gt;&lt;/contributors&gt;&lt;titles&gt;&lt;title&gt;Health at a Glance 2025: OECD Indicators&lt;/title&gt;&lt;/titles&gt;&lt;dates&gt;&lt;year&gt;&lt;style face="normal" font="default" charset="238" size="100%"&gt;2025&lt;/style&gt;&lt;/year&gt;&lt;/dates&gt;&lt;urls&gt;&lt;related-urls&gt;&lt;url&gt;https://www.oecd.org/en/publications/health-at-a-glance-2025_8f9e3f98-en/full-report.html&lt;/url&gt;&lt;/related-urls&gt;&lt;/urls&gt;&lt;electronic-resource-num&gt;https://doi.org/10.1787/8f9e3f98-en.&lt;/electronic-resource-num&gt;&lt;/record&gt;&lt;/Cite&gt;&lt;/EndNote&gt;</w:instrText>
      </w:r>
      <w:r>
        <w:rPr>
          <w:noProof/>
        </w:rPr>
        <w:fldChar w:fldCharType="separate"/>
      </w:r>
      <w:r w:rsidRPr="001F54BA">
        <w:rPr>
          <w:noProof/>
          <w:sz w:val="20"/>
        </w:rPr>
        <w:t>[6]</w:t>
      </w:r>
      <w:r>
        <w:rPr>
          <w:noProof/>
        </w:rPr>
        <w:fldChar w:fldCharType="end"/>
      </w:r>
      <w:r w:rsidRPr="00096080">
        <w:rPr>
          <w:noProof/>
        </w:rPr>
        <w:t>.</w:t>
      </w:r>
    </w:p>
    <w:p w14:paraId="23F6E179" w14:textId="77777777" w:rsidR="001F54BA" w:rsidRPr="001F54BA" w:rsidRDefault="001F54BA" w:rsidP="001F54BA"/>
    <w:p w14:paraId="163C0CF3" w14:textId="77777777" w:rsidR="00CD3152" w:rsidRDefault="00CD3152" w:rsidP="00572A0B">
      <w:pPr>
        <w:keepNext/>
        <w:ind w:firstLine="0"/>
        <w:jc w:val="both"/>
      </w:pPr>
      <w:r>
        <w:rPr>
          <w:noProof/>
        </w:rPr>
        <w:drawing>
          <wp:inline distT="0" distB="0" distL="0" distR="0" wp14:anchorId="6BD6E4E8" wp14:editId="2E18818F">
            <wp:extent cx="6120000" cy="2520000"/>
            <wp:effectExtent l="0" t="0" r="0" b="0"/>
            <wp:docPr id="2054662926" name="Chart 1">
              <a:extLst xmlns:a="http://schemas.openxmlformats.org/drawingml/2006/main">
                <a:ext uri="{FF2B5EF4-FFF2-40B4-BE49-F238E27FC236}">
                  <a16:creationId xmlns:a16="http://schemas.microsoft.com/office/drawing/2014/main" id="{F98A2B41-F41E-4FAC-A1CA-43602FC4FD0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18C97569" w14:textId="29B37815" w:rsidR="00CD3152" w:rsidRDefault="00CD3152" w:rsidP="00CD3152">
      <w:pPr>
        <w:pStyle w:val="Caption"/>
        <w:jc w:val="both"/>
      </w:pPr>
      <w:bookmarkStart w:id="25" w:name="_Ref211246962"/>
      <w:r>
        <w:t xml:space="preserve">Figura </w:t>
      </w:r>
      <w:fldSimple w:instr=" STYLEREF 1 \s ">
        <w:r w:rsidR="0080370C">
          <w:rPr>
            <w:noProof/>
          </w:rPr>
          <w:t>I</w:t>
        </w:r>
      </w:fldSimple>
      <w:r w:rsidR="0080370C">
        <w:t>.</w:t>
      </w:r>
      <w:fldSimple w:instr=" SEQ Figura \* ARABIC \s 1 ">
        <w:r w:rsidR="0080370C">
          <w:rPr>
            <w:noProof/>
          </w:rPr>
          <w:t>20</w:t>
        </w:r>
      </w:fldSimple>
      <w:bookmarkEnd w:id="25"/>
      <w:r w:rsidRPr="00182904">
        <w:t xml:space="preserve"> Utilizarea regulată a produselor pentru vapat la populația 15 ani și peste</w:t>
      </w:r>
      <w:r>
        <w:t xml:space="preserve">, în funcție de gen, </w:t>
      </w:r>
      <w:r w:rsidRPr="00182904">
        <w:t xml:space="preserve">Sursa: </w:t>
      </w:r>
      <w:r>
        <w:t xml:space="preserve">EUROSTAT, bazat pe </w:t>
      </w:r>
      <w:r w:rsidRPr="00182904">
        <w:t>EHIS</w:t>
      </w:r>
      <w:r>
        <w:t xml:space="preserve"> 2019,</w:t>
      </w:r>
      <w:r w:rsidRPr="001A1C0B">
        <w:rPr>
          <w:rFonts w:eastAsia="Calibri" w:cs="Calibri"/>
        </w:rPr>
        <w:t xml:space="preserve"> (online data code: hlth_ehis_sk6e)</w:t>
      </w:r>
      <w:r>
        <w:t xml:space="preserve"> </w:t>
      </w:r>
      <w:r w:rsidRPr="00182904">
        <w:t>.</w:t>
      </w:r>
    </w:p>
    <w:p w14:paraId="03A9FA4A" w14:textId="77777777" w:rsidR="00CD3152" w:rsidRDefault="00CD3152" w:rsidP="00CD3152">
      <w:pPr>
        <w:ind w:firstLine="708"/>
        <w:jc w:val="both"/>
      </w:pPr>
      <w:r w:rsidRPr="00182904">
        <w:t xml:space="preserve">În </w:t>
      </w:r>
      <w:r>
        <w:t xml:space="preserve">România, în anul 2019, în </w:t>
      </w:r>
      <w:r w:rsidRPr="00182904">
        <w:t xml:space="preserve">rândul </w:t>
      </w:r>
      <w:r>
        <w:t xml:space="preserve">persoanelor </w:t>
      </w:r>
      <w:r w:rsidRPr="00182904">
        <w:t>cu vârst</w:t>
      </w:r>
      <w:r>
        <w:t>a de</w:t>
      </w:r>
      <w:r w:rsidRPr="00182904">
        <w:t xml:space="preserve"> 15 </w:t>
      </w:r>
      <w:r>
        <w:t>ani și peste</w:t>
      </w:r>
      <w:r w:rsidRPr="00182904">
        <w:t xml:space="preserve">, </w:t>
      </w:r>
      <w:r>
        <w:t>frecvența de</w:t>
      </w:r>
      <w:r w:rsidRPr="00182904">
        <w:t xml:space="preserve"> </w:t>
      </w:r>
      <w:r>
        <w:t>utilizare a țigării electronice și dispozitivelor similare,</w:t>
      </w:r>
      <w:r w:rsidRPr="00182904">
        <w:t xml:space="preserve"> este de </w:t>
      </w:r>
      <w:r>
        <w:t>0,2</w:t>
      </w:r>
      <w:r w:rsidRPr="00182904">
        <w:t>%</w:t>
      </w:r>
      <w:r>
        <w:t xml:space="preserve"> la femei și 0,5% la bărbați</w:t>
      </w:r>
      <w:r w:rsidRPr="00182904">
        <w:t xml:space="preserve">, sub media  europeană de </w:t>
      </w:r>
      <w:r>
        <w:t>1,1</w:t>
      </w:r>
      <w:r w:rsidRPr="00182904">
        <w:t>%</w:t>
      </w:r>
      <w:r>
        <w:t xml:space="preserve"> la genul feminin și respectiv 2,2% la genul masculin (</w:t>
      </w:r>
      <w:r>
        <w:fldChar w:fldCharType="begin"/>
      </w:r>
      <w:r>
        <w:instrText xml:space="preserve"> REF _Ref211246962 \h </w:instrText>
      </w:r>
      <w:r>
        <w:fldChar w:fldCharType="separate"/>
      </w:r>
      <w:r>
        <w:t xml:space="preserve">Figura </w:t>
      </w:r>
      <w:r>
        <w:rPr>
          <w:noProof/>
        </w:rPr>
        <w:t>I</w:t>
      </w:r>
      <w:r>
        <w:t>.</w:t>
      </w:r>
      <w:r>
        <w:rPr>
          <w:noProof/>
        </w:rPr>
        <w:t>21</w:t>
      </w:r>
      <w:r>
        <w:fldChar w:fldCharType="end"/>
      </w:r>
      <w:r>
        <w:t>)</w:t>
      </w:r>
      <w:r w:rsidRPr="00182904">
        <w:t>.</w:t>
      </w:r>
    </w:p>
    <w:p w14:paraId="611D3991" w14:textId="77777777" w:rsidR="001F54BA" w:rsidRDefault="001F54BA" w:rsidP="00CD3152">
      <w:pPr>
        <w:ind w:firstLine="708"/>
        <w:jc w:val="both"/>
      </w:pPr>
    </w:p>
    <w:p w14:paraId="4461AF1F" w14:textId="77777777" w:rsidR="00721E66" w:rsidRDefault="00721E66" w:rsidP="00CD3152">
      <w:pPr>
        <w:ind w:firstLine="708"/>
        <w:jc w:val="both"/>
      </w:pPr>
    </w:p>
    <w:p w14:paraId="66B2DD91" w14:textId="77777777" w:rsidR="00721E66" w:rsidRDefault="00721E66" w:rsidP="00CD3152">
      <w:pPr>
        <w:ind w:firstLine="708"/>
        <w:jc w:val="both"/>
      </w:pPr>
    </w:p>
    <w:p w14:paraId="2AF3A4C1" w14:textId="43BF740B" w:rsidR="00CD3152" w:rsidRDefault="00CD3152" w:rsidP="00A62A7C">
      <w:pPr>
        <w:pStyle w:val="Caption"/>
        <w:numPr>
          <w:ilvl w:val="0"/>
          <w:numId w:val="9"/>
        </w:numPr>
        <w:tabs>
          <w:tab w:val="left" w:pos="567"/>
        </w:tabs>
        <w:ind w:left="0" w:firstLine="0"/>
        <w:jc w:val="both"/>
        <w:rPr>
          <w:b w:val="0"/>
          <w:bCs w:val="0"/>
          <w:sz w:val="24"/>
          <w:szCs w:val="24"/>
        </w:rPr>
      </w:pPr>
      <w:r w:rsidRPr="00B4591A">
        <w:rPr>
          <w:b w:val="0"/>
          <w:bCs w:val="0"/>
          <w:sz w:val="24"/>
          <w:szCs w:val="24"/>
        </w:rPr>
        <w:t xml:space="preserve">Un raport mai recent, </w:t>
      </w:r>
      <w:r w:rsidRPr="00B4591A">
        <w:rPr>
          <w:i/>
          <w:iCs/>
          <w:sz w:val="24"/>
          <w:szCs w:val="24"/>
        </w:rPr>
        <w:t>Special Eurobarome</w:t>
      </w:r>
      <w:r>
        <w:rPr>
          <w:i/>
          <w:iCs/>
          <w:sz w:val="24"/>
          <w:szCs w:val="24"/>
        </w:rPr>
        <w:t>ter</w:t>
      </w:r>
      <w:r w:rsidRPr="00B4591A">
        <w:rPr>
          <w:i/>
          <w:iCs/>
          <w:sz w:val="24"/>
          <w:szCs w:val="24"/>
        </w:rPr>
        <w:t xml:space="preserve"> 539:</w:t>
      </w:r>
      <w:r w:rsidRPr="00B4591A">
        <w:rPr>
          <w:b w:val="0"/>
          <w:bCs w:val="0"/>
          <w:sz w:val="24"/>
          <w:szCs w:val="24"/>
        </w:rPr>
        <w:t xml:space="preserve"> </w:t>
      </w:r>
      <w:r w:rsidRPr="00B4591A">
        <w:rPr>
          <w:i/>
          <w:iCs/>
          <w:sz w:val="24"/>
          <w:szCs w:val="24"/>
        </w:rPr>
        <w:t>Attitudes of European towards tabacco and related products</w:t>
      </w:r>
      <w:r w:rsidRPr="00B4591A">
        <w:rPr>
          <w:b w:val="0"/>
          <w:bCs w:val="0"/>
          <w:sz w:val="24"/>
          <w:szCs w:val="24"/>
        </w:rPr>
        <w:t xml:space="preserve"> </w:t>
      </w:r>
      <w:r w:rsidRPr="00B4591A">
        <w:rPr>
          <w:sz w:val="24"/>
          <w:szCs w:val="24"/>
        </w:rPr>
        <w:t>(Special EB 539</w:t>
      </w:r>
      <w:r w:rsidRPr="00B4591A">
        <w:rPr>
          <w:b w:val="0"/>
          <w:bCs w:val="0"/>
          <w:sz w:val="24"/>
          <w:szCs w:val="24"/>
        </w:rPr>
        <w:t>)</w:t>
      </w:r>
      <w:r w:rsidRPr="00B4591A">
        <w:rPr>
          <w:sz w:val="24"/>
          <w:szCs w:val="24"/>
        </w:rPr>
        <w:fldChar w:fldCharType="begin"/>
      </w:r>
      <w:r w:rsidR="00D4526D">
        <w:rPr>
          <w:sz w:val="24"/>
          <w:szCs w:val="24"/>
        </w:rPr>
        <w:instrText xml:space="preserve"> ADDIN EN.CITE &lt;EndNote&gt;&lt;Cite&gt;&lt;Author&gt;EC&lt;/Author&gt;&lt;Year&gt;2024&lt;/Year&gt;&lt;RecNum&gt;9226&lt;/RecNum&gt;&lt;DisplayText&gt;&lt;style size="10"&gt;[8]&lt;/style&gt;&lt;/DisplayText&gt;&lt;record&gt;&lt;rec-number&gt;9226&lt;/rec-number&gt;&lt;foreign-keys&gt;&lt;key app="EN" db-id="fw0prtesnvf55cepezbx255wwza5zw0ssatt" timestamp="1759687849" guid="515556ee-9e18-4f0d-8b9e-67ec2c91a684"&gt;9226&lt;/key&gt;&lt;/foreign-keys&gt;&lt;ref-type name="Report"&gt;27&lt;/ref-type&gt;&lt;contributors&gt;&lt;authors&gt;&lt;author&gt;EC&lt;/author&gt;&lt;/authors&gt;&lt;secondary-authors&gt;&lt;author&gt;DG Sante&lt;/author&gt;&lt;/secondary-authors&gt;&lt;/contributors&gt;&lt;titles&gt;&lt;title&gt;Special Eurobarometer SP539: Attitudes of Europeans towards tobacco and related products&lt;/title&gt;&lt;secondary-title&gt;Special Eurobarometer &lt;/secondary-title&gt;&lt;/titles&gt;&lt;dates&gt;&lt;year&gt;2024&lt;/year&gt;&lt;/dates&gt;&lt;pub-location&gt;internet&lt;/pub-location&gt;&lt;label&gt;Special Eurobarometer SP539&lt;/label&gt;&lt;urls&gt;&lt;related-urls&gt;&lt;url&gt;https://europa.eu/eurobarometer/surveys/detail/2995&lt;/url&gt;&lt;/related-urls&gt;&lt;/urls&gt;&lt;electronic-resource-num&gt;10.2875/629307&lt;/electronic-resource-num&gt;&lt;/record&gt;&lt;/Cite&gt;&lt;/EndNote&gt;</w:instrText>
      </w:r>
      <w:r w:rsidRPr="00B4591A">
        <w:rPr>
          <w:sz w:val="24"/>
          <w:szCs w:val="24"/>
        </w:rPr>
        <w:fldChar w:fldCharType="separate"/>
      </w:r>
      <w:r w:rsidR="00D4526D" w:rsidRPr="00D4526D">
        <w:rPr>
          <w:noProof/>
          <w:szCs w:val="24"/>
        </w:rPr>
        <w:t>[8]</w:t>
      </w:r>
      <w:r w:rsidRPr="00B4591A">
        <w:rPr>
          <w:sz w:val="24"/>
          <w:szCs w:val="24"/>
        </w:rPr>
        <w:fldChar w:fldCharType="end"/>
      </w:r>
      <w:r w:rsidRPr="00B4591A">
        <w:rPr>
          <w:b w:val="0"/>
          <w:bCs w:val="0"/>
          <w:sz w:val="24"/>
          <w:szCs w:val="24"/>
        </w:rPr>
        <w:t>, desfășurat în mai - iunie 2023 în cele 27  de state membre ale UE</w:t>
      </w:r>
      <w:r>
        <w:rPr>
          <w:b w:val="0"/>
          <w:bCs w:val="0"/>
          <w:sz w:val="24"/>
          <w:szCs w:val="24"/>
        </w:rPr>
        <w:t xml:space="preserve">, </w:t>
      </w:r>
      <w:r w:rsidRPr="00B4591A">
        <w:rPr>
          <w:b w:val="0"/>
          <w:bCs w:val="0"/>
          <w:sz w:val="24"/>
          <w:szCs w:val="24"/>
        </w:rPr>
        <w:t xml:space="preserve">care apreciază atitudinea a 26358 </w:t>
      </w:r>
      <w:r>
        <w:rPr>
          <w:b w:val="0"/>
          <w:bCs w:val="0"/>
          <w:sz w:val="24"/>
          <w:szCs w:val="24"/>
        </w:rPr>
        <w:t xml:space="preserve">de </w:t>
      </w:r>
      <w:r w:rsidRPr="00B4591A">
        <w:rPr>
          <w:b w:val="0"/>
          <w:bCs w:val="0"/>
          <w:sz w:val="24"/>
          <w:szCs w:val="24"/>
        </w:rPr>
        <w:t xml:space="preserve">europeni față de tutun și produsele conexe, relevă că prevalența fumatului curent în România rămâne semnificativ peste media europeană. </w:t>
      </w:r>
    </w:p>
    <w:p w14:paraId="6004389C" w14:textId="77777777" w:rsidR="00CD3152" w:rsidRPr="005E475F" w:rsidRDefault="00CD3152" w:rsidP="00CD3152"/>
    <w:p w14:paraId="1CFC90DD" w14:textId="77777777" w:rsidR="00CD3152" w:rsidRPr="00E3231E" w:rsidRDefault="00CD3152" w:rsidP="00A62A7C">
      <w:pPr>
        <w:pStyle w:val="ListParagraph"/>
        <w:numPr>
          <w:ilvl w:val="0"/>
          <w:numId w:val="10"/>
        </w:numPr>
        <w:tabs>
          <w:tab w:val="left" w:pos="284"/>
        </w:tabs>
        <w:spacing w:line="319" w:lineRule="auto"/>
        <w:ind w:left="0" w:firstLine="0"/>
        <w:rPr>
          <w:i/>
          <w:iCs/>
        </w:rPr>
      </w:pPr>
      <w:r w:rsidRPr="00E3231E">
        <w:rPr>
          <w:i/>
          <w:iCs/>
        </w:rPr>
        <w:t>Frecvența consumului curent de produse de tutun convențional  (</w:t>
      </w:r>
      <w:r>
        <w:rPr>
          <w:i/>
          <w:iCs/>
        </w:rPr>
        <w:t>Special EB</w:t>
      </w:r>
      <w:r w:rsidRPr="00E3231E">
        <w:rPr>
          <w:i/>
          <w:iCs/>
        </w:rPr>
        <w:t xml:space="preserve"> 539</w:t>
      </w:r>
      <w:r>
        <w:rPr>
          <w:i/>
          <w:iCs/>
        </w:rPr>
        <w:t>, anul 2023</w:t>
      </w:r>
      <w:r w:rsidRPr="00E3231E">
        <w:rPr>
          <w:i/>
          <w:iCs/>
        </w:rPr>
        <w:t>)</w:t>
      </w:r>
    </w:p>
    <w:p w14:paraId="204E401C" w14:textId="77777777" w:rsidR="00CD3152" w:rsidRPr="00511B7B" w:rsidRDefault="00CD3152" w:rsidP="00CD3152">
      <w:pPr>
        <w:pStyle w:val="Caption"/>
        <w:tabs>
          <w:tab w:val="left" w:pos="567"/>
        </w:tabs>
        <w:jc w:val="both"/>
        <w:rPr>
          <w:b w:val="0"/>
          <w:bCs w:val="0"/>
          <w:sz w:val="24"/>
          <w:szCs w:val="24"/>
        </w:rPr>
      </w:pPr>
      <w:r>
        <w:rPr>
          <w:b w:val="0"/>
          <w:bCs w:val="0"/>
          <w:sz w:val="24"/>
          <w:szCs w:val="24"/>
        </w:rPr>
        <w:tab/>
      </w:r>
      <w:r w:rsidRPr="006E0160">
        <w:rPr>
          <w:b w:val="0"/>
          <w:bCs w:val="0"/>
          <w:sz w:val="24"/>
          <w:szCs w:val="24"/>
        </w:rPr>
        <w:t xml:space="preserve">Astfel, 34% dintre respondenții români </w:t>
      </w:r>
      <w:r>
        <w:rPr>
          <w:b w:val="0"/>
          <w:bCs w:val="0"/>
          <w:sz w:val="24"/>
          <w:szCs w:val="24"/>
        </w:rPr>
        <w:t xml:space="preserve">(n =1065) </w:t>
      </w:r>
      <w:r w:rsidRPr="006E0160">
        <w:rPr>
          <w:b w:val="0"/>
          <w:bCs w:val="0"/>
          <w:sz w:val="24"/>
          <w:szCs w:val="24"/>
        </w:rPr>
        <w:t xml:space="preserve">declară că fumează activ, comparativ cu 24% în media UE27, diferență care plasează România printre țările cu cele mai ridicate niveluri de consum de tutun tradițional, alături de Bulgaria (37%), Grecia (36%) și Croația </w:t>
      </w:r>
      <w:r w:rsidRPr="00511B7B">
        <w:rPr>
          <w:b w:val="0"/>
          <w:bCs w:val="0"/>
          <w:sz w:val="24"/>
          <w:szCs w:val="24"/>
        </w:rPr>
        <w:t>(35%)(</w:t>
      </w:r>
      <w:r w:rsidRPr="00511B7B">
        <w:rPr>
          <w:b w:val="0"/>
          <w:bCs w:val="0"/>
          <w:sz w:val="24"/>
          <w:szCs w:val="24"/>
        </w:rPr>
        <w:fldChar w:fldCharType="begin"/>
      </w:r>
      <w:r w:rsidRPr="00511B7B">
        <w:rPr>
          <w:b w:val="0"/>
          <w:bCs w:val="0"/>
          <w:sz w:val="24"/>
          <w:szCs w:val="24"/>
        </w:rPr>
        <w:instrText xml:space="preserve"> REF _Ref211247012 \h  \* MERGEFORMAT </w:instrText>
      </w:r>
      <w:r w:rsidRPr="00511B7B">
        <w:rPr>
          <w:b w:val="0"/>
          <w:bCs w:val="0"/>
          <w:sz w:val="24"/>
          <w:szCs w:val="24"/>
        </w:rPr>
      </w:r>
      <w:r w:rsidRPr="00511B7B">
        <w:rPr>
          <w:b w:val="0"/>
          <w:bCs w:val="0"/>
          <w:sz w:val="24"/>
          <w:szCs w:val="24"/>
        </w:rPr>
        <w:fldChar w:fldCharType="separate"/>
      </w:r>
      <w:r w:rsidRPr="00F23DA0">
        <w:rPr>
          <w:b w:val="0"/>
          <w:bCs w:val="0"/>
          <w:sz w:val="24"/>
          <w:szCs w:val="24"/>
        </w:rPr>
        <w:t xml:space="preserve">Figura </w:t>
      </w:r>
      <w:r w:rsidRPr="00F23DA0">
        <w:rPr>
          <w:b w:val="0"/>
          <w:bCs w:val="0"/>
          <w:noProof/>
          <w:sz w:val="24"/>
          <w:szCs w:val="24"/>
        </w:rPr>
        <w:t>I</w:t>
      </w:r>
      <w:r w:rsidRPr="00F23DA0">
        <w:rPr>
          <w:b w:val="0"/>
          <w:bCs w:val="0"/>
          <w:sz w:val="24"/>
          <w:szCs w:val="24"/>
        </w:rPr>
        <w:t>.</w:t>
      </w:r>
      <w:r w:rsidRPr="00F23DA0">
        <w:rPr>
          <w:b w:val="0"/>
          <w:bCs w:val="0"/>
          <w:noProof/>
          <w:sz w:val="24"/>
          <w:szCs w:val="24"/>
        </w:rPr>
        <w:t>22</w:t>
      </w:r>
      <w:r w:rsidRPr="00511B7B">
        <w:rPr>
          <w:b w:val="0"/>
          <w:bCs w:val="0"/>
          <w:sz w:val="24"/>
          <w:szCs w:val="24"/>
        </w:rPr>
        <w:fldChar w:fldCharType="end"/>
      </w:r>
      <w:r w:rsidRPr="00511B7B">
        <w:rPr>
          <w:b w:val="0"/>
          <w:bCs w:val="0"/>
          <w:sz w:val="24"/>
          <w:szCs w:val="24"/>
        </w:rPr>
        <w:t>).</w:t>
      </w:r>
    </w:p>
    <w:p w14:paraId="74FE3322" w14:textId="77777777" w:rsidR="00CD3152" w:rsidRPr="006E0160" w:rsidRDefault="00CD3152" w:rsidP="00CD3152">
      <w:pPr>
        <w:keepNext/>
        <w:jc w:val="center"/>
      </w:pPr>
      <w:r w:rsidRPr="006E0160">
        <w:rPr>
          <w:noProof/>
        </w:rPr>
        <w:lastRenderedPageBreak/>
        <w:drawing>
          <wp:inline distT="0" distB="0" distL="0" distR="0" wp14:anchorId="7D2F065D" wp14:editId="10141F90">
            <wp:extent cx="5040000" cy="2160000"/>
            <wp:effectExtent l="0" t="0" r="8255" b="12065"/>
            <wp:docPr id="1960377118" name="Chart 1">
              <a:extLst xmlns:a="http://schemas.openxmlformats.org/drawingml/2006/main">
                <a:ext uri="{FF2B5EF4-FFF2-40B4-BE49-F238E27FC236}">
                  <a16:creationId xmlns:a16="http://schemas.microsoft.com/office/drawing/2014/main" id="{BFFC7ED6-F27A-4B58-9BBE-024E7D4BF21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56FC8BB2" w14:textId="72BF4C53" w:rsidR="00CD3152" w:rsidRPr="006E0160" w:rsidRDefault="00CD3152" w:rsidP="00CD3152">
      <w:pPr>
        <w:pStyle w:val="Caption"/>
        <w:jc w:val="center"/>
      </w:pPr>
      <w:bookmarkStart w:id="26" w:name="_Ref211247012"/>
      <w:r w:rsidRPr="006E0160">
        <w:t xml:space="preserve">Figura </w:t>
      </w:r>
      <w:fldSimple w:instr=" STYLEREF 1 \s ">
        <w:r w:rsidR="0080370C">
          <w:rPr>
            <w:noProof/>
          </w:rPr>
          <w:t>I</w:t>
        </w:r>
      </w:fldSimple>
      <w:r w:rsidR="0080370C">
        <w:t>.</w:t>
      </w:r>
      <w:fldSimple w:instr=" SEQ Figura \* ARABIC \s 1 ">
        <w:r w:rsidR="0080370C">
          <w:rPr>
            <w:noProof/>
          </w:rPr>
          <w:t>21</w:t>
        </w:r>
      </w:fldSimple>
      <w:bookmarkEnd w:id="26"/>
      <w:r w:rsidRPr="006E0160">
        <w:t xml:space="preserve"> Frecvența fumatului curent de produse convenționale de tutun, Ro vs UE27, </w:t>
      </w:r>
    </w:p>
    <w:p w14:paraId="31881EAE" w14:textId="08EAEFF6" w:rsidR="00CD3152" w:rsidRPr="006E0160" w:rsidRDefault="00CD3152" w:rsidP="00CD3152">
      <w:pPr>
        <w:pStyle w:val="Caption"/>
        <w:jc w:val="center"/>
      </w:pPr>
      <w:r w:rsidRPr="006E0160">
        <w:t xml:space="preserve">Sursa: Special </w:t>
      </w:r>
      <w:r>
        <w:t>EB</w:t>
      </w:r>
      <w:r w:rsidRPr="006E0160">
        <w:t xml:space="preserve"> 539, 2023</w:t>
      </w:r>
      <w:r>
        <w:fldChar w:fldCharType="begin"/>
      </w:r>
      <w:r w:rsidR="00D4526D">
        <w:instrText xml:space="preserve"> ADDIN EN.CITE &lt;EndNote&gt;&lt;Cite&gt;&lt;Author&gt;EUROBAROMETER&lt;/Author&gt;&lt;Year&gt;2023&lt;/Year&gt;&lt;RecNum&gt;9132&lt;/RecNum&gt;&lt;DisplayText&gt;&lt;style size="10"&gt;[9]&lt;/style&gt;&lt;/DisplayText&gt;&lt;record&gt;&lt;rec-number&gt;9132&lt;/rec-number&gt;&lt;foreign-keys&gt;&lt;key app="EN" db-id="fw0prtesnvf55cepezbx255wwza5zw0ssatt" timestamp="1754271757" guid="ce388c17-feb1-4865-8264-0f284865f5e3"&gt;9132&lt;/key&gt;&lt;/foreign-keys&gt;&lt;ref-type name="Report"&gt;27&lt;/ref-type&gt;&lt;contributors&gt;&lt;authors&gt;&lt;author&gt;&lt;style face="normal" font="default" charset="238" size="100%"&gt;EUROBAROMETER&lt;/style&gt;&lt;/author&gt;&lt;/authors&gt;&lt;/contributors&gt;&lt;titles&gt;&lt;title&gt;&lt;style face="normal" font="default" charset="238" size="100%"&gt;Special Eurobarometer 539 -Attitudes of Europeans towards tobacco and related products &lt;/style&gt;&lt;/title&gt;&lt;secondary-title&gt;&lt;style face="normal" font="default" charset="238" size="100%"&gt;Special Eurobarometer&lt;/style&gt;&lt;/secondary-title&gt;&lt;/titles&gt;&lt;dates&gt;&lt;year&gt;&lt;style face="normal" font="default" charset="238" size="100%"&gt;2023&lt;/style&gt;&lt;/year&gt;&lt;/dates&gt;&lt;pub-location&gt;&lt;style face="normal" font="default" charset="238" size="100%"&gt;online&lt;/style&gt;&lt;/pub-location&gt;&lt;publisher&gt;&lt;style face="normal" font="default" charset="238" size="100%"&gt;European Union &lt;/style&gt;&lt;/publisher&gt;&lt;urls&gt;&lt;/urls&gt;&lt;/record&gt;&lt;/Cite&gt;&lt;/EndNote&gt;</w:instrText>
      </w:r>
      <w:r>
        <w:fldChar w:fldCharType="separate"/>
      </w:r>
      <w:r w:rsidR="00D4526D">
        <w:rPr>
          <w:noProof/>
        </w:rPr>
        <w:t>[9]</w:t>
      </w:r>
      <w:r>
        <w:fldChar w:fldCharType="end"/>
      </w:r>
    </w:p>
    <w:p w14:paraId="4E0DCC15" w14:textId="77777777" w:rsidR="00CD3152" w:rsidRDefault="00CD3152" w:rsidP="00CD3152">
      <w:pPr>
        <w:ind w:firstLine="708"/>
        <w:jc w:val="both"/>
      </w:pPr>
      <w:r w:rsidRPr="006E0160">
        <w:t>Analiza socio-demografică indică o prevalență crescută a fumatului curent de produse convenționale de tutun în rândul bărbaților din România (39%) față de femei (29%), ambele valori depășind considerabil media UE27 (</w:t>
      </w:r>
      <w:r>
        <w:t xml:space="preserve">de </w:t>
      </w:r>
      <w:r w:rsidRPr="006E0160">
        <w:t>28%, respectiv, 21%)</w:t>
      </w:r>
      <w:r>
        <w:t xml:space="preserve"> (</w:t>
      </w:r>
      <w:r>
        <w:fldChar w:fldCharType="begin"/>
      </w:r>
      <w:r>
        <w:instrText xml:space="preserve"> REF _Ref211313400 \h </w:instrText>
      </w:r>
      <w:r>
        <w:fldChar w:fldCharType="separate"/>
      </w:r>
      <w:r w:rsidRPr="006E0160">
        <w:t xml:space="preserve">Figura </w:t>
      </w:r>
      <w:r>
        <w:rPr>
          <w:noProof/>
        </w:rPr>
        <w:t>I</w:t>
      </w:r>
      <w:r>
        <w:t>.</w:t>
      </w:r>
      <w:r>
        <w:rPr>
          <w:noProof/>
        </w:rPr>
        <w:t>23</w:t>
      </w:r>
      <w:r>
        <w:fldChar w:fldCharType="end"/>
      </w:r>
      <w:r>
        <w:t>)</w:t>
      </w:r>
      <w:r w:rsidRPr="006E0160">
        <w:t xml:space="preserve">. </w:t>
      </w:r>
    </w:p>
    <w:p w14:paraId="025B176D" w14:textId="64EF8689" w:rsidR="00CD3152" w:rsidRDefault="00CD3152" w:rsidP="00CD3152">
      <w:pPr>
        <w:ind w:firstLine="708"/>
        <w:jc w:val="both"/>
      </w:pPr>
      <w:r w:rsidRPr="006E0160">
        <w:t>De asemenea, în România, grupa de vârstă 25–39 de ani înregistrează cea mai mare pondere de fumători activi (46% față de 32% în UE27), urmată de grupa de vârstă 40–54 de ani (42% comparativ cu 28% în UE27</w:t>
      </w:r>
      <w:r>
        <w:t>)(</w:t>
      </w:r>
      <w:r>
        <w:fldChar w:fldCharType="begin"/>
      </w:r>
      <w:r>
        <w:instrText xml:space="preserve"> REF _Ref211313448 \h </w:instrText>
      </w:r>
      <w:r>
        <w:fldChar w:fldCharType="separate"/>
      </w:r>
      <w:r w:rsidRPr="006E0160">
        <w:t xml:space="preserve">Figura </w:t>
      </w:r>
      <w:r>
        <w:rPr>
          <w:noProof/>
        </w:rPr>
        <w:t>I</w:t>
      </w:r>
      <w:r>
        <w:t>.</w:t>
      </w:r>
      <w:r>
        <w:rPr>
          <w:noProof/>
        </w:rPr>
        <w:t>24</w:t>
      </w:r>
      <w:r>
        <w:fldChar w:fldCharType="end"/>
      </w:r>
      <w:r w:rsidRPr="006E0160">
        <w:t>)</w:t>
      </w:r>
      <w:r w:rsidRPr="006E0160">
        <w:fldChar w:fldCharType="begin"/>
      </w:r>
      <w:r w:rsidR="00D4526D">
        <w:instrText xml:space="preserve"> ADDIN EN.CITE &lt;EndNote&gt;&lt;Cite&gt;&lt;Author&gt;EC&lt;/Author&gt;&lt;Year&gt;2024&lt;/Year&gt;&lt;RecNum&gt;9226&lt;/RecNum&gt;&lt;DisplayText&gt;&lt;style size="10"&gt;[8]&lt;/style&gt;&lt;/DisplayText&gt;&lt;record&gt;&lt;rec-number&gt;9226&lt;/rec-number&gt;&lt;foreign-keys&gt;&lt;key app="EN" db-id="fw0prtesnvf55cepezbx255wwza5zw0ssatt" timestamp="1759687849" guid="515556ee-9e18-4f0d-8b9e-67ec2c91a684"&gt;9226&lt;/key&gt;&lt;/foreign-keys&gt;&lt;ref-type name="Report"&gt;27&lt;/ref-type&gt;&lt;contributors&gt;&lt;authors&gt;&lt;author&gt;EC&lt;/author&gt;&lt;/authors&gt;&lt;secondary-authors&gt;&lt;author&gt;DG Sante&lt;/author&gt;&lt;/secondary-authors&gt;&lt;/contributors&gt;&lt;titles&gt;&lt;title&gt;Special Eurobarometer SP539: Attitudes of Europeans towards tobacco and related products&lt;/title&gt;&lt;secondary-title&gt;Special Eurobarometer &lt;/secondary-title&gt;&lt;/titles&gt;&lt;dates&gt;&lt;year&gt;2024&lt;/year&gt;&lt;/dates&gt;&lt;pub-location&gt;internet&lt;/pub-location&gt;&lt;label&gt;Special Eurobarometer SP539&lt;/label&gt;&lt;urls&gt;&lt;related-urls&gt;&lt;url&gt;https://europa.eu/eurobarometer/surveys/detail/2995&lt;/url&gt;&lt;/related-urls&gt;&lt;/urls&gt;&lt;electronic-resource-num&gt;10.2875/629307&lt;/electronic-resource-num&gt;&lt;/record&gt;&lt;/Cite&gt;&lt;/EndNote&gt;</w:instrText>
      </w:r>
      <w:r w:rsidRPr="006E0160">
        <w:fldChar w:fldCharType="separate"/>
      </w:r>
      <w:r w:rsidR="00D4526D" w:rsidRPr="00D4526D">
        <w:rPr>
          <w:noProof/>
          <w:sz w:val="20"/>
        </w:rPr>
        <w:t>[8]</w:t>
      </w:r>
      <w:r w:rsidRPr="006E0160">
        <w:fldChar w:fldCharType="end"/>
      </w:r>
      <w:r w:rsidRPr="006E0160">
        <w:t>.</w:t>
      </w:r>
    </w:p>
    <w:p w14:paraId="7B9E633F" w14:textId="77777777" w:rsidR="00CD3152" w:rsidRPr="006E0160" w:rsidRDefault="00CD3152" w:rsidP="00CD3152">
      <w:pPr>
        <w:ind w:firstLine="708"/>
        <w:jc w:val="both"/>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6"/>
        <w:gridCol w:w="4606"/>
      </w:tblGrid>
      <w:tr w:rsidR="00CD3152" w:rsidRPr="006E0160" w14:paraId="5085DCDF" w14:textId="77777777" w:rsidTr="00F032B4">
        <w:tc>
          <w:tcPr>
            <w:tcW w:w="4776" w:type="dxa"/>
          </w:tcPr>
          <w:p w14:paraId="06526001" w14:textId="77777777" w:rsidR="00CD3152" w:rsidRPr="006E0160" w:rsidRDefault="00CD3152" w:rsidP="00F032B4">
            <w:pPr>
              <w:keepNext/>
              <w:jc w:val="both"/>
            </w:pPr>
            <w:r w:rsidRPr="006E0160">
              <w:rPr>
                <w:noProof/>
              </w:rPr>
              <w:drawing>
                <wp:inline distT="0" distB="0" distL="0" distR="0" wp14:anchorId="6F0BA1DD" wp14:editId="2C4D9139">
                  <wp:extent cx="2880000" cy="2160000"/>
                  <wp:effectExtent l="0" t="0" r="15875" b="12065"/>
                  <wp:docPr id="1132131429" name="Chart 1">
                    <a:extLst xmlns:a="http://schemas.openxmlformats.org/drawingml/2006/main">
                      <a:ext uri="{FF2B5EF4-FFF2-40B4-BE49-F238E27FC236}">
                        <a16:creationId xmlns:a16="http://schemas.microsoft.com/office/drawing/2014/main" id="{6E483D1E-56EF-03DF-7337-1741866051D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2139B100" w14:textId="013942FD" w:rsidR="00CD3152" w:rsidRPr="006E0160" w:rsidRDefault="00CD3152" w:rsidP="00F032B4">
            <w:pPr>
              <w:pStyle w:val="Caption"/>
              <w:spacing w:line="240" w:lineRule="auto"/>
              <w:jc w:val="both"/>
            </w:pPr>
            <w:bookmarkStart w:id="27" w:name="_Ref211313400"/>
            <w:r w:rsidRPr="006E0160">
              <w:t xml:space="preserve">Figura </w:t>
            </w:r>
            <w:fldSimple w:instr=" STYLEREF 1 \s ">
              <w:r w:rsidR="0080370C">
                <w:rPr>
                  <w:noProof/>
                </w:rPr>
                <w:t>I</w:t>
              </w:r>
            </w:fldSimple>
            <w:r w:rsidR="0080370C">
              <w:t>.</w:t>
            </w:r>
            <w:fldSimple w:instr=" SEQ Figura \* ARABIC \s 1 ">
              <w:r w:rsidR="0080370C">
                <w:rPr>
                  <w:noProof/>
                </w:rPr>
                <w:t>22</w:t>
              </w:r>
            </w:fldSimple>
            <w:bookmarkEnd w:id="27"/>
            <w:r w:rsidRPr="006E0160">
              <w:t xml:space="preserve"> Frecvența fumatului curent de produse convenționale de tutun, Ro vs UE27, </w:t>
            </w:r>
            <w:r>
              <w:t>în funcție de gen</w:t>
            </w:r>
            <w:r w:rsidRPr="006E0160">
              <w:t xml:space="preserve">, Sursa: Special </w:t>
            </w:r>
            <w:r>
              <w:t>EB</w:t>
            </w:r>
            <w:r w:rsidRPr="006E0160">
              <w:t xml:space="preserve"> 539, 2023</w:t>
            </w:r>
            <w:r>
              <w:fldChar w:fldCharType="begin"/>
            </w:r>
            <w:r w:rsidR="00D4526D">
              <w:instrText xml:space="preserve"> ADDIN EN.CITE &lt;EndNote&gt;&lt;Cite&gt;&lt;Author&gt;EUROBAROMETER&lt;/Author&gt;&lt;Year&gt;2023&lt;/Year&gt;&lt;RecNum&gt;9132&lt;/RecNum&gt;&lt;DisplayText&gt;&lt;style size="10"&gt;[9]&lt;/style&gt;&lt;/DisplayText&gt;&lt;record&gt;&lt;rec-number&gt;9132&lt;/rec-number&gt;&lt;foreign-keys&gt;&lt;key app="EN" db-id="fw0prtesnvf55cepezbx255wwza5zw0ssatt" timestamp="1754271757" guid="ce388c17-feb1-4865-8264-0f284865f5e3"&gt;9132&lt;/key&gt;&lt;/foreign-keys&gt;&lt;ref-type name="Report"&gt;27&lt;/ref-type&gt;&lt;contributors&gt;&lt;authors&gt;&lt;author&gt;&lt;style face="normal" font="default" charset="238" size="100%"&gt;EUROBAROMETER&lt;/style&gt;&lt;/author&gt;&lt;/authors&gt;&lt;/contributors&gt;&lt;titles&gt;&lt;title&gt;&lt;style face="normal" font="default" charset="238" size="100%"&gt;Special Eurobarometer 539 -Attitudes of Europeans towards tobacco and related products &lt;/style&gt;&lt;/title&gt;&lt;secondary-title&gt;&lt;style face="normal" font="default" charset="238" size="100%"&gt;Special Eurobarometer&lt;/style&gt;&lt;/secondary-title&gt;&lt;/titles&gt;&lt;dates&gt;&lt;year&gt;&lt;style face="normal" font="default" charset="238" size="100%"&gt;2023&lt;/style&gt;&lt;/year&gt;&lt;/dates&gt;&lt;pub-location&gt;&lt;style face="normal" font="default" charset="238" size="100%"&gt;online&lt;/style&gt;&lt;/pub-location&gt;&lt;publisher&gt;&lt;style face="normal" font="default" charset="238" size="100%"&gt;European Union &lt;/style&gt;&lt;/publisher&gt;&lt;urls&gt;&lt;/urls&gt;&lt;/record&gt;&lt;/Cite&gt;&lt;/EndNote&gt;</w:instrText>
            </w:r>
            <w:r>
              <w:fldChar w:fldCharType="separate"/>
            </w:r>
            <w:r w:rsidR="00D4526D">
              <w:rPr>
                <w:noProof/>
              </w:rPr>
              <w:t>[9]</w:t>
            </w:r>
            <w:r>
              <w:fldChar w:fldCharType="end"/>
            </w:r>
          </w:p>
        </w:tc>
        <w:tc>
          <w:tcPr>
            <w:tcW w:w="4426" w:type="dxa"/>
          </w:tcPr>
          <w:p w14:paraId="3D480E0A" w14:textId="77777777" w:rsidR="00CD3152" w:rsidRPr="006E0160" w:rsidRDefault="00CD3152" w:rsidP="00F032B4">
            <w:pPr>
              <w:keepNext/>
              <w:jc w:val="both"/>
            </w:pPr>
            <w:r w:rsidRPr="006E0160">
              <w:rPr>
                <w:noProof/>
              </w:rPr>
              <w:drawing>
                <wp:inline distT="0" distB="0" distL="0" distR="0" wp14:anchorId="36C90DF3" wp14:editId="5A28FFBD">
                  <wp:extent cx="2880000" cy="2160000"/>
                  <wp:effectExtent l="0" t="0" r="15875" b="12065"/>
                  <wp:docPr id="928443766" name="Chart 1">
                    <a:extLst xmlns:a="http://schemas.openxmlformats.org/drawingml/2006/main">
                      <a:ext uri="{FF2B5EF4-FFF2-40B4-BE49-F238E27FC236}">
                        <a16:creationId xmlns:a16="http://schemas.microsoft.com/office/drawing/2014/main" id="{BE3042BC-67FF-825D-3C16-5D9AF153A71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104F6296" w14:textId="03DDCB07" w:rsidR="00CD3152" w:rsidRPr="006E0160" w:rsidRDefault="00CD3152" w:rsidP="00F032B4">
            <w:pPr>
              <w:pStyle w:val="Caption"/>
              <w:spacing w:line="240" w:lineRule="auto"/>
              <w:jc w:val="both"/>
            </w:pPr>
            <w:bookmarkStart w:id="28" w:name="_Ref211313448"/>
            <w:r w:rsidRPr="006E0160">
              <w:t xml:space="preserve">Figura </w:t>
            </w:r>
            <w:fldSimple w:instr=" STYLEREF 1 \s ">
              <w:r w:rsidR="0080370C">
                <w:rPr>
                  <w:noProof/>
                </w:rPr>
                <w:t>I</w:t>
              </w:r>
            </w:fldSimple>
            <w:r w:rsidR="0080370C">
              <w:t>.</w:t>
            </w:r>
            <w:fldSimple w:instr=" SEQ Figura \* ARABIC \s 1 ">
              <w:r w:rsidR="0080370C">
                <w:rPr>
                  <w:noProof/>
                </w:rPr>
                <w:t>23</w:t>
              </w:r>
            </w:fldSimple>
            <w:bookmarkEnd w:id="28"/>
            <w:r w:rsidRPr="006E0160">
              <w:t xml:space="preserve"> Frecvența fumatului curent de produse convenționale de tutun, Ro vs UE27, pe grupe de vârstă, Sursa: Special </w:t>
            </w:r>
            <w:r>
              <w:t>EB</w:t>
            </w:r>
            <w:r w:rsidRPr="006E0160">
              <w:t xml:space="preserve"> 539, 2023</w:t>
            </w:r>
            <w:r>
              <w:fldChar w:fldCharType="begin"/>
            </w:r>
            <w:r w:rsidR="00D4526D">
              <w:instrText xml:space="preserve"> ADDIN EN.CITE &lt;EndNote&gt;&lt;Cite&gt;&lt;Author&gt;EUROBAROMETER&lt;/Author&gt;&lt;Year&gt;2023&lt;/Year&gt;&lt;RecNum&gt;9132&lt;/RecNum&gt;&lt;DisplayText&gt;&lt;style size="10"&gt;[9]&lt;/style&gt;&lt;/DisplayText&gt;&lt;record&gt;&lt;rec-number&gt;9132&lt;/rec-number&gt;&lt;foreign-keys&gt;&lt;key app="EN" db-id="fw0prtesnvf55cepezbx255wwza5zw0ssatt" timestamp="1754271757" guid="ce388c17-feb1-4865-8264-0f284865f5e3"&gt;9132&lt;/key&gt;&lt;/foreign-keys&gt;&lt;ref-type name="Report"&gt;27&lt;/ref-type&gt;&lt;contributors&gt;&lt;authors&gt;&lt;author&gt;&lt;style face="normal" font="default" charset="238" size="100%"&gt;EUROBAROMETER&lt;/style&gt;&lt;/author&gt;&lt;/authors&gt;&lt;/contributors&gt;&lt;titles&gt;&lt;title&gt;&lt;style face="normal" font="default" charset="238" size="100%"&gt;Special Eurobarometer 539 -Attitudes of Europeans towards tobacco and related products &lt;/style&gt;&lt;/title&gt;&lt;secondary-title&gt;&lt;style face="normal" font="default" charset="238" size="100%"&gt;Special Eurobarometer&lt;/style&gt;&lt;/secondary-title&gt;&lt;/titles&gt;&lt;dates&gt;&lt;year&gt;&lt;style face="normal" font="default" charset="238" size="100%"&gt;2023&lt;/style&gt;&lt;/year&gt;&lt;/dates&gt;&lt;pub-location&gt;&lt;style face="normal" font="default" charset="238" size="100%"&gt;online&lt;/style&gt;&lt;/pub-location&gt;&lt;publisher&gt;&lt;style face="normal" font="default" charset="238" size="100%"&gt;European Union &lt;/style&gt;&lt;/publisher&gt;&lt;urls&gt;&lt;/urls&gt;&lt;/record&gt;&lt;/Cite&gt;&lt;/EndNote&gt;</w:instrText>
            </w:r>
            <w:r>
              <w:fldChar w:fldCharType="separate"/>
            </w:r>
            <w:r w:rsidR="00D4526D">
              <w:rPr>
                <w:noProof/>
              </w:rPr>
              <w:t>[9]</w:t>
            </w:r>
            <w:r>
              <w:fldChar w:fldCharType="end"/>
            </w:r>
          </w:p>
        </w:tc>
      </w:tr>
    </w:tbl>
    <w:p w14:paraId="3A7742AF" w14:textId="77777777" w:rsidR="00CD3152" w:rsidRPr="006E0160" w:rsidRDefault="00CD3152" w:rsidP="00CD3152">
      <w:pPr>
        <w:ind w:firstLine="708"/>
        <w:jc w:val="both"/>
      </w:pPr>
    </w:p>
    <w:p w14:paraId="0C460E17" w14:textId="7AC43B64" w:rsidR="00CD3152" w:rsidRDefault="00CD3152" w:rsidP="00CD3152">
      <w:pPr>
        <w:ind w:firstLine="708"/>
        <w:jc w:val="both"/>
      </w:pPr>
      <w:r w:rsidRPr="006E0160">
        <w:t>Astfel, România se evidențiază printr-o prevalență a fumatului curent de produse convenționale de tutun superioară mediei europene</w:t>
      </w:r>
      <w:r>
        <w:t xml:space="preserve"> UE27</w:t>
      </w:r>
      <w:r w:rsidRPr="006E0160">
        <w:t>, o rată redusă de renunțare la fumat (8% față de 20% în UE27) și o diferență de gen mai accentuată decât în majoritatea statelor membre</w:t>
      </w:r>
      <w:r>
        <w:t>(</w:t>
      </w:r>
      <w:r>
        <w:fldChar w:fldCharType="begin"/>
      </w:r>
      <w:r>
        <w:instrText xml:space="preserve"> REF _Ref211247012 \h </w:instrText>
      </w:r>
      <w:r>
        <w:fldChar w:fldCharType="separate"/>
      </w:r>
      <w:r w:rsidRPr="006E0160">
        <w:t xml:space="preserve">Figura </w:t>
      </w:r>
      <w:r>
        <w:rPr>
          <w:noProof/>
        </w:rPr>
        <w:t>I</w:t>
      </w:r>
      <w:r>
        <w:t>.</w:t>
      </w:r>
      <w:r>
        <w:rPr>
          <w:noProof/>
        </w:rPr>
        <w:t>22</w:t>
      </w:r>
      <w:r>
        <w:fldChar w:fldCharType="end"/>
      </w:r>
      <w:r>
        <w:t xml:space="preserve">, </w:t>
      </w:r>
      <w:r>
        <w:fldChar w:fldCharType="begin"/>
      </w:r>
      <w:r>
        <w:instrText xml:space="preserve"> REF _Ref211313400 \h </w:instrText>
      </w:r>
      <w:r>
        <w:fldChar w:fldCharType="separate"/>
      </w:r>
      <w:r w:rsidRPr="006E0160">
        <w:t xml:space="preserve">Figura </w:t>
      </w:r>
      <w:r>
        <w:rPr>
          <w:noProof/>
        </w:rPr>
        <w:t>I</w:t>
      </w:r>
      <w:r>
        <w:t>.</w:t>
      </w:r>
      <w:r>
        <w:rPr>
          <w:noProof/>
        </w:rPr>
        <w:t>23</w:t>
      </w:r>
      <w:r>
        <w:fldChar w:fldCharType="end"/>
      </w:r>
      <w:r>
        <w:t xml:space="preserve">) </w:t>
      </w:r>
      <w:r w:rsidRPr="006E0160">
        <w:fldChar w:fldCharType="begin"/>
      </w:r>
      <w:r w:rsidR="00D4526D">
        <w:instrText xml:space="preserve"> ADDIN EN.CITE &lt;EndNote&gt;&lt;Cite&gt;&lt;Author&gt;EC&lt;/Author&gt;&lt;Year&gt;2024&lt;/Year&gt;&lt;RecNum&gt;9226&lt;/RecNum&gt;&lt;DisplayText&gt;&lt;style size="10"&gt;[8]&lt;/style&gt;&lt;/DisplayText&gt;&lt;record&gt;&lt;rec-number&gt;9226&lt;/rec-number&gt;&lt;foreign-keys&gt;&lt;key app="EN" db-id="fw0prtesnvf55cepezbx255wwza5zw0ssatt" timestamp="1759687849" guid="515556ee-9e18-4f0d-8b9e-67ec2c91a684"&gt;9226&lt;/key&gt;&lt;/foreign-keys&gt;&lt;ref-type name="Report"&gt;27&lt;/ref-type&gt;&lt;contributors&gt;&lt;authors&gt;&lt;author&gt;EC&lt;/author&gt;&lt;/authors&gt;&lt;secondary-authors&gt;&lt;author&gt;DG Sante&lt;/author&gt;&lt;/secondary-authors&gt;&lt;/contributors&gt;&lt;titles&gt;&lt;title&gt;Special Eurobarometer SP539: Attitudes of Europeans towards tobacco and related products&lt;/title&gt;&lt;secondary-title&gt;Special Eurobarometer &lt;/secondary-title&gt;&lt;/titles&gt;&lt;dates&gt;&lt;year&gt;2024&lt;/year&gt;&lt;/dates&gt;&lt;pub-location&gt;internet&lt;/pub-location&gt;&lt;label&gt;Special Eurobarometer SP539&lt;/label&gt;&lt;urls&gt;&lt;related-urls&gt;&lt;url&gt;https://europa.eu/eurobarometer/surveys/detail/2995&lt;/url&gt;&lt;/related-urls&gt;&lt;/urls&gt;&lt;electronic-resource-num&gt;10.2875/629307&lt;/electronic-resource-num&gt;&lt;/record&gt;&lt;/Cite&gt;&lt;/EndNote&gt;</w:instrText>
      </w:r>
      <w:r w:rsidRPr="006E0160">
        <w:fldChar w:fldCharType="separate"/>
      </w:r>
      <w:r w:rsidR="00D4526D" w:rsidRPr="00D4526D">
        <w:rPr>
          <w:noProof/>
          <w:sz w:val="20"/>
        </w:rPr>
        <w:t>[8]</w:t>
      </w:r>
      <w:r w:rsidRPr="006E0160">
        <w:fldChar w:fldCharType="end"/>
      </w:r>
      <w:r w:rsidRPr="006E0160">
        <w:t>.</w:t>
      </w:r>
    </w:p>
    <w:p w14:paraId="76974C03" w14:textId="6F8DED16" w:rsidR="00CD3152" w:rsidRDefault="00CD3152" w:rsidP="00CD3152">
      <w:pPr>
        <w:ind w:firstLine="708"/>
        <w:jc w:val="both"/>
      </w:pPr>
      <w:r w:rsidRPr="009A249C">
        <w:t>În România, 42% dintre cei care fumătorii care folosesc tutun convențional declară că fumează între 11-20 de țigări/zi, iar 28% între 6-10 țigări/zi, în timp ce la nivelul UE27, dintre respondenții care obișnuiesc să fumeze în mod regulat (cel puțin în fiecare săptămână), aproape patru din zece (38%) consumau 11 - 20 țigări/zi, și aproximativ unul din patru (26%) fuma 6 - 10 țigări/zi</w:t>
      </w:r>
      <w:r w:rsidRPr="009A249C">
        <w:fldChar w:fldCharType="begin"/>
      </w:r>
      <w:r w:rsidR="00D4526D">
        <w:instrText xml:space="preserve"> ADDIN EN.CITE &lt;EndNote&gt;&lt;Cite&gt;&lt;Author&gt;EC&lt;/Author&gt;&lt;Year&gt;2024&lt;/Year&gt;&lt;RecNum&gt;9226&lt;/RecNum&gt;&lt;DisplayText&gt;&lt;style size="10"&gt;[8]&lt;/style&gt;&lt;/DisplayText&gt;&lt;record&gt;&lt;rec-number&gt;9226&lt;/rec-number&gt;&lt;foreign-keys&gt;&lt;key app="EN" db-id="fw0prtesnvf55cepezbx255wwza5zw0ssatt" timestamp="1759687849" guid="515556ee-9e18-4f0d-8b9e-67ec2c91a684"&gt;9226&lt;/key&gt;&lt;/foreign-keys&gt;&lt;ref-type name="Report"&gt;27&lt;/ref-type&gt;&lt;contributors&gt;&lt;authors&gt;&lt;author&gt;EC&lt;/author&gt;&lt;/authors&gt;&lt;secondary-authors&gt;&lt;author&gt;DG Sante&lt;/author&gt;&lt;/secondary-authors&gt;&lt;/contributors&gt;&lt;titles&gt;&lt;title&gt;Special Eurobarometer SP539: Attitudes of Europeans towards tobacco and related products&lt;/title&gt;&lt;secondary-title&gt;Special Eurobarometer &lt;/secondary-title&gt;&lt;/titles&gt;&lt;dates&gt;&lt;year&gt;2024&lt;/year&gt;&lt;/dates&gt;&lt;pub-location&gt;internet&lt;/pub-location&gt;&lt;label&gt;Special Eurobarometer SP539&lt;/label&gt;&lt;urls&gt;&lt;related-urls&gt;&lt;url&gt;https://europa.eu/eurobarometer/surveys/detail/2995&lt;/url&gt;&lt;/related-urls&gt;&lt;/urls&gt;&lt;electronic-resource-num&gt;10.2875/629307&lt;/electronic-resource-num&gt;&lt;/record&gt;&lt;/Cite&gt;&lt;/EndNote&gt;</w:instrText>
      </w:r>
      <w:r w:rsidRPr="009A249C">
        <w:fldChar w:fldCharType="separate"/>
      </w:r>
      <w:r w:rsidR="00D4526D" w:rsidRPr="00D4526D">
        <w:rPr>
          <w:noProof/>
          <w:sz w:val="20"/>
        </w:rPr>
        <w:t>[8]</w:t>
      </w:r>
      <w:r w:rsidRPr="009A249C">
        <w:fldChar w:fldCharType="end"/>
      </w:r>
      <w:r w:rsidRPr="009A249C">
        <w:t>.</w:t>
      </w:r>
    </w:p>
    <w:p w14:paraId="28C46A07" w14:textId="77777777" w:rsidR="00CD3152" w:rsidRDefault="00CD3152" w:rsidP="00CD3152">
      <w:pPr>
        <w:ind w:firstLine="708"/>
        <w:jc w:val="both"/>
      </w:pPr>
    </w:p>
    <w:p w14:paraId="4E20F598" w14:textId="77777777" w:rsidR="00F36806" w:rsidRDefault="00F36806" w:rsidP="00CD3152">
      <w:pPr>
        <w:ind w:firstLine="708"/>
        <w:jc w:val="both"/>
      </w:pPr>
    </w:p>
    <w:p w14:paraId="79F776A1" w14:textId="77777777" w:rsidR="00F36806" w:rsidRDefault="00F36806" w:rsidP="00CD3152">
      <w:pPr>
        <w:ind w:firstLine="708"/>
        <w:jc w:val="both"/>
      </w:pPr>
    </w:p>
    <w:p w14:paraId="1224696F" w14:textId="77777777" w:rsidR="00CD3152" w:rsidRDefault="00CD3152" w:rsidP="00A62A7C">
      <w:pPr>
        <w:pStyle w:val="ListParagraph"/>
        <w:numPr>
          <w:ilvl w:val="0"/>
          <w:numId w:val="10"/>
        </w:numPr>
        <w:tabs>
          <w:tab w:val="left" w:pos="567"/>
        </w:tabs>
        <w:spacing w:line="319" w:lineRule="auto"/>
        <w:ind w:left="0" w:firstLine="0"/>
        <w:jc w:val="both"/>
        <w:rPr>
          <w:i/>
          <w:iCs/>
        </w:rPr>
      </w:pPr>
      <w:r w:rsidRPr="00C909D2">
        <w:rPr>
          <w:i/>
          <w:iCs/>
        </w:rPr>
        <w:t>Frecvența de utilizarea a țigărilor electronice și a produselor de tutun încălzit (</w:t>
      </w:r>
      <w:r>
        <w:rPr>
          <w:i/>
          <w:iCs/>
        </w:rPr>
        <w:t>Special EB</w:t>
      </w:r>
      <w:r w:rsidRPr="00C909D2">
        <w:rPr>
          <w:i/>
          <w:iCs/>
        </w:rPr>
        <w:t xml:space="preserve"> 539</w:t>
      </w:r>
      <w:r>
        <w:rPr>
          <w:i/>
          <w:iCs/>
        </w:rPr>
        <w:t>, anul 2023</w:t>
      </w:r>
      <w:r w:rsidRPr="00C909D2">
        <w:rPr>
          <w:i/>
          <w:iCs/>
        </w:rPr>
        <w:t>)</w:t>
      </w:r>
    </w:p>
    <w:p w14:paraId="19ED8777" w14:textId="77777777" w:rsidR="00CD3152" w:rsidRPr="006E0160" w:rsidRDefault="00CD3152" w:rsidP="00CD3152">
      <w:pPr>
        <w:keepNext/>
        <w:jc w:val="center"/>
      </w:pPr>
      <w:r w:rsidRPr="006E0160">
        <w:rPr>
          <w:noProof/>
        </w:rPr>
        <w:drawing>
          <wp:inline distT="0" distB="0" distL="0" distR="0" wp14:anchorId="71E7D50B" wp14:editId="65E4E99A">
            <wp:extent cx="5040000" cy="2520000"/>
            <wp:effectExtent l="0" t="0" r="8255" b="13970"/>
            <wp:docPr id="605420565" name="Chart 1">
              <a:extLst xmlns:a="http://schemas.openxmlformats.org/drawingml/2006/main">
                <a:ext uri="{FF2B5EF4-FFF2-40B4-BE49-F238E27FC236}">
                  <a16:creationId xmlns:a16="http://schemas.microsoft.com/office/drawing/2014/main" id="{03841634-4BFB-A86A-F252-D3B45E28529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4872A64A" w14:textId="0D7A064C" w:rsidR="00CD3152" w:rsidRPr="006E0160" w:rsidRDefault="00CD3152" w:rsidP="00CD3152">
      <w:pPr>
        <w:pStyle w:val="Caption"/>
        <w:jc w:val="center"/>
      </w:pPr>
      <w:bookmarkStart w:id="29" w:name="_Ref211314777"/>
      <w:r w:rsidRPr="006E0160">
        <w:t xml:space="preserve">Figura </w:t>
      </w:r>
      <w:fldSimple w:instr=" STYLEREF 1 \s ">
        <w:r w:rsidR="0080370C">
          <w:rPr>
            <w:noProof/>
          </w:rPr>
          <w:t>I</w:t>
        </w:r>
      </w:fldSimple>
      <w:r w:rsidR="0080370C">
        <w:t>.</w:t>
      </w:r>
      <w:fldSimple w:instr=" SEQ Figura \* ARABIC \s 1 ">
        <w:r w:rsidR="0080370C">
          <w:rPr>
            <w:noProof/>
          </w:rPr>
          <w:t>24</w:t>
        </w:r>
      </w:fldSimple>
      <w:bookmarkEnd w:id="29"/>
      <w:r w:rsidRPr="006E0160">
        <w:t xml:space="preserve"> Frecvența de utilizare a țigărilor electronice, Ro vs UE27,  </w:t>
      </w:r>
    </w:p>
    <w:p w14:paraId="7162385A" w14:textId="60DC0AFB" w:rsidR="00CD3152" w:rsidRPr="006E0160" w:rsidRDefault="00CD3152" w:rsidP="00CD3152">
      <w:pPr>
        <w:pStyle w:val="Caption"/>
        <w:jc w:val="center"/>
      </w:pPr>
      <w:r w:rsidRPr="006E0160">
        <w:t xml:space="preserve">Sursa: Special </w:t>
      </w:r>
      <w:r>
        <w:t>EB</w:t>
      </w:r>
      <w:r w:rsidRPr="006E0160">
        <w:t xml:space="preserve"> 539, 2023</w:t>
      </w:r>
      <w:r>
        <w:fldChar w:fldCharType="begin"/>
      </w:r>
      <w:r w:rsidR="00D4526D">
        <w:instrText xml:space="preserve"> ADDIN EN.CITE &lt;EndNote&gt;&lt;Cite&gt;&lt;Author&gt;EUROBAROMETER&lt;/Author&gt;&lt;Year&gt;2023&lt;/Year&gt;&lt;RecNum&gt;9132&lt;/RecNum&gt;&lt;DisplayText&gt;&lt;style size="10"&gt;[9]&lt;/style&gt;&lt;/DisplayText&gt;&lt;record&gt;&lt;rec-number&gt;9132&lt;/rec-number&gt;&lt;foreign-keys&gt;&lt;key app="EN" db-id="fw0prtesnvf55cepezbx255wwza5zw0ssatt" timestamp="1754271757" guid="ce388c17-feb1-4865-8264-0f284865f5e3"&gt;9132&lt;/key&gt;&lt;/foreign-keys&gt;&lt;ref-type name="Report"&gt;27&lt;/ref-type&gt;&lt;contributors&gt;&lt;authors&gt;&lt;author&gt;&lt;style face="normal" font="default" charset="238" size="100%"&gt;EUROBAROMETER&lt;/style&gt;&lt;/author&gt;&lt;/authors&gt;&lt;/contributors&gt;&lt;titles&gt;&lt;title&gt;&lt;style face="normal" font="default" charset="238" size="100%"&gt;Special Eurobarometer 539 -Attitudes of Europeans towards tobacco and related products &lt;/style&gt;&lt;/title&gt;&lt;secondary-title&gt;&lt;style face="normal" font="default" charset="238" size="100%"&gt;Special Eurobarometer&lt;/style&gt;&lt;/secondary-title&gt;&lt;/titles&gt;&lt;dates&gt;&lt;year&gt;&lt;style face="normal" font="default" charset="238" size="100%"&gt;2023&lt;/style&gt;&lt;/year&gt;&lt;/dates&gt;&lt;pub-location&gt;&lt;style face="normal" font="default" charset="238" size="100%"&gt;online&lt;/style&gt;&lt;/pub-location&gt;&lt;publisher&gt;&lt;style face="normal" font="default" charset="238" size="100%"&gt;European Union &lt;/style&gt;&lt;/publisher&gt;&lt;urls&gt;&lt;/urls&gt;&lt;/record&gt;&lt;/Cite&gt;&lt;/EndNote&gt;</w:instrText>
      </w:r>
      <w:r>
        <w:fldChar w:fldCharType="separate"/>
      </w:r>
      <w:r w:rsidR="00D4526D">
        <w:rPr>
          <w:noProof/>
        </w:rPr>
        <w:t>[9]</w:t>
      </w:r>
      <w:r>
        <w:fldChar w:fldCharType="end"/>
      </w:r>
    </w:p>
    <w:p w14:paraId="6018BBDF" w14:textId="6E3E695C" w:rsidR="00CD3152" w:rsidRPr="006E0160" w:rsidRDefault="00CD3152" w:rsidP="00CD3152">
      <w:pPr>
        <w:ind w:firstLine="708"/>
        <w:jc w:val="both"/>
      </w:pPr>
      <w:r>
        <w:t>În ceea ce privește frecvența de u</w:t>
      </w:r>
      <w:r w:rsidRPr="006E0160">
        <w:t>tilizare</w:t>
      </w:r>
      <w:r>
        <w:t xml:space="preserve"> </w:t>
      </w:r>
      <w:r w:rsidRPr="006E0160">
        <w:t>a țigărilor electronice</w:t>
      </w:r>
      <w:r>
        <w:t>, aceasta</w:t>
      </w:r>
      <w:r w:rsidRPr="006E0160">
        <w:t xml:space="preserve"> este ușor mai scăzută în România, unde 1% dintre respondenți sunt utilizatori activi, față de 3% în media UE, iar 93% dintre respondenții din România afirmă că nu au încercat niciodată acest tip de produs, comparativ cu 85% dintre europeni</w:t>
      </w:r>
      <w:r>
        <w:t xml:space="preserve"> (</w:t>
      </w:r>
      <w:r>
        <w:fldChar w:fldCharType="begin"/>
      </w:r>
      <w:r>
        <w:instrText xml:space="preserve"> REF _Ref211314777 \h </w:instrText>
      </w:r>
      <w:r>
        <w:fldChar w:fldCharType="separate"/>
      </w:r>
      <w:r w:rsidRPr="006E0160">
        <w:t xml:space="preserve">Figura </w:t>
      </w:r>
      <w:r>
        <w:rPr>
          <w:noProof/>
        </w:rPr>
        <w:t>I</w:t>
      </w:r>
      <w:r>
        <w:t>.</w:t>
      </w:r>
      <w:r>
        <w:rPr>
          <w:noProof/>
        </w:rPr>
        <w:t>25</w:t>
      </w:r>
      <w:r>
        <w:fldChar w:fldCharType="end"/>
      </w:r>
      <w:r>
        <w:t>)</w:t>
      </w:r>
      <w:r w:rsidRPr="006E0160">
        <w:fldChar w:fldCharType="begin"/>
      </w:r>
      <w:r w:rsidR="00D4526D">
        <w:instrText xml:space="preserve"> ADDIN EN.CITE &lt;EndNote&gt;&lt;Cite&gt;&lt;Author&gt;EC&lt;/Author&gt;&lt;Year&gt;2024&lt;/Year&gt;&lt;RecNum&gt;9226&lt;/RecNum&gt;&lt;DisplayText&gt;&lt;style size="10"&gt;[8]&lt;/style&gt;&lt;/DisplayText&gt;&lt;record&gt;&lt;rec-number&gt;9226&lt;/rec-number&gt;&lt;foreign-keys&gt;&lt;key app="EN" db-id="fw0prtesnvf55cepezbx255wwza5zw0ssatt" timestamp="1759687849" guid="515556ee-9e18-4f0d-8b9e-67ec2c91a684"&gt;9226&lt;/key&gt;&lt;/foreign-keys&gt;&lt;ref-type name="Report"&gt;27&lt;/ref-type&gt;&lt;contributors&gt;&lt;authors&gt;&lt;author&gt;EC&lt;/author&gt;&lt;/authors&gt;&lt;secondary-authors&gt;&lt;author&gt;DG Sante&lt;/author&gt;&lt;/secondary-authors&gt;&lt;/contributors&gt;&lt;titles&gt;&lt;title&gt;Special Eurobarometer SP539: Attitudes of Europeans towards tobacco and related products&lt;/title&gt;&lt;secondary-title&gt;Special Eurobarometer &lt;/secondary-title&gt;&lt;/titles&gt;&lt;dates&gt;&lt;year&gt;2024&lt;/year&gt;&lt;/dates&gt;&lt;pub-location&gt;internet&lt;/pub-location&gt;&lt;label&gt;Special Eurobarometer SP539&lt;/label&gt;&lt;urls&gt;&lt;related-urls&gt;&lt;url&gt;https://europa.eu/eurobarometer/surveys/detail/2995&lt;/url&gt;&lt;/related-urls&gt;&lt;/urls&gt;&lt;electronic-resource-num&gt;10.2875/629307&lt;/electronic-resource-num&gt;&lt;/record&gt;&lt;/Cite&gt;&lt;/EndNote&gt;</w:instrText>
      </w:r>
      <w:r w:rsidRPr="006E0160">
        <w:fldChar w:fldCharType="separate"/>
      </w:r>
      <w:r w:rsidR="00D4526D" w:rsidRPr="00D4526D">
        <w:rPr>
          <w:noProof/>
          <w:sz w:val="20"/>
        </w:rPr>
        <w:t>[8]</w:t>
      </w:r>
      <w:r w:rsidRPr="006E0160">
        <w:fldChar w:fldCharType="end"/>
      </w:r>
      <w:r>
        <w:t>.</w:t>
      </w:r>
    </w:p>
    <w:p w14:paraId="2FEC387F" w14:textId="77777777" w:rsidR="00CD3152" w:rsidRPr="006E0160" w:rsidRDefault="00CD3152" w:rsidP="00CD3152">
      <w:pPr>
        <w:keepNext/>
        <w:ind w:firstLine="708"/>
        <w:jc w:val="center"/>
      </w:pPr>
      <w:r w:rsidRPr="006E0160">
        <w:rPr>
          <w:noProof/>
        </w:rPr>
        <w:drawing>
          <wp:inline distT="0" distB="0" distL="0" distR="0" wp14:anchorId="19E29449" wp14:editId="245F781B">
            <wp:extent cx="5040000" cy="2520000"/>
            <wp:effectExtent l="0" t="0" r="8255" b="13970"/>
            <wp:docPr id="286482663" name="Chart 1">
              <a:extLst xmlns:a="http://schemas.openxmlformats.org/drawingml/2006/main">
                <a:ext uri="{FF2B5EF4-FFF2-40B4-BE49-F238E27FC236}">
                  <a16:creationId xmlns:a16="http://schemas.microsoft.com/office/drawing/2014/main" id="{7AEDFF31-4611-457C-ACA4-CF40FC69FDD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14403BDA" w14:textId="22212810" w:rsidR="00CD3152" w:rsidRPr="006E0160" w:rsidRDefault="00CD3152" w:rsidP="00CD3152">
      <w:pPr>
        <w:pStyle w:val="Caption"/>
        <w:jc w:val="center"/>
      </w:pPr>
      <w:bookmarkStart w:id="30" w:name="_Ref211314880"/>
      <w:r w:rsidRPr="006E0160">
        <w:t xml:space="preserve">Figura </w:t>
      </w:r>
      <w:fldSimple w:instr=" STYLEREF 1 \s ">
        <w:r w:rsidR="0080370C">
          <w:rPr>
            <w:noProof/>
          </w:rPr>
          <w:t>I</w:t>
        </w:r>
      </w:fldSimple>
      <w:r w:rsidR="0080370C">
        <w:t>.</w:t>
      </w:r>
      <w:fldSimple w:instr=" SEQ Figura \* ARABIC \s 1 ">
        <w:r w:rsidR="0080370C">
          <w:rPr>
            <w:noProof/>
          </w:rPr>
          <w:t>25</w:t>
        </w:r>
      </w:fldSimple>
      <w:bookmarkEnd w:id="30"/>
      <w:r w:rsidRPr="006E0160">
        <w:t xml:space="preserve"> Frecvența de utilizare a</w:t>
      </w:r>
      <w:r w:rsidRPr="000550D6">
        <w:t xml:space="preserve"> produselor din tutun încălzit</w:t>
      </w:r>
      <w:r w:rsidRPr="006E0160">
        <w:t xml:space="preserve"> HTP</w:t>
      </w:r>
      <w:r>
        <w:t>s</w:t>
      </w:r>
      <w:r w:rsidRPr="006E0160">
        <w:t xml:space="preserve">, Ro vs UE27,  </w:t>
      </w:r>
    </w:p>
    <w:p w14:paraId="7F44DA41" w14:textId="60B2EFE4" w:rsidR="00CD3152" w:rsidRDefault="00CD3152" w:rsidP="00CD3152">
      <w:pPr>
        <w:pStyle w:val="Caption"/>
        <w:jc w:val="center"/>
      </w:pPr>
      <w:r w:rsidRPr="006E0160">
        <w:t xml:space="preserve">Sursa: Special </w:t>
      </w:r>
      <w:r>
        <w:t>EB</w:t>
      </w:r>
      <w:r w:rsidRPr="006E0160">
        <w:t xml:space="preserve"> 539, 2023</w:t>
      </w:r>
      <w:r>
        <w:fldChar w:fldCharType="begin"/>
      </w:r>
      <w:r w:rsidR="00D4526D">
        <w:instrText xml:space="preserve"> ADDIN EN.CITE &lt;EndNote&gt;&lt;Cite&gt;&lt;Author&gt;EUROBAROMETER&lt;/Author&gt;&lt;Year&gt;2023&lt;/Year&gt;&lt;RecNum&gt;9132&lt;/RecNum&gt;&lt;DisplayText&gt;&lt;style size="10"&gt;[9]&lt;/style&gt;&lt;/DisplayText&gt;&lt;record&gt;&lt;rec-number&gt;9132&lt;/rec-number&gt;&lt;foreign-keys&gt;&lt;key app="EN" db-id="fw0prtesnvf55cepezbx255wwza5zw0ssatt" timestamp="1754271757" guid="ce388c17-feb1-4865-8264-0f284865f5e3"&gt;9132&lt;/key&gt;&lt;/foreign-keys&gt;&lt;ref-type name="Report"&gt;27&lt;/ref-type&gt;&lt;contributors&gt;&lt;authors&gt;&lt;author&gt;&lt;style face="normal" font="default" charset="238" size="100%"&gt;EUROBAROMETER&lt;/style&gt;&lt;/author&gt;&lt;/authors&gt;&lt;/contributors&gt;&lt;titles&gt;&lt;title&gt;&lt;style face="normal" font="default" charset="238" size="100%"&gt;Special Eurobarometer 539 -Attitudes of Europeans towards tobacco and related products &lt;/style&gt;&lt;/title&gt;&lt;secondary-title&gt;&lt;style face="normal" font="default" charset="238" size="100%"&gt;Special Eurobarometer&lt;/style&gt;&lt;/secondary-title&gt;&lt;/titles&gt;&lt;dates&gt;&lt;year&gt;&lt;style face="normal" font="default" charset="238" size="100%"&gt;2023&lt;/style&gt;&lt;/year&gt;&lt;/dates&gt;&lt;pub-location&gt;&lt;style face="normal" font="default" charset="238" size="100%"&gt;online&lt;/style&gt;&lt;/pub-location&gt;&lt;publisher&gt;&lt;style face="normal" font="default" charset="238" size="100%"&gt;European Union &lt;/style&gt;&lt;/publisher&gt;&lt;urls&gt;&lt;/urls&gt;&lt;/record&gt;&lt;/Cite&gt;&lt;/EndNote&gt;</w:instrText>
      </w:r>
      <w:r>
        <w:fldChar w:fldCharType="separate"/>
      </w:r>
      <w:r w:rsidR="00D4526D">
        <w:rPr>
          <w:noProof/>
        </w:rPr>
        <w:t>[9]</w:t>
      </w:r>
      <w:r>
        <w:fldChar w:fldCharType="end"/>
      </w:r>
    </w:p>
    <w:p w14:paraId="0F75FB6F" w14:textId="32E99C4A" w:rsidR="00CD3152" w:rsidRDefault="00CD3152" w:rsidP="00CD3152">
      <w:pPr>
        <w:pStyle w:val="Caption"/>
        <w:ind w:firstLine="708"/>
        <w:jc w:val="both"/>
        <w:rPr>
          <w:b w:val="0"/>
          <w:bCs w:val="0"/>
          <w:sz w:val="24"/>
          <w:szCs w:val="22"/>
        </w:rPr>
      </w:pPr>
      <w:r w:rsidRPr="006156A0">
        <w:rPr>
          <w:b w:val="0"/>
          <w:bCs w:val="0"/>
          <w:sz w:val="24"/>
          <w:szCs w:val="22"/>
        </w:rPr>
        <w:t>În privința produselor din tutun încălzit (HTP), România înregistrează 2% utilizatori curenți și 3% care le-au încercat o dată sau de două ori, valori concordante cu media europeană  (2% și respectiv 4</w:t>
      </w:r>
      <w:r w:rsidRPr="000550D6">
        <w:rPr>
          <w:b w:val="0"/>
          <w:bCs w:val="0"/>
          <w:sz w:val="24"/>
          <w:szCs w:val="24"/>
        </w:rPr>
        <w:t>%)(</w:t>
      </w:r>
      <w:r w:rsidRPr="000550D6">
        <w:rPr>
          <w:b w:val="0"/>
          <w:bCs w:val="0"/>
          <w:sz w:val="24"/>
          <w:szCs w:val="24"/>
        </w:rPr>
        <w:fldChar w:fldCharType="begin"/>
      </w:r>
      <w:r w:rsidRPr="000550D6">
        <w:rPr>
          <w:b w:val="0"/>
          <w:bCs w:val="0"/>
          <w:sz w:val="24"/>
          <w:szCs w:val="24"/>
        </w:rPr>
        <w:instrText xml:space="preserve"> REF _Ref211314880 \h  \* MERGEFORMAT </w:instrText>
      </w:r>
      <w:r w:rsidRPr="000550D6">
        <w:rPr>
          <w:b w:val="0"/>
          <w:bCs w:val="0"/>
          <w:sz w:val="24"/>
          <w:szCs w:val="24"/>
        </w:rPr>
      </w:r>
      <w:r w:rsidRPr="000550D6">
        <w:rPr>
          <w:b w:val="0"/>
          <w:bCs w:val="0"/>
          <w:sz w:val="24"/>
          <w:szCs w:val="24"/>
        </w:rPr>
        <w:fldChar w:fldCharType="separate"/>
      </w:r>
      <w:r w:rsidRPr="00F23DA0">
        <w:rPr>
          <w:b w:val="0"/>
          <w:bCs w:val="0"/>
          <w:sz w:val="24"/>
          <w:szCs w:val="24"/>
        </w:rPr>
        <w:t xml:space="preserve">Figura </w:t>
      </w:r>
      <w:r w:rsidRPr="00F23DA0">
        <w:rPr>
          <w:b w:val="0"/>
          <w:bCs w:val="0"/>
          <w:noProof/>
          <w:sz w:val="24"/>
          <w:szCs w:val="24"/>
        </w:rPr>
        <w:t>I</w:t>
      </w:r>
      <w:r w:rsidRPr="00F23DA0">
        <w:rPr>
          <w:b w:val="0"/>
          <w:bCs w:val="0"/>
          <w:sz w:val="24"/>
          <w:szCs w:val="24"/>
        </w:rPr>
        <w:t>.</w:t>
      </w:r>
      <w:r w:rsidRPr="00F23DA0">
        <w:rPr>
          <w:b w:val="0"/>
          <w:bCs w:val="0"/>
          <w:noProof/>
          <w:sz w:val="24"/>
          <w:szCs w:val="24"/>
        </w:rPr>
        <w:t>26</w:t>
      </w:r>
      <w:r w:rsidRPr="000550D6">
        <w:rPr>
          <w:b w:val="0"/>
          <w:bCs w:val="0"/>
          <w:sz w:val="24"/>
          <w:szCs w:val="24"/>
        </w:rPr>
        <w:fldChar w:fldCharType="end"/>
      </w:r>
      <w:r w:rsidRPr="000550D6">
        <w:rPr>
          <w:b w:val="0"/>
          <w:bCs w:val="0"/>
          <w:sz w:val="24"/>
          <w:szCs w:val="24"/>
        </w:rPr>
        <w:t>)</w:t>
      </w:r>
      <w:r w:rsidRPr="000550D6">
        <w:rPr>
          <w:b w:val="0"/>
          <w:bCs w:val="0"/>
          <w:sz w:val="24"/>
          <w:szCs w:val="24"/>
        </w:rPr>
        <w:fldChar w:fldCharType="begin"/>
      </w:r>
      <w:r w:rsidR="00D4526D">
        <w:rPr>
          <w:b w:val="0"/>
          <w:bCs w:val="0"/>
          <w:sz w:val="24"/>
          <w:szCs w:val="24"/>
        </w:rPr>
        <w:instrText xml:space="preserve"> ADDIN EN.CITE &lt;EndNote&gt;&lt;Cite&gt;&lt;Author&gt;EC&lt;/Author&gt;&lt;Year&gt;2024&lt;/Year&gt;&lt;RecNum&gt;9226&lt;/RecNum&gt;&lt;DisplayText&gt;&lt;style size="10"&gt;[8]&lt;/style&gt;&lt;/DisplayText&gt;&lt;record&gt;&lt;rec-number&gt;9226&lt;/rec-number&gt;&lt;foreign-keys&gt;&lt;key app="EN" db-id="fw0prtesnvf55cepezbx255wwza5zw0ssatt" timestamp="1759687849" guid="515556ee-9e18-4f0d-8b9e-67ec2c91a684"&gt;9226&lt;/key&gt;&lt;/foreign-keys&gt;&lt;ref-type name="Report"&gt;27&lt;/ref-type&gt;&lt;contributors&gt;&lt;authors&gt;&lt;author&gt;EC&lt;/author&gt;&lt;/authors&gt;&lt;secondary-authors&gt;&lt;author&gt;DG Sante&lt;/author&gt;&lt;/secondary-authors&gt;&lt;/contributors&gt;&lt;titles&gt;&lt;title&gt;Special Eurobarometer SP539: Attitudes of Europeans towards tobacco and related products&lt;/title&gt;&lt;secondary-title&gt;Special Eurobarometer &lt;/secondary-title&gt;&lt;/titles&gt;&lt;dates&gt;&lt;year&gt;2024&lt;/year&gt;&lt;/dates&gt;&lt;pub-location&gt;internet&lt;/pub-location&gt;&lt;label&gt;Special Eurobarometer SP539&lt;/label&gt;&lt;urls&gt;&lt;related-urls&gt;&lt;url&gt;https://europa.eu/eurobarometer/surveys/detail/2995&lt;/url&gt;&lt;/related-urls&gt;&lt;/urls&gt;&lt;electronic-resource-num&gt;10.2875/629307&lt;/electronic-resource-num&gt;&lt;/record&gt;&lt;/Cite&gt;&lt;/EndNote&gt;</w:instrText>
      </w:r>
      <w:r w:rsidRPr="000550D6">
        <w:rPr>
          <w:b w:val="0"/>
          <w:bCs w:val="0"/>
          <w:sz w:val="24"/>
          <w:szCs w:val="24"/>
        </w:rPr>
        <w:fldChar w:fldCharType="separate"/>
      </w:r>
      <w:r w:rsidR="00D4526D" w:rsidRPr="00D4526D">
        <w:rPr>
          <w:b w:val="0"/>
          <w:bCs w:val="0"/>
          <w:noProof/>
          <w:szCs w:val="24"/>
        </w:rPr>
        <w:t>[8]</w:t>
      </w:r>
      <w:r w:rsidRPr="000550D6">
        <w:rPr>
          <w:b w:val="0"/>
          <w:bCs w:val="0"/>
          <w:sz w:val="24"/>
          <w:szCs w:val="24"/>
        </w:rPr>
        <w:fldChar w:fldCharType="end"/>
      </w:r>
      <w:r w:rsidRPr="006156A0">
        <w:rPr>
          <w:b w:val="0"/>
          <w:bCs w:val="0"/>
          <w:sz w:val="24"/>
          <w:szCs w:val="22"/>
        </w:rPr>
        <w:t>.</w:t>
      </w:r>
    </w:p>
    <w:p w14:paraId="45F3A3FB" w14:textId="77777777" w:rsidR="00721E66" w:rsidRDefault="00721E66" w:rsidP="00721E66"/>
    <w:p w14:paraId="628C6F67" w14:textId="77777777" w:rsidR="00721E66" w:rsidRDefault="00721E66" w:rsidP="00721E66"/>
    <w:p w14:paraId="08018F4A" w14:textId="77777777" w:rsidR="00721E66" w:rsidRPr="00721E66" w:rsidRDefault="00721E66" w:rsidP="00721E66"/>
    <w:p w14:paraId="67612F60" w14:textId="73BD9668" w:rsidR="00721E66" w:rsidRDefault="00721E66" w:rsidP="00721E66">
      <w:pPr>
        <w:pStyle w:val="Heading3"/>
      </w:pPr>
      <w:bookmarkStart w:id="31" w:name="_Toc232660556"/>
      <w:r>
        <w:lastRenderedPageBreak/>
        <w:t>Concluzii privind prevalența consumului de produse de tutun la adulți</w:t>
      </w:r>
      <w:bookmarkEnd w:id="31"/>
    </w:p>
    <w:p w14:paraId="5AE6F91A" w14:textId="77777777" w:rsidR="00721E66" w:rsidRDefault="00721E66" w:rsidP="00721E66">
      <w:pPr>
        <w:jc w:val="both"/>
      </w:pPr>
      <w:r>
        <w:t>1.</w:t>
      </w:r>
      <w:r>
        <w:tab/>
        <w:t>Epidemia consumului de tutun continuă și astăzi să reprezinte o provocare majoră pentru sănătatea publică, nu doar la nivel european, dar și la nivel global, astfel  consumului activ și pasiv de tutun fiindu-i atribuite numeroase decese, prevalență crescută în rândul tinerilor și a adulților, și poate cel mai important, impactul semnificativ asupra mortalității prin boli netransmisibile. Aceste aspecte subliniind importanța implementării unor politici de sănătate publică eficiente și a unor intervenții țintite, menite să reducă inițierea acestui obicei și totodată să sprijine procesul de renunțare la fumat în toate categoriile populaționale.</w:t>
      </w:r>
    </w:p>
    <w:p w14:paraId="69EF3A47" w14:textId="77777777" w:rsidR="00721E66" w:rsidRDefault="00721E66" w:rsidP="00721E66">
      <w:pPr>
        <w:jc w:val="both"/>
      </w:pPr>
      <w:r>
        <w:t>2.</w:t>
      </w:r>
      <w:r>
        <w:tab/>
        <w:t>Datele prezentate arată că fumatul rămâne un comportament frecvent întâlnit în România, acesta afectând 26,8% din populația cu vârsta de peste 15 ani, prevalența cea mai ridicată fiind identificată la persoanele cu vârste cuprinse între 25 și 54 de ani, precum și în rândul persoanelor cu studii medii și superioare. Majoritatea fumătorilor consumând între 10 și 19 țigări pe zi, bărbații depășind chiar 20 de țigări zilnic.</w:t>
      </w:r>
    </w:p>
    <w:p w14:paraId="199B9BD9" w14:textId="77777777" w:rsidR="00721E66" w:rsidRDefault="00721E66" w:rsidP="00721E66">
      <w:pPr>
        <w:jc w:val="both"/>
      </w:pPr>
      <w:r>
        <w:t>3.</w:t>
      </w:r>
      <w:r>
        <w:tab/>
        <w:t>Utilizarea țigărilor electronice și a dispozitivelor de vapat rămâne relativ redusă în România, comparativ cu media europeană, fiind predominant ocazională și mai frecvent întâlnită în rândul bărbaților, al adulților tineri și al populației din mediul urban. Cu toate că prevalența utilizării acestor produse alternative este inferioară cele înregistrate în majoritatea statelor europene, consumul de tutun convențional rămâne o problemă serioasă de sănătate publică.</w:t>
      </w:r>
    </w:p>
    <w:p w14:paraId="11F27C88" w14:textId="01B69673" w:rsidR="00721E66" w:rsidRPr="00721E66" w:rsidRDefault="00721E66" w:rsidP="00721E66">
      <w:pPr>
        <w:jc w:val="both"/>
      </w:pPr>
      <w:r>
        <w:t>4.</w:t>
      </w:r>
      <w:r>
        <w:tab/>
        <w:t>România se situează peste media UE în ceea ce privește prevalența fumatului zilnic, în special în rândul bărbaților și al grupului de vârstă cuprins între 25-54 de ani, în timp ce rata de renunțare la fumat este considerabil  mai redusă decât media UE.</w:t>
      </w:r>
    </w:p>
    <w:p w14:paraId="37B535ED" w14:textId="57983139" w:rsidR="00CD3152" w:rsidRPr="006156A0" w:rsidRDefault="00CD3152" w:rsidP="00CD3152">
      <w:pPr>
        <w:pStyle w:val="Caption"/>
        <w:rPr>
          <w:b w:val="0"/>
          <w:bCs w:val="0"/>
          <w:sz w:val="24"/>
          <w:szCs w:val="22"/>
        </w:rPr>
      </w:pPr>
      <w:r w:rsidRPr="006156A0">
        <w:rPr>
          <w:b w:val="0"/>
          <w:bCs w:val="0"/>
          <w:sz w:val="24"/>
          <w:szCs w:val="22"/>
        </w:rPr>
        <w:tab/>
      </w:r>
      <w:r w:rsidRPr="006156A0">
        <w:rPr>
          <w:b w:val="0"/>
          <w:bCs w:val="0"/>
          <w:sz w:val="24"/>
          <w:szCs w:val="22"/>
        </w:rPr>
        <w:tab/>
      </w:r>
      <w:r w:rsidRPr="006156A0">
        <w:rPr>
          <w:b w:val="0"/>
          <w:bCs w:val="0"/>
          <w:sz w:val="24"/>
          <w:szCs w:val="22"/>
        </w:rPr>
        <w:tab/>
      </w:r>
      <w:r w:rsidRPr="006156A0">
        <w:rPr>
          <w:b w:val="0"/>
          <w:bCs w:val="0"/>
          <w:sz w:val="24"/>
          <w:szCs w:val="22"/>
        </w:rPr>
        <w:tab/>
      </w:r>
      <w:r w:rsidRPr="006156A0">
        <w:rPr>
          <w:b w:val="0"/>
          <w:bCs w:val="0"/>
          <w:sz w:val="24"/>
          <w:szCs w:val="22"/>
        </w:rPr>
        <w:tab/>
      </w:r>
      <w:r w:rsidRPr="006156A0">
        <w:rPr>
          <w:b w:val="0"/>
          <w:bCs w:val="0"/>
          <w:sz w:val="24"/>
          <w:szCs w:val="22"/>
        </w:rPr>
        <w:tab/>
      </w:r>
      <w:r w:rsidRPr="006156A0">
        <w:rPr>
          <w:b w:val="0"/>
          <w:bCs w:val="0"/>
          <w:sz w:val="24"/>
          <w:szCs w:val="22"/>
        </w:rPr>
        <w:tab/>
      </w:r>
      <w:r w:rsidRPr="006156A0">
        <w:rPr>
          <w:b w:val="0"/>
          <w:bCs w:val="0"/>
          <w:sz w:val="24"/>
          <w:szCs w:val="22"/>
        </w:rPr>
        <w:tab/>
      </w:r>
      <w:r w:rsidRPr="006156A0">
        <w:rPr>
          <w:b w:val="0"/>
          <w:bCs w:val="0"/>
          <w:sz w:val="24"/>
          <w:szCs w:val="22"/>
        </w:rPr>
        <w:tab/>
        <w:t xml:space="preserve"> </w:t>
      </w:r>
      <w:r w:rsidRPr="006156A0">
        <w:rPr>
          <w:b w:val="0"/>
          <w:bCs w:val="0"/>
          <w:sz w:val="24"/>
          <w:szCs w:val="22"/>
        </w:rPr>
        <w:tab/>
      </w:r>
      <w:r w:rsidRPr="006156A0">
        <w:rPr>
          <w:b w:val="0"/>
          <w:bCs w:val="0"/>
          <w:sz w:val="24"/>
          <w:szCs w:val="22"/>
        </w:rPr>
        <w:tab/>
      </w:r>
    </w:p>
    <w:p w14:paraId="3DE2A6BB" w14:textId="0561E834" w:rsidR="00CD3152" w:rsidRDefault="00CD3152" w:rsidP="00CD3152">
      <w:pPr>
        <w:pStyle w:val="Heading2"/>
      </w:pPr>
      <w:bookmarkStart w:id="32" w:name="_Toc232660557"/>
      <w:r w:rsidRPr="006E0160">
        <w:t>Prevalența fumatului la adolescenți</w:t>
      </w:r>
      <w:bookmarkEnd w:id="32"/>
      <w:r w:rsidRPr="006E0160">
        <w:t xml:space="preserve"> </w:t>
      </w:r>
    </w:p>
    <w:p w14:paraId="3B232169" w14:textId="77777777" w:rsidR="00CD3152" w:rsidRPr="00EC1D76" w:rsidRDefault="00CD3152" w:rsidP="009E3553">
      <w:pPr>
        <w:pStyle w:val="Heading3"/>
      </w:pPr>
      <w:bookmarkStart w:id="33" w:name="_Toc232660558"/>
      <w:r w:rsidRPr="00EC1D76">
        <w:t>Prevalența consumului de produse de tutun la adolescenții cu vârsta 11-15 ani (HBSC 2021/2022)</w:t>
      </w:r>
      <w:bookmarkEnd w:id="33"/>
    </w:p>
    <w:p w14:paraId="4DC58BF1" w14:textId="77777777" w:rsidR="00CD3152" w:rsidRDefault="00CD3152" w:rsidP="00CD3152">
      <w:pPr>
        <w:ind w:firstLine="708"/>
        <w:jc w:val="both"/>
      </w:pPr>
      <w:r w:rsidRPr="00527968">
        <w:t>Adolescența este o perioadă de experimentare, uneori legată de participarea</w:t>
      </w:r>
      <w:r>
        <w:t xml:space="preserve"> </w:t>
      </w:r>
      <w:r w:rsidRPr="00527968">
        <w:t>la comportamente dăunătoare sănătății, inclusiv consumul de tutun</w:t>
      </w:r>
      <w:r>
        <w:t>, de alcool</w:t>
      </w:r>
      <w:r w:rsidRPr="00527968">
        <w:t xml:space="preserve"> și consumul de droguri ilicite. Fumatul în copilărie și adolescență are consecințe imediate și pe termen lung asupra sănătății, crescând </w:t>
      </w:r>
      <w:r w:rsidRPr="000E420D">
        <w:t xml:space="preserve">pe termen scurt </w:t>
      </w:r>
      <w:r w:rsidRPr="00527968">
        <w:t>riscu</w:t>
      </w:r>
      <w:r>
        <w:t>l</w:t>
      </w:r>
      <w:r w:rsidRPr="00527968">
        <w:t xml:space="preserve"> de boli respiratorii</w:t>
      </w:r>
      <w:r>
        <w:t>,</w:t>
      </w:r>
      <w:r w:rsidRPr="00527968">
        <w:t xml:space="preserve"> precum astmul</w:t>
      </w:r>
      <w:r>
        <w:t>,</w:t>
      </w:r>
      <w:r w:rsidRPr="00527968">
        <w:t xml:space="preserve"> și</w:t>
      </w:r>
      <w:r>
        <w:t>,</w:t>
      </w:r>
      <w:r w:rsidRPr="00D9665E">
        <w:t xml:space="preserve"> pe termen lung</w:t>
      </w:r>
      <w:r>
        <w:t>,</w:t>
      </w:r>
      <w:r w:rsidRPr="00527968">
        <w:t xml:space="preserve"> riscu</w:t>
      </w:r>
      <w:r>
        <w:t>l</w:t>
      </w:r>
      <w:r w:rsidRPr="00527968">
        <w:t xml:space="preserve"> de boli cardiovasculare, </w:t>
      </w:r>
      <w:r>
        <w:t xml:space="preserve">alte </w:t>
      </w:r>
      <w:r w:rsidRPr="00527968">
        <w:t xml:space="preserve">boli respiratorii </w:t>
      </w:r>
      <w:r>
        <w:t xml:space="preserve">cronice </w:t>
      </w:r>
      <w:r w:rsidRPr="00527968">
        <w:t>și cancer.</w:t>
      </w:r>
    </w:p>
    <w:p w14:paraId="2E966B60" w14:textId="77777777" w:rsidR="00CD3152" w:rsidRPr="00A24F0E" w:rsidRDefault="00CD3152" w:rsidP="00CD3152">
      <w:pPr>
        <w:pStyle w:val="Heading3"/>
      </w:pPr>
      <w:bookmarkStart w:id="34" w:name="_Toc232660559"/>
      <w:r>
        <w:t>Prevalența consumului de produse de tutun convențional la a</w:t>
      </w:r>
      <w:r w:rsidRPr="00A24F0E">
        <w:t>dolescenți</w:t>
      </w:r>
      <w:r>
        <w:t>i cu vârsta</w:t>
      </w:r>
      <w:r w:rsidRPr="00A24F0E">
        <w:t xml:space="preserve"> 11-15 ani (HBSC 2021/2022)</w:t>
      </w:r>
      <w:bookmarkEnd w:id="34"/>
    </w:p>
    <w:p w14:paraId="5BA21F02" w14:textId="77777777" w:rsidR="00CD3152" w:rsidRDefault="00CD3152" w:rsidP="00CD3152">
      <w:pPr>
        <w:ind w:firstLine="708"/>
        <w:jc w:val="both"/>
      </w:pPr>
      <w:r w:rsidRPr="006E0160">
        <w:t>Până în anul 2021, în Regiunea Europeană a OMS, aproximativ 10,8% dintre adolescenții cu vârste cuprinse între 13 și 15 ani consumau tutun, ceea ce corespunde unui număr estimativ de circa 4 milioane de tineri</w:t>
      </w:r>
      <w:r>
        <w:fldChar w:fldCharType="begin"/>
      </w:r>
      <w:r>
        <w:instrText xml:space="preserve"> ADDIN EN.CITE &lt;EndNote&gt;&lt;Cite&gt;&lt;Author&gt;WHO&lt;/Author&gt;&lt;Year&gt;2025&lt;/Year&gt;&lt;RecNum&gt;9164&lt;/RecNum&gt;&lt;DisplayText&gt;&lt;style size="10"&gt;[1]&lt;/style&gt;&lt;/DisplayText&gt;&lt;record&gt;&lt;rec-number&gt;9164&lt;/rec-number&gt;&lt;foreign-keys&gt;&lt;key app="EN" db-id="fw0prtesnvf55cepezbx255wwza5zw0ssatt" timestamp="1754337538" guid="9259fa9f-663f-4ed9-933e-21e2993be56b"&gt;9164&lt;/key&gt;&lt;/foreign-keys&gt;&lt;ref-type name="Web Page"&gt;12&lt;/ref-type&gt;&lt;contributors&gt;&lt;authors&gt;&lt;author&gt;WHO&lt;/author&gt;&lt;/authors&gt;&lt;/contributors&gt;&lt;titles&gt;&lt;title&gt;Regional Office for Europe - Status of tobacco use in the Region&lt;/title&gt;&lt;/titles&gt;&lt;volume&gt;2025&lt;/volume&gt;&lt;number&gt;28th July&lt;/number&gt;&lt;dates&gt;&lt;year&gt;2025&lt;/year&gt;&lt;/dates&gt;&lt;urls&gt;&lt;related-urls&gt;&lt;url&gt;https://www.who.int/europe/news-room/fact-sheets/item/tobacco&lt;/url&gt;&lt;/related-urls&gt;&lt;/urls&gt;&lt;/record&gt;&lt;/Cite&gt;&lt;/EndNote&gt;</w:instrText>
      </w:r>
      <w:r>
        <w:fldChar w:fldCharType="separate"/>
      </w:r>
      <w:r w:rsidRPr="000E527C">
        <w:rPr>
          <w:noProof/>
          <w:sz w:val="20"/>
        </w:rPr>
        <w:t>[1]</w:t>
      </w:r>
      <w:r>
        <w:fldChar w:fldCharType="end"/>
      </w:r>
      <w:r w:rsidRPr="006E0160">
        <w:t xml:space="preserve">. </w:t>
      </w:r>
    </w:p>
    <w:p w14:paraId="758C8776" w14:textId="6DFFB2CB" w:rsidR="00CD3152" w:rsidRDefault="00CD3152" w:rsidP="00CD3152">
      <w:pPr>
        <w:ind w:firstLine="708"/>
        <w:jc w:val="both"/>
      </w:pPr>
      <w:r>
        <w:t>Conform</w:t>
      </w:r>
      <w:r w:rsidRPr="008A1C58">
        <w:t xml:space="preserve"> </w:t>
      </w:r>
      <w:r>
        <w:t xml:space="preserve">celui mai recent </w:t>
      </w:r>
      <w:r w:rsidRPr="008A1C58">
        <w:t xml:space="preserve">sondaj </w:t>
      </w:r>
      <w:r w:rsidRPr="008A1C58">
        <w:rPr>
          <w:b/>
          <w:bCs/>
          <w:i/>
          <w:iCs/>
        </w:rPr>
        <w:t>Health Behaviour in School-age Children 2021/2022 (HBSC</w:t>
      </w:r>
      <w:r>
        <w:rPr>
          <w:b/>
          <w:bCs/>
          <w:i/>
          <w:iCs/>
        </w:rPr>
        <w:t xml:space="preserve"> 2021/2022</w:t>
      </w:r>
      <w:r w:rsidRPr="008A1C58">
        <w:rPr>
          <w:b/>
          <w:bCs/>
          <w:i/>
          <w:iCs/>
        </w:rPr>
        <w:t>)</w:t>
      </w:r>
      <w:r w:rsidRPr="00961905">
        <w:rPr>
          <w:i/>
          <w:iCs/>
        </w:rPr>
        <w:fldChar w:fldCharType="begin"/>
      </w:r>
      <w:r w:rsidR="00D4526D">
        <w:rPr>
          <w:i/>
          <w:iCs/>
        </w:rPr>
        <w:instrText xml:space="preserve"> ADDIN EN.CITE &lt;EndNote&gt;&lt;Cite&gt;&lt;Author&gt;HBSC&lt;/Author&gt;&lt;Year&gt;2023&lt;/Year&gt;&lt;RecNum&gt;9229&lt;/RecNum&gt;&lt;DisplayText&gt;&lt;style size="10"&gt;[10]&lt;/style&gt;&lt;/DisplayText&gt;&lt;record&gt;&lt;rec-number&gt;9229&lt;/rec-number&gt;&lt;foreign-keys&gt;&lt;key app="EN" db-id="fw0prtesnvf55cepezbx255wwza5zw0ssatt" timestamp="1759767168" guid="9ace9bd7-5edd-411a-967b-224c7220ad46"&gt;9229&lt;/key&gt;&lt;/foreign-keys&gt;&lt;ref-type name="Web Page"&gt;12&lt;/ref-type&gt;&lt;contributors&gt;&lt;authors&gt;&lt;author&gt;&lt;style face="normal" font="default" charset="238" size="100%"&gt;HBSC&lt;/style&gt;&lt;/author&gt;&lt;/authors&gt;&lt;/contributors&gt;&lt;titles&gt;&lt;title&gt;Health Behaviour in School-aged Children study (2023), Data browser (findings from the 2021/22 international HBSC survey)&lt;/title&gt;&lt;/titles&gt;&lt;volume&gt;&lt;style face="normal" font="default" charset="238" size="100%"&gt;2025&lt;/style&gt;&lt;/volume&gt;&lt;number&gt;&lt;style face="normal" font="default" charset="238" size="100%"&gt;september&lt;/style&gt;&lt;/number&gt;&lt;dates&gt;&lt;year&gt;&lt;style face="normal" font="default" charset="238" size="100%"&gt;2023&lt;/style&gt;&lt;/year&gt;&lt;/dates&gt;&lt;pub-location&gt;&lt;style face="normal" font="default" charset="238" size="100%"&gt;internet&lt;/style&gt;&lt;/pub-location&gt;&lt;publisher&gt;&lt;style face="normal" font="default" charset="238" size="100%"&gt;HBSC&lt;/style&gt;&lt;/publisher&gt;&lt;urls&gt;&lt;related-urls&gt;&lt;url&gt;https://data-browser.hbsc.org.&lt;/url&gt;&lt;/related-urls&gt;&lt;/urls&gt;&lt;/record&gt;&lt;/Cite&gt;&lt;/EndNote&gt;</w:instrText>
      </w:r>
      <w:r w:rsidRPr="00961905">
        <w:rPr>
          <w:i/>
          <w:iCs/>
        </w:rPr>
        <w:fldChar w:fldCharType="separate"/>
      </w:r>
      <w:r w:rsidR="00D4526D" w:rsidRPr="00D4526D">
        <w:rPr>
          <w:i/>
          <w:iCs/>
          <w:noProof/>
          <w:sz w:val="20"/>
        </w:rPr>
        <w:t>[10]</w:t>
      </w:r>
      <w:r w:rsidRPr="00961905">
        <w:rPr>
          <w:i/>
          <w:iCs/>
        </w:rPr>
        <w:fldChar w:fldCharType="end"/>
      </w:r>
      <w:r w:rsidRPr="008A1C58">
        <w:rPr>
          <w:b/>
          <w:bCs/>
          <w:i/>
          <w:iCs/>
        </w:rPr>
        <w:t>,</w:t>
      </w:r>
      <w:r w:rsidRPr="008A1C58">
        <w:t xml:space="preserve"> care a colectat </w:t>
      </w:r>
      <w:r>
        <w:t xml:space="preserve">date </w:t>
      </w:r>
      <w:r w:rsidRPr="008A1C58">
        <w:t xml:space="preserve">privind consumul de substanțe în rândul copiilor și adolescenților </w:t>
      </w:r>
      <w:r w:rsidRPr="008A1C58">
        <w:lastRenderedPageBreak/>
        <w:t>cu vârste de 11, 13 și 15 ani în țările UE și în alte câteva țări</w:t>
      </w:r>
      <w:r>
        <w:t>,</w:t>
      </w:r>
      <w:r w:rsidRPr="002D12A7">
        <w:t xml:space="preserve"> </w:t>
      </w:r>
      <w:r>
        <w:t>se</w:t>
      </w:r>
      <w:r w:rsidRPr="002D12A7">
        <w:t xml:space="preserve"> evidențiază diferențe semnificative între România și media internațională HBSC în ceea ce privește frecvența fumatului în rândul adolescenților </w:t>
      </w:r>
      <w:r>
        <w:t>din acest interval de vârstă</w:t>
      </w:r>
      <w:r w:rsidRPr="002D12A7">
        <w:t>.</w:t>
      </w:r>
    </w:p>
    <w:p w14:paraId="2B359DC0" w14:textId="21007E4B" w:rsidR="00CD3152" w:rsidRDefault="00CD3152" w:rsidP="00CD3152">
      <w:pPr>
        <w:ind w:firstLine="708"/>
        <w:jc w:val="both"/>
      </w:pPr>
      <w:r>
        <w:t>În general, 13% dintre băieți și fete au raportat că au fumat țigări în timpul vieții lor și 8% în ultimele 30 de zile. Prevalența consumului atât pe parcursul vieții, cât și în ultimele 30 de zile a crescut semnificativ odată cu vârsta pentru băieți și fete în aproape toate țările și regiunile.</w:t>
      </w:r>
      <w:r>
        <w:fldChar w:fldCharType="begin"/>
      </w:r>
      <w:r w:rsidR="00D4526D">
        <w:instrText xml:space="preserve"> ADDIN EN.CITE &lt;EndNote&gt;&lt;Cite&gt;&lt;Author&gt;Charrier L&lt;/Author&gt;&lt;Year&gt;2024&lt;/Year&gt;&lt;RecNum&gt;9212&lt;/RecNum&gt;&lt;DisplayText&gt;&lt;style size="10"&gt;[11]&lt;/style&gt;&lt;/DisplayText&gt;&lt;record&gt;&lt;rec-number&gt;9212&lt;/rec-number&gt;&lt;foreign-keys&gt;&lt;key app="EN" db-id="fw0prtesnvf55cepezbx255wwza5zw0ssatt" timestamp="1754623316" guid="08fcea1a-d692-4bf7-ab34-7b79dad66771"&gt;9212&lt;/key&gt;&lt;/foreign-keys&gt;&lt;ref-type name="Report"&gt;27&lt;/ref-type&gt;&lt;contributors&gt;&lt;authors&gt;&lt;author&gt;Charrier L, &lt;/author&gt;&lt;author&gt;van Dorsselaer S, &lt;/author&gt;&lt;author&gt;Canale N, Baska T, &lt;/author&gt;&lt;author&gt;Kilibarda B, &lt;/author&gt;&lt;author&gt;Comoretto RI &lt;/author&gt;&lt;/authors&gt;&lt;secondary-authors&gt;&lt;author&gt;WHO Regional Office for Europe&lt;/author&gt;&lt;/secondary-authors&gt;&lt;/contributors&gt;&lt;titles&gt;&lt;title&gt;A focus on adolescent substance use in Europe, central Asia and Canada. Health Behaviour in School-aged Children international report from the 2021/2022 survey.&lt;/title&gt;&lt;/titles&gt;&lt;volume&gt;&lt;style face="normal" font="default" charset="238" size="100%"&gt;3&lt;/style&gt;&lt;/volume&gt;&lt;dates&gt;&lt;year&gt;&lt;style face="normal" font="default" charset="238" size="100%"&gt;2024&lt;/style&gt;&lt;/year&gt;&lt;/dates&gt;&lt;pub-location&gt;Copenhagen&lt;/pub-location&gt;&lt;urls&gt;&lt;related-urls&gt;&lt;url&gt;https://iris.who.int/handle/10665/376573&lt;/url&gt;&lt;/related-urls&gt;&lt;/urls&gt;&lt;/record&gt;&lt;/Cite&gt;&lt;/EndNote&gt;</w:instrText>
      </w:r>
      <w:r>
        <w:fldChar w:fldCharType="separate"/>
      </w:r>
      <w:r w:rsidR="00D4526D" w:rsidRPr="00D4526D">
        <w:rPr>
          <w:noProof/>
          <w:sz w:val="20"/>
        </w:rPr>
        <w:t>[11]</w:t>
      </w:r>
      <w:r>
        <w:fldChar w:fldCharType="end"/>
      </w:r>
    </w:p>
    <w:p w14:paraId="42F1872C" w14:textId="5534BC57" w:rsidR="00CD3152" w:rsidRDefault="00CD3152" w:rsidP="00CD3152">
      <w:pPr>
        <w:ind w:firstLine="708"/>
        <w:jc w:val="both"/>
      </w:pPr>
      <w:r w:rsidRPr="003C214C">
        <w:t>Mai mult de unul din șase adolescenți (18%) au raportat că au folosit o țigară electronică cel puțin o dată în viață, iar 10% au făcut acest lucru în ultimele 30 de zile.</w:t>
      </w:r>
      <w:r>
        <w:fldChar w:fldCharType="begin"/>
      </w:r>
      <w:r w:rsidR="00D4526D">
        <w:instrText xml:space="preserve"> ADDIN EN.CITE &lt;EndNote&gt;&lt;Cite&gt;&lt;Author&gt;Charrier L&lt;/Author&gt;&lt;Year&gt;2024&lt;/Year&gt;&lt;RecNum&gt;9212&lt;/RecNum&gt;&lt;DisplayText&gt;&lt;style size="10"&gt;[11]&lt;/style&gt;&lt;/DisplayText&gt;&lt;record&gt;&lt;rec-number&gt;9212&lt;/rec-number&gt;&lt;foreign-keys&gt;&lt;key app="EN" db-id="fw0prtesnvf55cepezbx255wwza5zw0ssatt" timestamp="1754623316" guid="08fcea1a-d692-4bf7-ab34-7b79dad66771"&gt;9212&lt;/key&gt;&lt;/foreign-keys&gt;&lt;ref-type name="Report"&gt;27&lt;/ref-type&gt;&lt;contributors&gt;&lt;authors&gt;&lt;author&gt;Charrier L, &lt;/author&gt;&lt;author&gt;van Dorsselaer S, &lt;/author&gt;&lt;author&gt;Canale N, Baska T, &lt;/author&gt;&lt;author&gt;Kilibarda B, &lt;/author&gt;&lt;author&gt;Comoretto RI &lt;/author&gt;&lt;/authors&gt;&lt;secondary-authors&gt;&lt;author&gt;WHO Regional Office for Europe&lt;/author&gt;&lt;/secondary-authors&gt;&lt;/contributors&gt;&lt;titles&gt;&lt;title&gt;A focus on adolescent substance use in Europe, central Asia and Canada. Health Behaviour in School-aged Children international report from the 2021/2022 survey.&lt;/title&gt;&lt;/titles&gt;&lt;volume&gt;&lt;style face="normal" font="default" charset="238" size="100%"&gt;3&lt;/style&gt;&lt;/volume&gt;&lt;dates&gt;&lt;year&gt;&lt;style face="normal" font="default" charset="238" size="100%"&gt;2024&lt;/style&gt;&lt;/year&gt;&lt;/dates&gt;&lt;pub-location&gt;Copenhagen&lt;/pub-location&gt;&lt;urls&gt;&lt;related-urls&gt;&lt;url&gt;https://iris.who.int/handle/10665/376573&lt;/url&gt;&lt;/related-urls&gt;&lt;/urls&gt;&lt;/record&gt;&lt;/Cite&gt;&lt;/EndNote&gt;</w:instrText>
      </w:r>
      <w:r>
        <w:fldChar w:fldCharType="separate"/>
      </w:r>
      <w:r w:rsidR="00D4526D" w:rsidRPr="00D4526D">
        <w:rPr>
          <w:noProof/>
          <w:sz w:val="20"/>
        </w:rPr>
        <w:t>[11]</w:t>
      </w:r>
      <w:r>
        <w:fldChar w:fldCharType="end"/>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6"/>
        <w:gridCol w:w="4606"/>
      </w:tblGrid>
      <w:tr w:rsidR="00CD3152" w14:paraId="1A631C45" w14:textId="77777777" w:rsidTr="00F032B4">
        <w:tc>
          <w:tcPr>
            <w:tcW w:w="4436" w:type="dxa"/>
          </w:tcPr>
          <w:p w14:paraId="46DB7435" w14:textId="77777777" w:rsidR="00CD3152" w:rsidRDefault="00CD3152" w:rsidP="00F032B4">
            <w:pPr>
              <w:keepNext/>
              <w:jc w:val="both"/>
            </w:pPr>
            <w:r>
              <w:rPr>
                <w:noProof/>
              </w:rPr>
              <w:drawing>
                <wp:inline distT="0" distB="0" distL="0" distR="0" wp14:anchorId="7D8F7780" wp14:editId="03E86596">
                  <wp:extent cx="2880000" cy="2160000"/>
                  <wp:effectExtent l="0" t="0" r="15875" b="12065"/>
                  <wp:docPr id="941522583" name="Chart 1">
                    <a:extLst xmlns:a="http://schemas.openxmlformats.org/drawingml/2006/main">
                      <a:ext uri="{FF2B5EF4-FFF2-40B4-BE49-F238E27FC236}">
                        <a16:creationId xmlns:a16="http://schemas.microsoft.com/office/drawing/2014/main" id="{88ECE354-5CF4-0104-0152-FB4065FBF51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6C05EB32" w14:textId="69CD2DB9" w:rsidR="00CD3152" w:rsidRDefault="00CD3152" w:rsidP="00F032B4">
            <w:pPr>
              <w:pStyle w:val="Caption"/>
              <w:jc w:val="both"/>
            </w:pPr>
            <w:bookmarkStart w:id="35" w:name="_Ref211315556"/>
            <w:r>
              <w:t xml:space="preserve">Figura </w:t>
            </w:r>
            <w:fldSimple w:instr=" STYLEREF 1 \s ">
              <w:r w:rsidR="0080370C">
                <w:rPr>
                  <w:noProof/>
                </w:rPr>
                <w:t>I</w:t>
              </w:r>
            </w:fldSimple>
            <w:r w:rsidR="0080370C">
              <w:t>.</w:t>
            </w:r>
            <w:fldSimple w:instr=" SEQ Figura \* ARABIC \s 1 ">
              <w:r w:rsidR="0080370C">
                <w:rPr>
                  <w:noProof/>
                </w:rPr>
                <w:t>26</w:t>
              </w:r>
            </w:fldSimple>
            <w:bookmarkEnd w:id="35"/>
            <w:r>
              <w:t xml:space="preserve"> </w:t>
            </w:r>
            <w:r w:rsidRPr="005A62D4">
              <w:t xml:space="preserve">Frecvența tinerilor 11-15 ani care au fumat produse din tutun convențional cel puțin o dată în ultimele 30 de zile, </w:t>
            </w:r>
            <w:r>
              <w:t>în funcție de gen</w:t>
            </w:r>
            <w:r w:rsidRPr="005A62D4">
              <w:t>, Sursa: HBSC 2022</w:t>
            </w:r>
          </w:p>
        </w:tc>
        <w:tc>
          <w:tcPr>
            <w:tcW w:w="4776" w:type="dxa"/>
          </w:tcPr>
          <w:p w14:paraId="3A1CC41E" w14:textId="77777777" w:rsidR="00CD3152" w:rsidRDefault="00CD3152" w:rsidP="00F032B4">
            <w:pPr>
              <w:keepNext/>
              <w:jc w:val="both"/>
            </w:pPr>
            <w:r>
              <w:rPr>
                <w:noProof/>
              </w:rPr>
              <w:drawing>
                <wp:inline distT="0" distB="0" distL="0" distR="0" wp14:anchorId="058DD72E" wp14:editId="2D84AF38">
                  <wp:extent cx="2880000" cy="2160000"/>
                  <wp:effectExtent l="0" t="0" r="15875" b="12065"/>
                  <wp:docPr id="773157014" name="Chart 1">
                    <a:extLst xmlns:a="http://schemas.openxmlformats.org/drawingml/2006/main">
                      <a:ext uri="{FF2B5EF4-FFF2-40B4-BE49-F238E27FC236}">
                        <a16:creationId xmlns:a16="http://schemas.microsoft.com/office/drawing/2014/main" id="{8AB45EB4-061D-1DCD-67D2-CD9F132BDF2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7C9C7C8D" w14:textId="5762E9E1" w:rsidR="00CD3152" w:rsidRDefault="00CD3152" w:rsidP="00F032B4">
            <w:pPr>
              <w:pStyle w:val="Caption"/>
              <w:jc w:val="both"/>
            </w:pPr>
            <w:bookmarkStart w:id="36" w:name="_Ref211315644"/>
            <w:r>
              <w:t xml:space="preserve">Figura </w:t>
            </w:r>
            <w:fldSimple w:instr=" STYLEREF 1 \s ">
              <w:r w:rsidR="0080370C">
                <w:rPr>
                  <w:noProof/>
                </w:rPr>
                <w:t>I</w:t>
              </w:r>
            </w:fldSimple>
            <w:r w:rsidR="0080370C">
              <w:t>.</w:t>
            </w:r>
            <w:fldSimple w:instr=" SEQ Figura \* ARABIC \s 1 ">
              <w:r w:rsidR="0080370C">
                <w:rPr>
                  <w:noProof/>
                </w:rPr>
                <w:t>27</w:t>
              </w:r>
            </w:fldSimple>
            <w:bookmarkEnd w:id="36"/>
            <w:r>
              <w:t xml:space="preserve"> </w:t>
            </w:r>
            <w:r w:rsidRPr="00C16B7F">
              <w:t xml:space="preserve">Frecvența tinerilor 11-15 ani care au fumat produse din tutun convențional cel puțin o dată </w:t>
            </w:r>
            <w:r>
              <w:t>pe parcursul vieții</w:t>
            </w:r>
            <w:r w:rsidRPr="00C16B7F">
              <w:t xml:space="preserve">, </w:t>
            </w:r>
            <w:r>
              <w:t>în funcție de gen</w:t>
            </w:r>
            <w:r w:rsidRPr="00C16B7F">
              <w:t>, Sursa: HBSC 2022</w:t>
            </w:r>
          </w:p>
        </w:tc>
      </w:tr>
    </w:tbl>
    <w:p w14:paraId="67403E08" w14:textId="77777777" w:rsidR="00CD3152" w:rsidRPr="00647BB1" w:rsidRDefault="00CD3152" w:rsidP="00CD3152">
      <w:pPr>
        <w:pStyle w:val="Caption"/>
        <w:ind w:firstLine="708"/>
        <w:jc w:val="both"/>
        <w:rPr>
          <w:b w:val="0"/>
          <w:bCs w:val="0"/>
          <w:sz w:val="24"/>
          <w:szCs w:val="22"/>
        </w:rPr>
      </w:pPr>
      <w:r>
        <w:rPr>
          <w:b w:val="0"/>
          <w:bCs w:val="0"/>
          <w:sz w:val="24"/>
          <w:szCs w:val="22"/>
        </w:rPr>
        <w:t>Î</w:t>
      </w:r>
      <w:r w:rsidRPr="00647BB1">
        <w:rPr>
          <w:b w:val="0"/>
          <w:bCs w:val="0"/>
          <w:sz w:val="24"/>
          <w:szCs w:val="22"/>
        </w:rPr>
        <w:t xml:space="preserve">n cazul fumatului </w:t>
      </w:r>
      <w:r>
        <w:rPr>
          <w:b w:val="0"/>
          <w:bCs w:val="0"/>
          <w:sz w:val="24"/>
          <w:szCs w:val="22"/>
        </w:rPr>
        <w:t>curent</w:t>
      </w:r>
      <w:r w:rsidRPr="00647BB1">
        <w:rPr>
          <w:b w:val="0"/>
          <w:bCs w:val="0"/>
          <w:sz w:val="24"/>
          <w:szCs w:val="22"/>
        </w:rPr>
        <w:t xml:space="preserve"> (în ultimele 30 de zile</w:t>
      </w:r>
      <w:r>
        <w:rPr>
          <w:b w:val="0"/>
          <w:bCs w:val="0"/>
          <w:sz w:val="24"/>
          <w:szCs w:val="22"/>
        </w:rPr>
        <w:t xml:space="preserve"> înainte de participarea la sondaj</w:t>
      </w:r>
      <w:r w:rsidRPr="00647BB1">
        <w:rPr>
          <w:b w:val="0"/>
          <w:bCs w:val="0"/>
          <w:sz w:val="24"/>
          <w:szCs w:val="22"/>
        </w:rPr>
        <w:t>), cât și al fumatului cel puțin o dată</w:t>
      </w:r>
      <w:r w:rsidRPr="00647BB1">
        <w:t xml:space="preserve"> </w:t>
      </w:r>
      <w:r w:rsidRPr="00647BB1">
        <w:rPr>
          <w:b w:val="0"/>
          <w:bCs w:val="0"/>
          <w:sz w:val="24"/>
          <w:szCs w:val="22"/>
        </w:rPr>
        <w:t xml:space="preserve">pe parcursul vieții, România înregistrează valori superioare mediei </w:t>
      </w:r>
      <w:r>
        <w:rPr>
          <w:b w:val="0"/>
          <w:bCs w:val="0"/>
          <w:sz w:val="24"/>
          <w:szCs w:val="22"/>
        </w:rPr>
        <w:t xml:space="preserve">țărilor </w:t>
      </w:r>
      <w:r w:rsidRPr="00647BB1">
        <w:rPr>
          <w:b w:val="0"/>
          <w:bCs w:val="0"/>
          <w:sz w:val="24"/>
          <w:szCs w:val="22"/>
        </w:rPr>
        <w:t xml:space="preserve">HBSC, cu diferențe mai accentuate la vârstele mai mari </w:t>
      </w:r>
      <w:r>
        <w:rPr>
          <w:b w:val="0"/>
          <w:bCs w:val="0"/>
          <w:sz w:val="24"/>
          <w:szCs w:val="22"/>
        </w:rPr>
        <w:t xml:space="preserve">(la 13 ani și la 15 ani) </w:t>
      </w:r>
      <w:r w:rsidRPr="00647BB1">
        <w:rPr>
          <w:b w:val="0"/>
          <w:bCs w:val="0"/>
          <w:sz w:val="24"/>
          <w:szCs w:val="22"/>
        </w:rPr>
        <w:t>și în rândul fetelor.</w:t>
      </w:r>
    </w:p>
    <w:p w14:paraId="2698B73D" w14:textId="77777777" w:rsidR="00CD3152" w:rsidRPr="007665F7" w:rsidRDefault="00CD3152" w:rsidP="00CD3152">
      <w:pPr>
        <w:pStyle w:val="Caption"/>
        <w:ind w:firstLine="708"/>
        <w:jc w:val="both"/>
        <w:rPr>
          <w:b w:val="0"/>
          <w:bCs w:val="0"/>
          <w:sz w:val="24"/>
          <w:szCs w:val="22"/>
        </w:rPr>
      </w:pPr>
      <w:r w:rsidRPr="00647BB1">
        <w:rPr>
          <w:b w:val="0"/>
          <w:bCs w:val="0"/>
          <w:sz w:val="24"/>
          <w:szCs w:val="22"/>
        </w:rPr>
        <w:t xml:space="preserve">În ceea ce privește fumatul </w:t>
      </w:r>
      <w:r>
        <w:rPr>
          <w:b w:val="0"/>
          <w:bCs w:val="0"/>
          <w:sz w:val="24"/>
          <w:szCs w:val="22"/>
        </w:rPr>
        <w:t>curent</w:t>
      </w:r>
      <w:r w:rsidRPr="00647BB1">
        <w:rPr>
          <w:b w:val="0"/>
          <w:bCs w:val="0"/>
          <w:sz w:val="24"/>
          <w:szCs w:val="22"/>
        </w:rPr>
        <w:t xml:space="preserve">, proporția tinerilor care declară consum de tutun crește odată cu vârsta </w:t>
      </w:r>
      <w:r>
        <w:rPr>
          <w:b w:val="0"/>
          <w:bCs w:val="0"/>
          <w:sz w:val="24"/>
          <w:szCs w:val="22"/>
        </w:rPr>
        <w:t>la</w:t>
      </w:r>
      <w:r w:rsidRPr="00647BB1">
        <w:rPr>
          <w:b w:val="0"/>
          <w:bCs w:val="0"/>
          <w:sz w:val="24"/>
          <w:szCs w:val="22"/>
        </w:rPr>
        <w:t xml:space="preserve"> ambele </w:t>
      </w:r>
      <w:r>
        <w:rPr>
          <w:b w:val="0"/>
          <w:bCs w:val="0"/>
          <w:sz w:val="24"/>
          <w:szCs w:val="22"/>
        </w:rPr>
        <w:t>sexe</w:t>
      </w:r>
      <w:r w:rsidRPr="00647BB1">
        <w:rPr>
          <w:b w:val="0"/>
          <w:bCs w:val="0"/>
          <w:sz w:val="24"/>
          <w:szCs w:val="22"/>
        </w:rPr>
        <w:t xml:space="preserve">. La </w:t>
      </w:r>
      <w:r>
        <w:rPr>
          <w:b w:val="0"/>
          <w:bCs w:val="0"/>
          <w:sz w:val="24"/>
          <w:szCs w:val="22"/>
        </w:rPr>
        <w:t xml:space="preserve">adolescenții de </w:t>
      </w:r>
      <w:r w:rsidRPr="00647BB1">
        <w:rPr>
          <w:b w:val="0"/>
          <w:bCs w:val="0"/>
          <w:sz w:val="24"/>
          <w:szCs w:val="22"/>
        </w:rPr>
        <w:t xml:space="preserve">15 ani, </w:t>
      </w:r>
      <w:r>
        <w:rPr>
          <w:b w:val="0"/>
          <w:bCs w:val="0"/>
          <w:sz w:val="24"/>
          <w:szCs w:val="22"/>
        </w:rPr>
        <w:t>25</w:t>
      </w:r>
      <w:r w:rsidRPr="00647BB1">
        <w:rPr>
          <w:b w:val="0"/>
          <w:bCs w:val="0"/>
          <w:sz w:val="24"/>
          <w:szCs w:val="22"/>
        </w:rPr>
        <w:t xml:space="preserve">% dintre </w:t>
      </w:r>
      <w:r>
        <w:rPr>
          <w:b w:val="0"/>
          <w:bCs w:val="0"/>
          <w:sz w:val="24"/>
          <w:szCs w:val="22"/>
        </w:rPr>
        <w:t xml:space="preserve">fete </w:t>
      </w:r>
      <w:r w:rsidRPr="00647BB1">
        <w:rPr>
          <w:b w:val="0"/>
          <w:bCs w:val="0"/>
          <w:sz w:val="24"/>
          <w:szCs w:val="22"/>
        </w:rPr>
        <w:t xml:space="preserve">și </w:t>
      </w:r>
      <w:r>
        <w:rPr>
          <w:b w:val="0"/>
          <w:bCs w:val="0"/>
          <w:sz w:val="24"/>
          <w:szCs w:val="22"/>
        </w:rPr>
        <w:t>21</w:t>
      </w:r>
      <w:r w:rsidRPr="00647BB1">
        <w:rPr>
          <w:b w:val="0"/>
          <w:bCs w:val="0"/>
          <w:sz w:val="24"/>
          <w:szCs w:val="22"/>
        </w:rPr>
        <w:t xml:space="preserve">% dintre </w:t>
      </w:r>
      <w:r w:rsidRPr="00297BC0">
        <w:rPr>
          <w:b w:val="0"/>
          <w:bCs w:val="0"/>
          <w:sz w:val="24"/>
          <w:szCs w:val="22"/>
        </w:rPr>
        <w:t>băieții</w:t>
      </w:r>
      <w:r w:rsidRPr="00647BB1">
        <w:rPr>
          <w:b w:val="0"/>
          <w:bCs w:val="0"/>
          <w:sz w:val="24"/>
          <w:szCs w:val="22"/>
        </w:rPr>
        <w:t xml:space="preserve"> din România au fumat </w:t>
      </w:r>
      <w:r>
        <w:rPr>
          <w:b w:val="0"/>
          <w:bCs w:val="0"/>
          <w:sz w:val="24"/>
          <w:szCs w:val="22"/>
        </w:rPr>
        <w:t>cel puțin o dată în ultimele 30 de zile</w:t>
      </w:r>
      <w:r w:rsidRPr="00647BB1">
        <w:rPr>
          <w:b w:val="0"/>
          <w:bCs w:val="0"/>
          <w:sz w:val="24"/>
          <w:szCs w:val="22"/>
        </w:rPr>
        <w:t xml:space="preserve">, comparativ cu </w:t>
      </w:r>
      <w:r>
        <w:rPr>
          <w:b w:val="0"/>
          <w:bCs w:val="0"/>
          <w:sz w:val="24"/>
          <w:szCs w:val="22"/>
        </w:rPr>
        <w:t>15</w:t>
      </w:r>
      <w:r w:rsidRPr="00647BB1">
        <w:rPr>
          <w:b w:val="0"/>
          <w:bCs w:val="0"/>
          <w:sz w:val="24"/>
          <w:szCs w:val="22"/>
        </w:rPr>
        <w:t>% î</w:t>
      </w:r>
      <w:r>
        <w:rPr>
          <w:b w:val="0"/>
          <w:bCs w:val="0"/>
          <w:sz w:val="24"/>
          <w:szCs w:val="22"/>
        </w:rPr>
        <w:t xml:space="preserve">n </w:t>
      </w:r>
      <w:r w:rsidRPr="00647BB1">
        <w:rPr>
          <w:b w:val="0"/>
          <w:bCs w:val="0"/>
          <w:sz w:val="24"/>
          <w:szCs w:val="22"/>
        </w:rPr>
        <w:t>medi</w:t>
      </w:r>
      <w:r>
        <w:rPr>
          <w:b w:val="0"/>
          <w:bCs w:val="0"/>
          <w:sz w:val="24"/>
          <w:szCs w:val="22"/>
        </w:rPr>
        <w:t>e la ambele genuri în țările</w:t>
      </w:r>
      <w:r w:rsidRPr="00647BB1">
        <w:rPr>
          <w:b w:val="0"/>
          <w:bCs w:val="0"/>
          <w:sz w:val="24"/>
          <w:szCs w:val="22"/>
        </w:rPr>
        <w:t xml:space="preserve"> HBSC. </w:t>
      </w:r>
      <w:r>
        <w:rPr>
          <w:b w:val="0"/>
          <w:bCs w:val="0"/>
          <w:sz w:val="24"/>
          <w:szCs w:val="22"/>
        </w:rPr>
        <w:t>La fetele de 15 ani</w:t>
      </w:r>
      <w:r w:rsidRPr="00880544">
        <w:rPr>
          <w:b w:val="0"/>
          <w:bCs w:val="0"/>
          <w:sz w:val="24"/>
          <w:szCs w:val="22"/>
        </w:rPr>
        <w:t xml:space="preserve">, prevalența fumatului curent este de </w:t>
      </w:r>
      <w:r>
        <w:rPr>
          <w:b w:val="0"/>
          <w:bCs w:val="0"/>
          <w:sz w:val="24"/>
          <w:szCs w:val="22"/>
        </w:rPr>
        <w:t>peste cu 10 puncte procentuale</w:t>
      </w:r>
      <w:r w:rsidRPr="00880544">
        <w:rPr>
          <w:b w:val="0"/>
          <w:bCs w:val="0"/>
          <w:sz w:val="24"/>
          <w:szCs w:val="22"/>
        </w:rPr>
        <w:t xml:space="preserve"> în România</w:t>
      </w:r>
      <w:r>
        <w:rPr>
          <w:b w:val="0"/>
          <w:bCs w:val="0"/>
          <w:sz w:val="24"/>
          <w:szCs w:val="22"/>
        </w:rPr>
        <w:t xml:space="preserve">, </w:t>
      </w:r>
      <w:r w:rsidRPr="00880544">
        <w:rPr>
          <w:b w:val="0"/>
          <w:bCs w:val="0"/>
          <w:sz w:val="24"/>
          <w:szCs w:val="22"/>
        </w:rPr>
        <w:t>decât media HBSC</w:t>
      </w:r>
      <w:r>
        <w:rPr>
          <w:b w:val="0"/>
          <w:bCs w:val="0"/>
          <w:sz w:val="24"/>
          <w:szCs w:val="22"/>
        </w:rPr>
        <w:t>, iar la băieții de 15 ani cu 6 puncte procentuale. Și la 13 ani, d</w:t>
      </w:r>
      <w:r w:rsidRPr="00647BB1">
        <w:rPr>
          <w:b w:val="0"/>
          <w:bCs w:val="0"/>
          <w:sz w:val="24"/>
          <w:szCs w:val="22"/>
        </w:rPr>
        <w:t xml:space="preserve">iferențele sunt considerabile, mai ales pentru fete, unde prevalența </w:t>
      </w:r>
      <w:r>
        <w:rPr>
          <w:b w:val="0"/>
          <w:bCs w:val="0"/>
          <w:sz w:val="24"/>
          <w:szCs w:val="22"/>
        </w:rPr>
        <w:t xml:space="preserve">fumatului curent </w:t>
      </w:r>
      <w:r w:rsidRPr="00647BB1">
        <w:rPr>
          <w:b w:val="0"/>
          <w:bCs w:val="0"/>
          <w:sz w:val="24"/>
          <w:szCs w:val="22"/>
        </w:rPr>
        <w:t xml:space="preserve">este de </w:t>
      </w:r>
      <w:r>
        <w:rPr>
          <w:b w:val="0"/>
          <w:bCs w:val="0"/>
          <w:sz w:val="24"/>
          <w:szCs w:val="22"/>
        </w:rPr>
        <w:t>două</w:t>
      </w:r>
      <w:r w:rsidRPr="00647BB1">
        <w:rPr>
          <w:b w:val="0"/>
          <w:bCs w:val="0"/>
          <w:sz w:val="24"/>
          <w:szCs w:val="22"/>
        </w:rPr>
        <w:t xml:space="preserve"> ori mai mare în România</w:t>
      </w:r>
      <w:r>
        <w:rPr>
          <w:b w:val="0"/>
          <w:bCs w:val="0"/>
          <w:sz w:val="24"/>
          <w:szCs w:val="22"/>
        </w:rPr>
        <w:t xml:space="preserve"> decât media HBSC (12% vs 6%)</w:t>
      </w:r>
      <w:r w:rsidRPr="00647BB1">
        <w:rPr>
          <w:b w:val="0"/>
          <w:bCs w:val="0"/>
          <w:sz w:val="24"/>
          <w:szCs w:val="22"/>
        </w:rPr>
        <w:t xml:space="preserve">. La 11 ani, </w:t>
      </w:r>
      <w:r>
        <w:rPr>
          <w:b w:val="0"/>
          <w:bCs w:val="0"/>
          <w:sz w:val="24"/>
          <w:szCs w:val="22"/>
        </w:rPr>
        <w:t xml:space="preserve">frecvența fumatului curent se aliniază țărilor HBSC, cu valori ușor sub medie la ambele </w:t>
      </w:r>
      <w:r w:rsidRPr="007665F7">
        <w:rPr>
          <w:b w:val="0"/>
          <w:bCs w:val="0"/>
          <w:sz w:val="24"/>
          <w:szCs w:val="22"/>
        </w:rPr>
        <w:t xml:space="preserve">genuri </w:t>
      </w:r>
      <w:r w:rsidRPr="007665F7">
        <w:rPr>
          <w:b w:val="0"/>
          <w:bCs w:val="0"/>
          <w:sz w:val="24"/>
          <w:szCs w:val="24"/>
        </w:rPr>
        <w:t>(</w:t>
      </w:r>
      <w:r w:rsidRPr="007665F7">
        <w:rPr>
          <w:b w:val="0"/>
          <w:bCs w:val="0"/>
          <w:sz w:val="24"/>
          <w:szCs w:val="24"/>
        </w:rPr>
        <w:fldChar w:fldCharType="begin"/>
      </w:r>
      <w:r w:rsidRPr="007665F7">
        <w:rPr>
          <w:b w:val="0"/>
          <w:bCs w:val="0"/>
          <w:sz w:val="24"/>
          <w:szCs w:val="24"/>
        </w:rPr>
        <w:instrText xml:space="preserve"> REF _Ref211315556 \h  \* MERGEFORMAT </w:instrText>
      </w:r>
      <w:r w:rsidRPr="007665F7">
        <w:rPr>
          <w:b w:val="0"/>
          <w:bCs w:val="0"/>
          <w:sz w:val="24"/>
          <w:szCs w:val="24"/>
        </w:rPr>
      </w:r>
      <w:r w:rsidRPr="007665F7">
        <w:rPr>
          <w:b w:val="0"/>
          <w:bCs w:val="0"/>
          <w:sz w:val="24"/>
          <w:szCs w:val="24"/>
        </w:rPr>
        <w:fldChar w:fldCharType="separate"/>
      </w:r>
      <w:r w:rsidRPr="00F23DA0">
        <w:rPr>
          <w:b w:val="0"/>
          <w:bCs w:val="0"/>
          <w:sz w:val="24"/>
          <w:szCs w:val="24"/>
        </w:rPr>
        <w:t xml:space="preserve">Figura </w:t>
      </w:r>
      <w:r w:rsidRPr="00F23DA0">
        <w:rPr>
          <w:b w:val="0"/>
          <w:bCs w:val="0"/>
          <w:noProof/>
          <w:sz w:val="24"/>
          <w:szCs w:val="24"/>
        </w:rPr>
        <w:t>I</w:t>
      </w:r>
      <w:r w:rsidRPr="00F23DA0">
        <w:rPr>
          <w:b w:val="0"/>
          <w:bCs w:val="0"/>
          <w:sz w:val="24"/>
          <w:szCs w:val="24"/>
        </w:rPr>
        <w:t>.</w:t>
      </w:r>
      <w:r w:rsidRPr="00F23DA0">
        <w:rPr>
          <w:b w:val="0"/>
          <w:bCs w:val="0"/>
          <w:noProof/>
          <w:sz w:val="24"/>
          <w:szCs w:val="24"/>
        </w:rPr>
        <w:t>27</w:t>
      </w:r>
      <w:r w:rsidRPr="007665F7">
        <w:rPr>
          <w:b w:val="0"/>
          <w:bCs w:val="0"/>
          <w:sz w:val="24"/>
          <w:szCs w:val="24"/>
        </w:rPr>
        <w:fldChar w:fldCharType="end"/>
      </w:r>
      <w:r w:rsidRPr="007665F7">
        <w:rPr>
          <w:b w:val="0"/>
          <w:bCs w:val="0"/>
          <w:sz w:val="24"/>
          <w:szCs w:val="24"/>
        </w:rPr>
        <w:t>).</w:t>
      </w:r>
    </w:p>
    <w:p w14:paraId="4BBA5C14" w14:textId="77777777" w:rsidR="00CD3152" w:rsidRDefault="00CD3152" w:rsidP="00CD3152">
      <w:pPr>
        <w:ind w:firstLine="708"/>
        <w:jc w:val="both"/>
      </w:pPr>
      <w:r w:rsidRPr="0070690C">
        <w:t xml:space="preserve">În ceea ce privește fumatul </w:t>
      </w:r>
      <w:r>
        <w:t>de-a lungul vieții</w:t>
      </w:r>
      <w:r w:rsidRPr="0070690C">
        <w:t xml:space="preserve">, </w:t>
      </w:r>
      <w:r>
        <w:t>l</w:t>
      </w:r>
      <w:r w:rsidRPr="0070690C">
        <w:t xml:space="preserve">a adolescenții de 15 ani, </w:t>
      </w:r>
      <w:r>
        <w:t>34</w:t>
      </w:r>
      <w:r w:rsidRPr="0070690C">
        <w:t xml:space="preserve">% dintre fete și </w:t>
      </w:r>
      <w:r>
        <w:t>32</w:t>
      </w:r>
      <w:r w:rsidRPr="0070690C">
        <w:t xml:space="preserve">% dintre băieții din România au fumat </w:t>
      </w:r>
      <w:r>
        <w:t>cel puțin o dată de-a lungul vieții</w:t>
      </w:r>
      <w:r w:rsidRPr="0070690C">
        <w:t xml:space="preserve">, comparativ cu </w:t>
      </w:r>
      <w:r>
        <w:t>26</w:t>
      </w:r>
      <w:r w:rsidRPr="0070690C">
        <w:t xml:space="preserve">% și, respectiv, </w:t>
      </w:r>
      <w:r>
        <w:t>24</w:t>
      </w:r>
      <w:r w:rsidRPr="0070690C">
        <w:t xml:space="preserve">% în medie în țările HBSC. </w:t>
      </w:r>
      <w:r>
        <w:t>Și la 13 ani, frecvența fumatului experimental la ambele sexe este mai mare în România decât media HBSC, în special l</w:t>
      </w:r>
      <w:r w:rsidRPr="0070690C">
        <w:t xml:space="preserve">a </w:t>
      </w:r>
      <w:r>
        <w:t>fete</w:t>
      </w:r>
      <w:r w:rsidRPr="0070690C">
        <w:t xml:space="preserve"> </w:t>
      </w:r>
      <w:r>
        <w:t>unde valoarea este</w:t>
      </w:r>
      <w:r w:rsidRPr="0070690C">
        <w:t xml:space="preserve"> de </w:t>
      </w:r>
      <w:r>
        <w:t>aproape</w:t>
      </w:r>
      <w:r w:rsidRPr="0070690C">
        <w:t xml:space="preserve"> </w:t>
      </w:r>
      <w:r>
        <w:t>2</w:t>
      </w:r>
      <w:r w:rsidRPr="0070690C">
        <w:t xml:space="preserve"> ori mai mare în România (2</w:t>
      </w:r>
      <w:r>
        <w:t>0</w:t>
      </w:r>
      <w:r w:rsidRPr="0070690C">
        <w:t>%) decât media HBSC (</w:t>
      </w:r>
      <w:r>
        <w:t>11</w:t>
      </w:r>
      <w:r w:rsidRPr="0070690C">
        <w:t>%)</w:t>
      </w:r>
      <w:r>
        <w:t>(</w:t>
      </w:r>
      <w:r>
        <w:fldChar w:fldCharType="begin"/>
      </w:r>
      <w:r>
        <w:instrText xml:space="preserve"> REF _Ref211315644 \h </w:instrText>
      </w:r>
      <w:r>
        <w:fldChar w:fldCharType="separate"/>
      </w:r>
      <w:r>
        <w:t xml:space="preserve">Figura </w:t>
      </w:r>
      <w:r>
        <w:rPr>
          <w:noProof/>
        </w:rPr>
        <w:t>I</w:t>
      </w:r>
      <w:r>
        <w:t>.</w:t>
      </w:r>
      <w:r>
        <w:rPr>
          <w:noProof/>
        </w:rPr>
        <w:t>28</w:t>
      </w:r>
      <w:r>
        <w:fldChar w:fldCharType="end"/>
      </w:r>
      <w:r>
        <w:t>)</w:t>
      </w:r>
      <w:r w:rsidRPr="0070690C">
        <w:t>.</w:t>
      </w:r>
    </w:p>
    <w:p w14:paraId="476B3897" w14:textId="77777777" w:rsidR="00CD3152" w:rsidRDefault="00CD3152" w:rsidP="00CD3152">
      <w:pPr>
        <w:keepNext/>
      </w:pPr>
      <w:r>
        <w:rPr>
          <w:noProof/>
        </w:rPr>
        <w:lastRenderedPageBreak/>
        <w:drawing>
          <wp:inline distT="0" distB="0" distL="0" distR="0" wp14:anchorId="5642B0F6" wp14:editId="578BC15B">
            <wp:extent cx="6120000" cy="2519680"/>
            <wp:effectExtent l="0" t="0" r="14605" b="13970"/>
            <wp:docPr id="1365574361" name="Chart 1">
              <a:extLst xmlns:a="http://schemas.openxmlformats.org/drawingml/2006/main">
                <a:ext uri="{FF2B5EF4-FFF2-40B4-BE49-F238E27FC236}">
                  <a16:creationId xmlns:a16="http://schemas.microsoft.com/office/drawing/2014/main" id="{5758801E-35CF-49BE-9364-F95353B74E7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7766E413" w14:textId="755D68F4" w:rsidR="00CD3152" w:rsidRDefault="00CD3152" w:rsidP="00CD3152">
      <w:pPr>
        <w:pStyle w:val="Caption"/>
      </w:pPr>
      <w:bookmarkStart w:id="37" w:name="_Ref211315770"/>
      <w:r>
        <w:t xml:space="preserve">Figura </w:t>
      </w:r>
      <w:fldSimple w:instr=" STYLEREF 1 \s ">
        <w:r w:rsidR="0080370C">
          <w:rPr>
            <w:noProof/>
          </w:rPr>
          <w:t>I</w:t>
        </w:r>
      </w:fldSimple>
      <w:r w:rsidR="0080370C">
        <w:t>.</w:t>
      </w:r>
      <w:fldSimple w:instr=" SEQ Figura \* ARABIC \s 1 ">
        <w:r w:rsidR="0080370C">
          <w:rPr>
            <w:noProof/>
          </w:rPr>
          <w:t>28</w:t>
        </w:r>
      </w:fldSimple>
      <w:bookmarkEnd w:id="37"/>
      <w:r w:rsidRPr="000D38D6">
        <w:t xml:space="preserve"> Frecvența tinerilor de 1</w:t>
      </w:r>
      <w:r>
        <w:t>3</w:t>
      </w:r>
      <w:r w:rsidRPr="000D38D6">
        <w:t xml:space="preserve"> ani care au fumat produse din tutun convențional cel puțin o dată în ultimele 30 de zile, în </w:t>
      </w:r>
      <w:r>
        <w:t>țările HBSC</w:t>
      </w:r>
      <w:r w:rsidRPr="000D38D6">
        <w:t>, Sursa: HBSC 2022</w:t>
      </w:r>
    </w:p>
    <w:p w14:paraId="4148AA55" w14:textId="77777777" w:rsidR="00CD3152" w:rsidRDefault="00CD3152" w:rsidP="00CD3152">
      <w:pPr>
        <w:ind w:firstLine="708"/>
        <w:jc w:val="both"/>
      </w:pPr>
    </w:p>
    <w:p w14:paraId="1BBB5B6B" w14:textId="77777777" w:rsidR="00CD3152" w:rsidRDefault="00CD3152" w:rsidP="00CD3152">
      <w:pPr>
        <w:keepNext/>
        <w:jc w:val="both"/>
      </w:pPr>
      <w:r w:rsidRPr="00B92ADD">
        <w:rPr>
          <w:noProof/>
          <w:color w:val="730D23" w:themeColor="accent2" w:themeShade="80"/>
        </w:rPr>
        <w:drawing>
          <wp:inline distT="0" distB="0" distL="0" distR="0" wp14:anchorId="2785A0CB" wp14:editId="4C765254">
            <wp:extent cx="6120000" cy="2880000"/>
            <wp:effectExtent l="0" t="0" r="14605" b="15875"/>
            <wp:docPr id="1474121107" name="Chart 1">
              <a:extLst xmlns:a="http://schemas.openxmlformats.org/drawingml/2006/main">
                <a:ext uri="{FF2B5EF4-FFF2-40B4-BE49-F238E27FC236}">
                  <a16:creationId xmlns:a16="http://schemas.microsoft.com/office/drawing/2014/main" id="{2B0C266A-0C7E-41B6-864B-B3AFC38B426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7DAED7DB" w14:textId="139DA1B8" w:rsidR="00CD3152" w:rsidRDefault="00CD3152" w:rsidP="00CD3152">
      <w:pPr>
        <w:pStyle w:val="Caption"/>
        <w:jc w:val="both"/>
      </w:pPr>
      <w:bookmarkStart w:id="38" w:name="_Ref211315775"/>
      <w:r>
        <w:t xml:space="preserve">Figura </w:t>
      </w:r>
      <w:fldSimple w:instr=" STYLEREF 1 \s ">
        <w:r w:rsidR="0080370C">
          <w:rPr>
            <w:noProof/>
          </w:rPr>
          <w:t>I</w:t>
        </w:r>
      </w:fldSimple>
      <w:r w:rsidR="0080370C">
        <w:t>.</w:t>
      </w:r>
      <w:fldSimple w:instr=" SEQ Figura \* ARABIC \s 1 ">
        <w:r w:rsidR="0080370C">
          <w:rPr>
            <w:noProof/>
          </w:rPr>
          <w:t>29</w:t>
        </w:r>
      </w:fldSimple>
      <w:bookmarkEnd w:id="38"/>
      <w:r>
        <w:t xml:space="preserve"> </w:t>
      </w:r>
      <w:r w:rsidRPr="00B92ADD">
        <w:t xml:space="preserve">Frecvența tinerilor </w:t>
      </w:r>
      <w:r>
        <w:t>de 15</w:t>
      </w:r>
      <w:r w:rsidRPr="00B92ADD">
        <w:t xml:space="preserve"> ani care au fumat produse din tutun convențional cel puțin o dată în ultimele 30 de zile, în </w:t>
      </w:r>
      <w:r>
        <w:t>țările HBSC</w:t>
      </w:r>
      <w:r w:rsidRPr="00B92ADD">
        <w:t>, Sursa: HBSC 2022</w:t>
      </w:r>
    </w:p>
    <w:p w14:paraId="379BF168" w14:textId="77777777" w:rsidR="00CD3152" w:rsidRDefault="00CD3152" w:rsidP="00CD3152">
      <w:pPr>
        <w:ind w:firstLine="708"/>
        <w:jc w:val="both"/>
      </w:pPr>
      <w:r>
        <w:t>Din punct al prevalenței consumului curent de tutun convențional  (în ultimele 30 de zile) între țările HBSC, România se află pe locul 4 la adolescenții de 13 ani și pe locul 5 la cei de 15 ani, în clasamentul țărilor HBSC (</w:t>
      </w:r>
      <w:r>
        <w:fldChar w:fldCharType="begin"/>
      </w:r>
      <w:r>
        <w:instrText xml:space="preserve"> REF _Ref211315770 \h </w:instrText>
      </w:r>
      <w:r>
        <w:fldChar w:fldCharType="separate"/>
      </w:r>
      <w:r>
        <w:t xml:space="preserve">Figura </w:t>
      </w:r>
      <w:r>
        <w:rPr>
          <w:noProof/>
        </w:rPr>
        <w:t>I</w:t>
      </w:r>
      <w:r>
        <w:t>.</w:t>
      </w:r>
      <w:r>
        <w:rPr>
          <w:noProof/>
        </w:rPr>
        <w:t>29</w:t>
      </w:r>
      <w:r>
        <w:fldChar w:fldCharType="end"/>
      </w:r>
      <w:r>
        <w:t xml:space="preserve"> și </w:t>
      </w:r>
      <w:r>
        <w:fldChar w:fldCharType="begin"/>
      </w:r>
      <w:r>
        <w:instrText xml:space="preserve"> REF _Ref211315775 \h </w:instrText>
      </w:r>
      <w:r>
        <w:fldChar w:fldCharType="separate"/>
      </w:r>
      <w:r>
        <w:t xml:space="preserve">Figura </w:t>
      </w:r>
      <w:r>
        <w:rPr>
          <w:noProof/>
        </w:rPr>
        <w:t>I</w:t>
      </w:r>
      <w:r>
        <w:t>.</w:t>
      </w:r>
      <w:r>
        <w:rPr>
          <w:noProof/>
        </w:rPr>
        <w:t>30</w:t>
      </w:r>
      <w:r>
        <w:fldChar w:fldCharType="end"/>
      </w:r>
      <w:r>
        <w:t>).</w:t>
      </w:r>
    </w:p>
    <w:p w14:paraId="7488FE91" w14:textId="77777777" w:rsidR="00CD3152" w:rsidRDefault="00CD3152" w:rsidP="00CD3152">
      <w:pPr>
        <w:keepNext/>
        <w:jc w:val="both"/>
      </w:pPr>
      <w:r>
        <w:rPr>
          <w:noProof/>
        </w:rPr>
        <w:lastRenderedPageBreak/>
        <w:drawing>
          <wp:inline distT="0" distB="0" distL="0" distR="0" wp14:anchorId="72413E66" wp14:editId="4C03BFBF">
            <wp:extent cx="6120000" cy="2520000"/>
            <wp:effectExtent l="0" t="0" r="14605" b="13970"/>
            <wp:docPr id="924314164" name="Chart 1">
              <a:extLst xmlns:a="http://schemas.openxmlformats.org/drawingml/2006/main">
                <a:ext uri="{FF2B5EF4-FFF2-40B4-BE49-F238E27FC236}">
                  <a16:creationId xmlns:a16="http://schemas.microsoft.com/office/drawing/2014/main" id="{9C4D3C33-39B3-4885-AEF0-C3AC51ECE13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469AEE12" w14:textId="3BCC2817" w:rsidR="00CD3152" w:rsidRDefault="00CD3152" w:rsidP="00CD3152">
      <w:pPr>
        <w:pStyle w:val="Caption"/>
        <w:jc w:val="both"/>
      </w:pPr>
      <w:bookmarkStart w:id="39" w:name="_Ref211316379"/>
      <w:r>
        <w:t xml:space="preserve">Figura </w:t>
      </w:r>
      <w:fldSimple w:instr=" STYLEREF 1 \s ">
        <w:r w:rsidR="0080370C">
          <w:rPr>
            <w:noProof/>
          </w:rPr>
          <w:t>I</w:t>
        </w:r>
      </w:fldSimple>
      <w:r w:rsidR="0080370C">
        <w:t>.</w:t>
      </w:r>
      <w:fldSimple w:instr=" SEQ Figura \* ARABIC \s 1 ">
        <w:r w:rsidR="0080370C">
          <w:rPr>
            <w:noProof/>
          </w:rPr>
          <w:t>30</w:t>
        </w:r>
      </w:fldSimple>
      <w:bookmarkEnd w:id="39"/>
      <w:r w:rsidRPr="009A38B9">
        <w:t xml:space="preserve"> Frecvența tinerilor de 1</w:t>
      </w:r>
      <w:r>
        <w:t>3</w:t>
      </w:r>
      <w:r w:rsidRPr="009A38B9">
        <w:t xml:space="preserve"> ani care au fumat produse din tutun convențional </w:t>
      </w:r>
      <w:r>
        <w:t>de-a lungul vieții</w:t>
      </w:r>
      <w:r w:rsidRPr="009A38B9">
        <w:t>, în țările HBSC, Sursa: HBSC 2022</w:t>
      </w:r>
    </w:p>
    <w:p w14:paraId="40AC09DF" w14:textId="77777777" w:rsidR="00CD3152" w:rsidRPr="009A38B9" w:rsidRDefault="00CD3152" w:rsidP="00CD3152">
      <w:pPr>
        <w:ind w:firstLine="708"/>
      </w:pPr>
      <w:r>
        <w:t>De asemenea, România ocupă locul 5 în ierarhia țărilor HBSC în cazul adolescenților de 13 ani care au fumat de-a lungul vieții (</w:t>
      </w:r>
      <w:r>
        <w:fldChar w:fldCharType="begin"/>
      </w:r>
      <w:r>
        <w:instrText xml:space="preserve"> REF _Ref211316379 \h </w:instrText>
      </w:r>
      <w:r>
        <w:fldChar w:fldCharType="separate"/>
      </w:r>
      <w:r>
        <w:t xml:space="preserve">Figura </w:t>
      </w:r>
      <w:r>
        <w:rPr>
          <w:noProof/>
        </w:rPr>
        <w:t>I</w:t>
      </w:r>
      <w:r>
        <w:t>.</w:t>
      </w:r>
      <w:r>
        <w:rPr>
          <w:noProof/>
        </w:rPr>
        <w:t>31</w:t>
      </w:r>
      <w:r>
        <w:fldChar w:fldCharType="end"/>
      </w:r>
      <w:r>
        <w:t>).</w:t>
      </w:r>
    </w:p>
    <w:p w14:paraId="230387FB" w14:textId="77777777" w:rsidR="00CD3152" w:rsidRDefault="00CD3152" w:rsidP="00572A0B">
      <w:pPr>
        <w:keepNext/>
        <w:ind w:firstLine="0"/>
        <w:jc w:val="both"/>
      </w:pPr>
      <w:r>
        <w:rPr>
          <w:noProof/>
        </w:rPr>
        <w:drawing>
          <wp:inline distT="0" distB="0" distL="0" distR="0" wp14:anchorId="46DFE36B" wp14:editId="16246254">
            <wp:extent cx="6120000" cy="2519680"/>
            <wp:effectExtent l="0" t="0" r="0" b="0"/>
            <wp:docPr id="803660797" name="Chart 1">
              <a:extLst xmlns:a="http://schemas.openxmlformats.org/drawingml/2006/main">
                <a:ext uri="{FF2B5EF4-FFF2-40B4-BE49-F238E27FC236}">
                  <a16:creationId xmlns:a16="http://schemas.microsoft.com/office/drawing/2014/main" id="{E32B0A5C-0294-6F07-B0B2-ACAFA0BAEE4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59846519" w14:textId="402E2D59" w:rsidR="00CD3152" w:rsidRDefault="00CD3152" w:rsidP="00CD3152">
      <w:pPr>
        <w:pStyle w:val="Caption"/>
        <w:jc w:val="both"/>
      </w:pPr>
      <w:r>
        <w:t xml:space="preserve">Figura </w:t>
      </w:r>
      <w:fldSimple w:instr=" STYLEREF 1 \s ">
        <w:r w:rsidR="0080370C">
          <w:rPr>
            <w:noProof/>
          </w:rPr>
          <w:t>I</w:t>
        </w:r>
      </w:fldSimple>
      <w:r w:rsidR="0080370C">
        <w:t>.</w:t>
      </w:r>
      <w:fldSimple w:instr=" SEQ Figura \* ARABIC \s 1 ">
        <w:r w:rsidR="0080370C">
          <w:rPr>
            <w:noProof/>
          </w:rPr>
          <w:t>31</w:t>
        </w:r>
      </w:fldSimple>
      <w:r>
        <w:t xml:space="preserve"> </w:t>
      </w:r>
      <w:r w:rsidRPr="006B73D4">
        <w:t>Rata fumatului</w:t>
      </w:r>
      <w:r>
        <w:t xml:space="preserve"> curent</w:t>
      </w:r>
      <w:r w:rsidRPr="006B73D4">
        <w:t xml:space="preserve"> în rândul adolescenților de 15 ani, 2014 și 2022, *Media UE nu este ponderată Sursa: OECD Health at a Glace 202</w:t>
      </w:r>
      <w:r>
        <w:t>4</w:t>
      </w:r>
      <w:r w:rsidRPr="006B73D4">
        <w:t xml:space="preserve">, HBSC Data Browser - </w:t>
      </w:r>
      <w:hyperlink r:id="rId39" w:history="1">
        <w:r w:rsidRPr="00A90F0E">
          <w:rPr>
            <w:rStyle w:val="Hyperlink"/>
          </w:rPr>
          <w:t>https://data-browser.hbsc.org/</w:t>
        </w:r>
      </w:hyperlink>
    </w:p>
    <w:p w14:paraId="472763C5" w14:textId="77777777" w:rsidR="00CD3152" w:rsidRDefault="00CD3152" w:rsidP="00CD3152">
      <w:pPr>
        <w:ind w:firstLine="708"/>
        <w:jc w:val="both"/>
      </w:pPr>
      <w:r>
        <w:t xml:space="preserve">Evoluția fumatului curent în rândul adolescenților de 15 ani ilustrează o scădere generală în Uniunea Europeană între anii 2014 și 2022, însă cu variații semnificative între statele membre. </w:t>
      </w:r>
    </w:p>
    <w:p w14:paraId="4D2B67CA" w14:textId="77777777" w:rsidR="00CD3152" w:rsidRDefault="00CD3152" w:rsidP="00CD3152">
      <w:pPr>
        <w:ind w:firstLine="708"/>
        <w:jc w:val="both"/>
      </w:pPr>
      <w:r>
        <w:t xml:space="preserve">Prevalența fumatului la adolescenții de 15 ani din România (de 23% și în 2014 și în 2022) s-a menținut constantă în această perioadă,  fiind ușor mai crescută decât media UE27 de 22% din anul 2014 și semnificativ peste media UE27 de 17% din anul 2022.  În context european, în anul 2022, țări precum Irlanda (7%), Portugalia (9%) și Malta (10%) înregistrează cele mai scăzute niveluri de ale frecvenței fumatului la această grupă de vârstă, în timp ce Ungaria (29%) și Bulgaria (32%) prezintă cele mai ridicate valori. </w:t>
      </w:r>
    </w:p>
    <w:p w14:paraId="15398774" w14:textId="252E65AB" w:rsidR="00CD3152" w:rsidRPr="006E0160" w:rsidRDefault="00CD3152" w:rsidP="00CD3152">
      <w:pPr>
        <w:ind w:firstLine="708"/>
        <w:jc w:val="both"/>
      </w:pPr>
      <w:r w:rsidRPr="006E0160">
        <w:t>Diferența de gen în fumatul de tutun între băieți și fete de 15 ani este destul de mică în majoritatea țărilor. În medie, o proporție puțin mai mare de fete de 15 ani au raportat că au fumat în ultima lună în anul 2022 (18% față de 16% pentru băieți)</w:t>
      </w:r>
      <w:r w:rsidRPr="006E0160">
        <w:fldChar w:fldCharType="begin">
          <w:fldData xml:space="preserve">PEVuZE5vdGU+PENpdGU+PEF1dGhvcj5DaGFycmllciBMPC9BdXRob3I+PFllYXI+MjAyNDwvWWVh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</w:fldData>
        </w:fldChar>
      </w:r>
      <w:r w:rsidR="00D4526D">
        <w:instrText xml:space="preserve"> ADDIN EN.CITE </w:instrText>
      </w:r>
      <w:r w:rsidR="00D4526D">
        <w:fldChar w:fldCharType="begin">
          <w:fldData xml:space="preserve">PEVuZE5vdGU+PENpdGU+PEF1dGhvcj5DaGFycmllciBMPC9BdXRob3I+PFllYXI+MjAyNDwvWWVh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</w:fldData>
        </w:fldChar>
      </w:r>
      <w:r w:rsidR="00D4526D">
        <w:instrText xml:space="preserve"> ADDIN EN.CITE.DATA </w:instrText>
      </w:r>
      <w:r w:rsidR="00D4526D">
        <w:fldChar w:fldCharType="end"/>
      </w:r>
      <w:r w:rsidRPr="006E0160">
        <w:fldChar w:fldCharType="separate"/>
      </w:r>
      <w:r w:rsidR="00D4526D" w:rsidRPr="00D4526D">
        <w:rPr>
          <w:noProof/>
          <w:sz w:val="20"/>
        </w:rPr>
        <w:t>[7,11]</w:t>
      </w:r>
      <w:r w:rsidRPr="006E0160">
        <w:fldChar w:fldCharType="end"/>
      </w:r>
      <w:r w:rsidRPr="006E0160">
        <w:t xml:space="preserve">. </w:t>
      </w:r>
    </w:p>
    <w:p w14:paraId="5B0E232A" w14:textId="77777777" w:rsidR="00CD3152" w:rsidRPr="006E0160" w:rsidRDefault="00CD3152" w:rsidP="00CD3152">
      <w:pPr>
        <w:ind w:firstLine="708"/>
        <w:jc w:val="both"/>
      </w:pPr>
      <w:r w:rsidRPr="006E0160">
        <w:lastRenderedPageBreak/>
        <w:t xml:space="preserve">Rata fumatului în rândul tinerilor de 15 ani a scăzut din 2014 în aproape toate țările UE, cu excepția Bulgariei, unde a crescut ușor, și a României și Spania, unde ratele au fost stabile. </w:t>
      </w:r>
    </w:p>
    <w:p w14:paraId="4867DAAC" w14:textId="77777777" w:rsidR="00CD3152" w:rsidRDefault="00CD3152" w:rsidP="00CD3152">
      <w:pPr>
        <w:ind w:firstLine="708"/>
        <w:jc w:val="both"/>
      </w:pPr>
    </w:p>
    <w:p w14:paraId="533CDF36" w14:textId="77777777" w:rsidR="00CD3152" w:rsidRDefault="00CD3152" w:rsidP="00CD3152">
      <w:pPr>
        <w:pStyle w:val="Heading3"/>
      </w:pPr>
      <w:bookmarkStart w:id="40" w:name="_Toc232660560"/>
      <w:r w:rsidRPr="00C07B88">
        <w:t xml:space="preserve">Prevalența </w:t>
      </w:r>
      <w:r>
        <w:t>utilizării țigărilor electronice</w:t>
      </w:r>
      <w:r w:rsidRPr="00C07B88">
        <w:t xml:space="preserve"> la adolescenții cu vârsta 11-15 ani (HBSC 2021/2022)</w:t>
      </w:r>
      <w:bookmarkEnd w:id="40"/>
    </w:p>
    <w:p w14:paraId="614BF594" w14:textId="77777777" w:rsidR="00CD3152" w:rsidRPr="00B62EF0" w:rsidRDefault="00CD3152" w:rsidP="00CD3152">
      <w:pPr>
        <w:ind w:firstLine="708"/>
        <w:jc w:val="both"/>
      </w:pPr>
      <w:r w:rsidRPr="00B62EF0">
        <w:t>În același timp, utilizarea țigărilor electronice în rândul adolescenților din această grupă de vârstă (13 -15 ani) are o tendință ascendentă în majoritatea țărilor europene. Procentul de utilizatori la această grupă de vârstă variază între 0,7% în Uzbekistan (2021) și atinge un nivel alarmant de 23,3% în Bulgaria (2023). Tot mai multe state europene raportează în rândul tinerilor rate crescute ale utilizării țigărilor electronice care le depășesc pe cele ale fumatului tradițional, în unele cazuri diferența fiind de două sau chiar trei ori mai mare.</w:t>
      </w:r>
      <w:r w:rsidRPr="00B62EF0">
        <w:fldChar w:fldCharType="begin"/>
      </w:r>
      <w:r>
        <w:instrText xml:space="preserve"> ADDIN EN.CITE &lt;EndNote&gt;&lt;Cite&gt;&lt;Author&gt;WHO&lt;/Author&gt;&lt;Year&gt;2025&lt;/Year&gt;&lt;RecNum&gt;9164&lt;/RecNum&gt;&lt;DisplayText&gt;&lt;style size="10"&gt;[1]&lt;/style&gt;&lt;/DisplayText&gt;&lt;record&gt;&lt;rec-number&gt;9164&lt;/rec-number&gt;&lt;foreign-keys&gt;&lt;key app="EN" db-id="fw0prtesnvf55cepezbx255wwza5zw0ssatt" timestamp="1754337538" guid="9259fa9f-663f-4ed9-933e-21e2993be56b"&gt;9164&lt;/key&gt;&lt;/foreign-keys&gt;&lt;ref-type name="Web Page"&gt;12&lt;/ref-type&gt;&lt;contributors&gt;&lt;authors&gt;&lt;author&gt;WHO&lt;/author&gt;&lt;/authors&gt;&lt;/contributors&gt;&lt;titles&gt;&lt;title&gt;Regional Office for Europe - Status of tobacco use in the Region&lt;/title&gt;&lt;/titles&gt;&lt;volume&gt;2025&lt;/volume&gt;&lt;number&gt;28th July&lt;/number&gt;&lt;dates&gt;&lt;year&gt;2025&lt;/year&gt;&lt;/dates&gt;&lt;urls&gt;&lt;related-urls&gt;&lt;url&gt;https://www.who.int/europe/news-room/fact-sheets/item/tobacco&lt;/url&gt;&lt;/related-urls&gt;&lt;/urls&gt;&lt;/record&gt;&lt;/Cite&gt;&lt;/EndNote&gt;</w:instrText>
      </w:r>
      <w:r w:rsidRPr="00B62EF0">
        <w:fldChar w:fldCharType="separate"/>
      </w:r>
      <w:r w:rsidRPr="00B62EF0">
        <w:rPr>
          <w:noProof/>
          <w:sz w:val="20"/>
        </w:rPr>
        <w:t>[1]</w:t>
      </w:r>
      <w:r w:rsidRPr="00B62EF0">
        <w:fldChar w:fldCharType="end"/>
      </w:r>
    </w:p>
    <w:p w14:paraId="3A191C3D" w14:textId="77777777" w:rsidR="00CD3152" w:rsidRPr="006E0160" w:rsidRDefault="00CD3152" w:rsidP="00CD3152">
      <w:pPr>
        <w:ind w:firstLine="708"/>
        <w:jc w:val="both"/>
      </w:pPr>
      <w:r w:rsidRPr="00B62EF0">
        <w:t>Până în prezent, doar un număr redus de țări a</w:t>
      </w:r>
      <w:r>
        <w:t>u</w:t>
      </w:r>
      <w:r w:rsidRPr="00B62EF0">
        <w:t xml:space="preserve"> inclus în anchete colectarea de date despre consumul de produse din tutun încălzit în rândul adolescenților. Valorile raportate oscilează între 3,1% în România (2017) și 13,7% în Italia (2022).</w:t>
      </w:r>
      <w:r w:rsidRPr="00B62EF0">
        <w:fldChar w:fldCharType="begin"/>
      </w:r>
      <w:r>
        <w:instrText xml:space="preserve"> ADDIN EN.CITE &lt;EndNote&gt;&lt;Cite&gt;&lt;Author&gt;WHO&lt;/Author&gt;&lt;Year&gt;2025&lt;/Year&gt;&lt;RecNum&gt;9164&lt;/RecNum&gt;&lt;DisplayText&gt;&lt;style size="10"&gt;[1]&lt;/style&gt;&lt;/DisplayText&gt;&lt;record&gt;&lt;rec-number&gt;9164&lt;/rec-number&gt;&lt;foreign-keys&gt;&lt;key app="EN" db-id="fw0prtesnvf55cepezbx255wwza5zw0ssatt" timestamp="1754337538" guid="9259fa9f-663f-4ed9-933e-21e2993be56b"&gt;9164&lt;/key&gt;&lt;/foreign-keys&gt;&lt;ref-type name="Web Page"&gt;12&lt;/ref-type&gt;&lt;contributors&gt;&lt;authors&gt;&lt;author&gt;WHO&lt;/author&gt;&lt;/authors&gt;&lt;/contributors&gt;&lt;titles&gt;&lt;title&gt;Regional Office for Europe - Status of tobacco use in the Region&lt;/title&gt;&lt;/titles&gt;&lt;volume&gt;2025&lt;/volume&gt;&lt;number&gt;28th July&lt;/number&gt;&lt;dates&gt;&lt;year&gt;2025&lt;/year&gt;&lt;/dates&gt;&lt;urls&gt;&lt;related-urls&gt;&lt;url&gt;https://www.who.int/europe/news-room/fact-sheets/item/tobacco&lt;/url&gt;&lt;/related-urls&gt;&lt;/urls&gt;&lt;/record&gt;&lt;/Cite&gt;&lt;/EndNote&gt;</w:instrText>
      </w:r>
      <w:r w:rsidRPr="00B62EF0">
        <w:fldChar w:fldCharType="separate"/>
      </w:r>
      <w:r w:rsidRPr="00B62EF0">
        <w:rPr>
          <w:noProof/>
          <w:sz w:val="20"/>
        </w:rPr>
        <w:t>[1]</w:t>
      </w:r>
      <w:r w:rsidRPr="00B62EF0">
        <w:fldChar w:fldCharType="end"/>
      </w:r>
    </w:p>
    <w:p w14:paraId="705D1218" w14:textId="77777777" w:rsidR="00CD3152" w:rsidRPr="0070690C" w:rsidRDefault="00CD3152" w:rsidP="00CD3152">
      <w:pPr>
        <w:ind w:firstLine="708"/>
        <w:jc w:val="both"/>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6"/>
        <w:gridCol w:w="4606"/>
      </w:tblGrid>
      <w:tr w:rsidR="00CD3152" w14:paraId="2652C80E" w14:textId="77777777" w:rsidTr="00F032B4">
        <w:tc>
          <w:tcPr>
            <w:tcW w:w="4606" w:type="dxa"/>
          </w:tcPr>
          <w:p w14:paraId="3D8C1CED" w14:textId="77777777" w:rsidR="00CD3152" w:rsidRDefault="00CD3152" w:rsidP="00F032B4">
            <w:pPr>
              <w:keepNext/>
            </w:pPr>
            <w:r>
              <w:rPr>
                <w:noProof/>
              </w:rPr>
              <w:drawing>
                <wp:inline distT="0" distB="0" distL="0" distR="0" wp14:anchorId="0CDCFDEC" wp14:editId="1505EC34">
                  <wp:extent cx="2880000" cy="2160000"/>
                  <wp:effectExtent l="0" t="0" r="15875" b="12065"/>
                  <wp:docPr id="1564863858" name="Chart 1">
                    <a:extLst xmlns:a="http://schemas.openxmlformats.org/drawingml/2006/main">
                      <a:ext uri="{FF2B5EF4-FFF2-40B4-BE49-F238E27FC236}">
                        <a16:creationId xmlns:a16="http://schemas.microsoft.com/office/drawing/2014/main" id="{D83D5EA6-6127-6EB3-9F52-2CE6890FCBA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433E93D4" w14:textId="179DEF8C" w:rsidR="00CD3152" w:rsidRDefault="00CD3152" w:rsidP="00F032B4">
            <w:pPr>
              <w:pStyle w:val="Caption"/>
              <w:jc w:val="both"/>
            </w:pPr>
            <w:bookmarkStart w:id="41" w:name="_Ref211317096"/>
            <w:r>
              <w:t xml:space="preserve">Figura </w:t>
            </w:r>
            <w:fldSimple w:instr=" STYLEREF 1 \s ">
              <w:r w:rsidR="0080370C">
                <w:rPr>
                  <w:noProof/>
                </w:rPr>
                <w:t>I</w:t>
              </w:r>
            </w:fldSimple>
            <w:r w:rsidR="0080370C">
              <w:t>.</w:t>
            </w:r>
            <w:fldSimple w:instr=" SEQ Figura \* ARABIC \s 1 ">
              <w:r w:rsidR="0080370C">
                <w:rPr>
                  <w:noProof/>
                </w:rPr>
                <w:t>32</w:t>
              </w:r>
            </w:fldSimple>
            <w:bookmarkEnd w:id="41"/>
            <w:r>
              <w:t xml:space="preserve"> </w:t>
            </w:r>
            <w:r w:rsidRPr="001E6A29">
              <w:t>Frecvența tinerilor 11-15 ani care au utilizat țig</w:t>
            </w:r>
            <w:r>
              <w:t>ă</w:t>
            </w:r>
            <w:r w:rsidRPr="001E6A29">
              <w:t>ri electronice cel puțin o dată în ultimele 30 de zile,</w:t>
            </w:r>
            <w:r>
              <w:t xml:space="preserve"> în funcție de gen, Ro vs media țărilor HBSC</w:t>
            </w:r>
            <w:r w:rsidRPr="001E6A29">
              <w:t xml:space="preserve"> Sursa: HBSC 2022</w:t>
            </w:r>
          </w:p>
        </w:tc>
        <w:tc>
          <w:tcPr>
            <w:tcW w:w="4606" w:type="dxa"/>
          </w:tcPr>
          <w:p w14:paraId="52B9FCCA" w14:textId="77777777" w:rsidR="00CD3152" w:rsidRDefault="00CD3152" w:rsidP="00F032B4">
            <w:pPr>
              <w:keepNext/>
            </w:pPr>
            <w:r>
              <w:rPr>
                <w:noProof/>
              </w:rPr>
              <w:drawing>
                <wp:inline distT="0" distB="0" distL="0" distR="0" wp14:anchorId="1F43337A" wp14:editId="701A85B7">
                  <wp:extent cx="2880000" cy="2160000"/>
                  <wp:effectExtent l="0" t="0" r="15875" b="12065"/>
                  <wp:docPr id="388033202" name="Chart 1">
                    <a:extLst xmlns:a="http://schemas.openxmlformats.org/drawingml/2006/main">
                      <a:ext uri="{FF2B5EF4-FFF2-40B4-BE49-F238E27FC236}">
                        <a16:creationId xmlns:a16="http://schemas.microsoft.com/office/drawing/2014/main" id="{A8810D85-9427-8471-FFB5-FCDC5493495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4423A3E1" w14:textId="08471CB8" w:rsidR="00CD3152" w:rsidRDefault="00CD3152" w:rsidP="00F032B4">
            <w:pPr>
              <w:pStyle w:val="Caption"/>
              <w:jc w:val="both"/>
            </w:pPr>
            <w:bookmarkStart w:id="42" w:name="_Ref211317847"/>
            <w:r>
              <w:t xml:space="preserve">Figura </w:t>
            </w:r>
            <w:fldSimple w:instr=" STYLEREF 1 \s ">
              <w:r w:rsidR="0080370C">
                <w:rPr>
                  <w:noProof/>
                </w:rPr>
                <w:t>I</w:t>
              </w:r>
            </w:fldSimple>
            <w:r w:rsidR="0080370C">
              <w:t>.</w:t>
            </w:r>
            <w:fldSimple w:instr=" SEQ Figura \* ARABIC \s 1 ">
              <w:r w:rsidR="0080370C">
                <w:rPr>
                  <w:noProof/>
                </w:rPr>
                <w:t>33</w:t>
              </w:r>
            </w:fldSimple>
            <w:bookmarkEnd w:id="42"/>
            <w:r>
              <w:t xml:space="preserve"> </w:t>
            </w:r>
            <w:r w:rsidRPr="003C1EE3">
              <w:t xml:space="preserve">Frecvența tinerilor 11-15 ani care au utilizat țigări electronice cel puțin o dată în viață, </w:t>
            </w:r>
            <w:r w:rsidRPr="00B62EF0">
              <w:t>, în funcție de gen, Ro vs media țărilor HBSC</w:t>
            </w:r>
            <w:r>
              <w:t xml:space="preserve">, </w:t>
            </w:r>
            <w:r w:rsidRPr="003C1EE3">
              <w:t>Sursa: HBSC 2022</w:t>
            </w:r>
          </w:p>
        </w:tc>
      </w:tr>
    </w:tbl>
    <w:p w14:paraId="50D18858" w14:textId="77777777" w:rsidR="00CD3152" w:rsidRDefault="00CD3152" w:rsidP="00CD3152">
      <w:pPr>
        <w:ind w:firstLine="708"/>
        <w:jc w:val="both"/>
      </w:pPr>
      <w:r>
        <w:t>L</w:t>
      </w:r>
      <w:r w:rsidRPr="00B62EF0">
        <w:t>a grupa de vârstă 11-15 ani</w:t>
      </w:r>
      <w:r>
        <w:t>, în ceea ce privește utilizarea țigărilor electronice, în ultimele 30 de zile, prevalența crește odată cu vârsta, atingând valori maxime la 15 ani – 28% în cazul fetelor din România și 23% pentru băieți, ambele procente depășind media țărilor HBSC (de 20% la genul feminin și 18% la genul masculin)(</w:t>
      </w:r>
      <w:r>
        <w:fldChar w:fldCharType="begin"/>
      </w:r>
      <w:r>
        <w:instrText xml:space="preserve"> REF _Ref211317096 \h </w:instrText>
      </w:r>
      <w:r>
        <w:fldChar w:fldCharType="separate"/>
      </w:r>
      <w:r>
        <w:t xml:space="preserve">Figura </w:t>
      </w:r>
      <w:r>
        <w:rPr>
          <w:noProof/>
        </w:rPr>
        <w:t>I</w:t>
      </w:r>
      <w:r>
        <w:t>.</w:t>
      </w:r>
      <w:r>
        <w:rPr>
          <w:noProof/>
        </w:rPr>
        <w:t>33</w:t>
      </w:r>
      <w:r>
        <w:fldChar w:fldCharType="end"/>
      </w:r>
      <w:r>
        <w:t>).</w:t>
      </w:r>
    </w:p>
    <w:p w14:paraId="116867D8" w14:textId="77777777" w:rsidR="00CD3152" w:rsidRDefault="00CD3152" w:rsidP="00CD3152">
      <w:pPr>
        <w:ind w:firstLine="708"/>
        <w:jc w:val="both"/>
      </w:pPr>
      <w:r>
        <w:t>Pentru utilizarea ocazională (cel puțin o dată în viață) a țigărilor electronice, se observă o tendință similară, cu valori semnificativ mai ridicate în România comparativ cu media HBSC. La vârsta de 15 ani, 46% dintre fete și 40% dintre băieți din România au declarat că au utilizat cel puțin o dată în viață țigări electronice, față de 32% și, respectiv, 31% media țărilor HBSC. În concluzie, datele indică o prevalență mai ridicată a utilizării țigărilor electronice în rândul adolescenților români, în special în grupa de vârstă de 15 ani și mai ales în rândul fetelor, comparativ cu media țărilor HBSC (</w:t>
      </w:r>
      <w:r>
        <w:fldChar w:fldCharType="begin"/>
      </w:r>
      <w:r>
        <w:instrText xml:space="preserve"> REF _Ref211317847 \h </w:instrText>
      </w:r>
      <w:r>
        <w:fldChar w:fldCharType="separate"/>
      </w:r>
      <w:r>
        <w:t xml:space="preserve">Figura </w:t>
      </w:r>
      <w:r>
        <w:rPr>
          <w:noProof/>
        </w:rPr>
        <w:t>I</w:t>
      </w:r>
      <w:r>
        <w:t>.</w:t>
      </w:r>
      <w:r>
        <w:rPr>
          <w:noProof/>
        </w:rPr>
        <w:t>34</w:t>
      </w:r>
      <w:r>
        <w:fldChar w:fldCharType="end"/>
      </w:r>
      <w:r>
        <w:t>).</w:t>
      </w:r>
    </w:p>
    <w:p w14:paraId="6D649512" w14:textId="77777777" w:rsidR="00CD3152" w:rsidRDefault="00CD3152" w:rsidP="00CD3152">
      <w:pPr>
        <w:keepNext/>
        <w:jc w:val="both"/>
      </w:pPr>
      <w:r>
        <w:rPr>
          <w:noProof/>
        </w:rPr>
        <w:lastRenderedPageBreak/>
        <w:drawing>
          <wp:inline distT="0" distB="0" distL="0" distR="0" wp14:anchorId="4488B8BD" wp14:editId="4C23FCDB">
            <wp:extent cx="5849620" cy="2905125"/>
            <wp:effectExtent l="0" t="0" r="17780" b="9525"/>
            <wp:docPr id="1261382385" name="Chart 1">
              <a:extLst xmlns:a="http://schemas.openxmlformats.org/drawingml/2006/main">
                <a:ext uri="{FF2B5EF4-FFF2-40B4-BE49-F238E27FC236}">
                  <a16:creationId xmlns:a16="http://schemas.microsoft.com/office/drawing/2014/main" id="{FB9A8CEE-F20E-4D14-A4DC-BA41593513F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14:paraId="46B7B7F1" w14:textId="44FAF96A" w:rsidR="00CD3152" w:rsidRDefault="00CD3152" w:rsidP="00CD3152">
      <w:pPr>
        <w:pStyle w:val="Caption"/>
        <w:jc w:val="both"/>
      </w:pPr>
      <w:bookmarkStart w:id="43" w:name="_Ref211317991"/>
      <w:r>
        <w:t xml:space="preserve">Figura </w:t>
      </w:r>
      <w:fldSimple w:instr=" STYLEREF 1 \s ">
        <w:r w:rsidR="0080370C">
          <w:rPr>
            <w:noProof/>
          </w:rPr>
          <w:t>I</w:t>
        </w:r>
      </w:fldSimple>
      <w:r w:rsidR="0080370C">
        <w:t>.</w:t>
      </w:r>
      <w:fldSimple w:instr=" SEQ Figura \* ARABIC \s 1 ">
        <w:r w:rsidR="0080370C">
          <w:rPr>
            <w:noProof/>
          </w:rPr>
          <w:t>34</w:t>
        </w:r>
      </w:fldSimple>
      <w:bookmarkEnd w:id="43"/>
      <w:r w:rsidRPr="0091537C">
        <w:t xml:space="preserve"> Frecvența tinerilor </w:t>
      </w:r>
      <w:r>
        <w:t>de 13</w:t>
      </w:r>
      <w:r w:rsidRPr="0091537C">
        <w:t xml:space="preserve"> ani care au utilizat țigări electronice cel puțin o dată în ultimele 30 de zile, în </w:t>
      </w:r>
      <w:r>
        <w:t>țările HBSC</w:t>
      </w:r>
      <w:r w:rsidRPr="0091537C">
        <w:t>, Ro vs media țărilor HBSC Sursa: HBSC 2022</w:t>
      </w:r>
    </w:p>
    <w:p w14:paraId="111881AE" w14:textId="77777777" w:rsidR="00CD3152" w:rsidRDefault="00CD3152" w:rsidP="00CD3152">
      <w:pPr>
        <w:keepNext/>
        <w:ind w:firstLine="708"/>
        <w:jc w:val="both"/>
      </w:pPr>
      <w:r w:rsidRPr="0091537C">
        <w:t xml:space="preserve">Din punct al prevalenței </w:t>
      </w:r>
      <w:r>
        <w:t>utilizării țigărilor electronice</w:t>
      </w:r>
      <w:r w:rsidRPr="0091537C">
        <w:t xml:space="preserve"> în ultimele 30 de zile, România se află pe locul </w:t>
      </w:r>
      <w:r>
        <w:t>5</w:t>
      </w:r>
      <w:r w:rsidRPr="0091537C">
        <w:t xml:space="preserve"> la adolescenții de 13 ani în clasamentul țărilor </w:t>
      </w:r>
      <w:r>
        <w:t>UE, pe locul 6 la vârsta de 11 ani și pe locul 7 la 15 ani(</w:t>
      </w:r>
      <w:r>
        <w:fldChar w:fldCharType="begin"/>
      </w:r>
      <w:r>
        <w:instrText xml:space="preserve"> REF _Ref211317991 \h </w:instrText>
      </w:r>
      <w:r>
        <w:fldChar w:fldCharType="separate"/>
      </w:r>
      <w:r>
        <w:t xml:space="preserve">Figura </w:t>
      </w:r>
      <w:r>
        <w:rPr>
          <w:noProof/>
        </w:rPr>
        <w:t>I</w:t>
      </w:r>
      <w:r>
        <w:t>.</w:t>
      </w:r>
      <w:r>
        <w:rPr>
          <w:noProof/>
        </w:rPr>
        <w:t>35</w:t>
      </w:r>
      <w:r>
        <w:fldChar w:fldCharType="end"/>
      </w:r>
      <w:r>
        <w:t>).</w:t>
      </w:r>
    </w:p>
    <w:p w14:paraId="74339D9D" w14:textId="77777777" w:rsidR="00CD3152" w:rsidRDefault="00CD3152" w:rsidP="00CD3152">
      <w:pPr>
        <w:keepNext/>
        <w:jc w:val="both"/>
      </w:pPr>
      <w:r>
        <w:rPr>
          <w:noProof/>
        </w:rPr>
        <w:drawing>
          <wp:inline distT="0" distB="0" distL="0" distR="0" wp14:anchorId="1BA8415E" wp14:editId="20E06487">
            <wp:extent cx="5849620" cy="2905125"/>
            <wp:effectExtent l="0" t="0" r="17780" b="9525"/>
            <wp:docPr id="1519323772" name="Chart 1">
              <a:extLst xmlns:a="http://schemas.openxmlformats.org/drawingml/2006/main">
                <a:ext uri="{FF2B5EF4-FFF2-40B4-BE49-F238E27FC236}">
                  <a16:creationId xmlns:a16="http://schemas.microsoft.com/office/drawing/2014/main" id="{56769688-71D8-47FC-B95A-88802B99666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14:paraId="7B329315" w14:textId="521BAF1B" w:rsidR="00CD3152" w:rsidRDefault="00CD3152" w:rsidP="00CD3152">
      <w:pPr>
        <w:pStyle w:val="Caption"/>
        <w:jc w:val="both"/>
      </w:pPr>
      <w:bookmarkStart w:id="44" w:name="_Ref211318120"/>
      <w:r>
        <w:t xml:space="preserve">Figura </w:t>
      </w:r>
      <w:fldSimple w:instr=" STYLEREF 1 \s ">
        <w:r w:rsidR="0080370C">
          <w:rPr>
            <w:noProof/>
          </w:rPr>
          <w:t>I</w:t>
        </w:r>
      </w:fldSimple>
      <w:r w:rsidR="0080370C">
        <w:t>.</w:t>
      </w:r>
      <w:fldSimple w:instr=" SEQ Figura \* ARABIC \s 1 ">
        <w:r w:rsidR="0080370C">
          <w:rPr>
            <w:noProof/>
          </w:rPr>
          <w:t>35</w:t>
        </w:r>
      </w:fldSimple>
      <w:bookmarkEnd w:id="44"/>
      <w:r w:rsidRPr="00AF22DE">
        <w:t xml:space="preserve"> Frecvența tinerilor de 1</w:t>
      </w:r>
      <w:r>
        <w:t>1</w:t>
      </w:r>
      <w:r w:rsidRPr="00AF22DE">
        <w:t xml:space="preserve"> ani care au utilizat țigări electronice </w:t>
      </w:r>
      <w:r>
        <w:t>de-a lungul vieții</w:t>
      </w:r>
      <w:r w:rsidRPr="00AF22DE">
        <w:t>, în țările HBSC, Ro vs media țărilor HBSC Sursa: HBSC 2022</w:t>
      </w:r>
    </w:p>
    <w:p w14:paraId="5E4180FE" w14:textId="77777777" w:rsidR="00CD3152" w:rsidRDefault="00CD3152" w:rsidP="00CD3152">
      <w:pPr>
        <w:keepNext/>
      </w:pPr>
      <w:r>
        <w:rPr>
          <w:noProof/>
        </w:rPr>
        <w:lastRenderedPageBreak/>
        <w:drawing>
          <wp:inline distT="0" distB="0" distL="0" distR="0" wp14:anchorId="5B7D5D6B" wp14:editId="7375AB8F">
            <wp:extent cx="5849620" cy="2905125"/>
            <wp:effectExtent l="0" t="0" r="17780" b="9525"/>
            <wp:docPr id="477507639" name="Chart 1">
              <a:extLst xmlns:a="http://schemas.openxmlformats.org/drawingml/2006/main">
                <a:ext uri="{FF2B5EF4-FFF2-40B4-BE49-F238E27FC236}">
                  <a16:creationId xmlns:a16="http://schemas.microsoft.com/office/drawing/2014/main" id="{BCD16153-E2EB-4129-B38B-3D53261F657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14:paraId="11FE6D90" w14:textId="27DA0684" w:rsidR="00CD3152" w:rsidRDefault="00CD3152" w:rsidP="00CD3152">
      <w:pPr>
        <w:pStyle w:val="Caption"/>
      </w:pPr>
      <w:bookmarkStart w:id="45" w:name="_Ref211318123"/>
      <w:r>
        <w:t xml:space="preserve">Figura </w:t>
      </w:r>
      <w:fldSimple w:instr=" STYLEREF 1 \s ">
        <w:r w:rsidR="0080370C">
          <w:rPr>
            <w:noProof/>
          </w:rPr>
          <w:t>I</w:t>
        </w:r>
      </w:fldSimple>
      <w:r w:rsidR="0080370C">
        <w:t>.</w:t>
      </w:r>
      <w:fldSimple w:instr=" SEQ Figura \* ARABIC \s 1 ">
        <w:r w:rsidR="0080370C">
          <w:rPr>
            <w:noProof/>
          </w:rPr>
          <w:t>36</w:t>
        </w:r>
      </w:fldSimple>
      <w:bookmarkEnd w:id="45"/>
      <w:r w:rsidRPr="000B3108">
        <w:t xml:space="preserve"> Frecvența tinerilor de </w:t>
      </w:r>
      <w:r>
        <w:t>13</w:t>
      </w:r>
      <w:r w:rsidRPr="000B3108">
        <w:t xml:space="preserve"> ani care au utilizat țigări electronice de-a lungul vieții, în țările HBSC, Ro vs media țărilor HBSC Sursa: HBSC 2022</w:t>
      </w:r>
    </w:p>
    <w:p w14:paraId="68BDE641" w14:textId="77777777" w:rsidR="00CD3152" w:rsidRPr="00AF22DE" w:rsidRDefault="00CD3152" w:rsidP="00CD3152">
      <w:pPr>
        <w:ind w:firstLine="708"/>
        <w:jc w:val="both"/>
      </w:pPr>
      <w:r>
        <w:t>În clasamentul</w:t>
      </w:r>
      <w:r w:rsidRPr="000B3108">
        <w:t xml:space="preserve"> prevalenței utilizării țigărilor electronice </w:t>
      </w:r>
      <w:r>
        <w:t>de-a lungul vieții</w:t>
      </w:r>
      <w:r w:rsidRPr="000B3108">
        <w:t xml:space="preserve"> între țările </w:t>
      </w:r>
      <w:r>
        <w:t>UE</w:t>
      </w:r>
      <w:r w:rsidRPr="000B3108">
        <w:t xml:space="preserve">, România se află pe locul </w:t>
      </w:r>
      <w:r>
        <w:t>4</w:t>
      </w:r>
      <w:r w:rsidRPr="000B3108">
        <w:t xml:space="preserve"> la adolescenții de 13 ani</w:t>
      </w:r>
      <w:r>
        <w:t>,</w:t>
      </w:r>
      <w:r w:rsidRPr="000B3108">
        <w:t xml:space="preserve"> pe locul 5 la cei de 1</w:t>
      </w:r>
      <w:r>
        <w:t>1</w:t>
      </w:r>
      <w:r w:rsidRPr="000B3108">
        <w:t xml:space="preserve"> ani</w:t>
      </w:r>
      <w:r>
        <w:t xml:space="preserve"> </w:t>
      </w:r>
      <w:r w:rsidRPr="000B3108">
        <w:t>și pe locul 7 la 15 ani</w:t>
      </w:r>
      <w:r>
        <w:t>(</w:t>
      </w:r>
      <w:r>
        <w:fldChar w:fldCharType="begin"/>
      </w:r>
      <w:r>
        <w:instrText xml:space="preserve"> REF _Ref211318120 \h </w:instrText>
      </w:r>
      <w:r>
        <w:fldChar w:fldCharType="separate"/>
      </w:r>
      <w:r>
        <w:t xml:space="preserve">Figura </w:t>
      </w:r>
      <w:r>
        <w:rPr>
          <w:noProof/>
        </w:rPr>
        <w:t>I</w:t>
      </w:r>
      <w:r>
        <w:t>.</w:t>
      </w:r>
      <w:r>
        <w:rPr>
          <w:noProof/>
        </w:rPr>
        <w:t>36</w:t>
      </w:r>
      <w:r>
        <w:fldChar w:fldCharType="end"/>
      </w:r>
      <w:r>
        <w:t xml:space="preserve"> și </w:t>
      </w:r>
      <w:r>
        <w:fldChar w:fldCharType="begin"/>
      </w:r>
      <w:r>
        <w:instrText xml:space="preserve"> REF _Ref211318123 \h </w:instrText>
      </w:r>
      <w:r>
        <w:fldChar w:fldCharType="separate"/>
      </w:r>
      <w:r>
        <w:t xml:space="preserve">Figura </w:t>
      </w:r>
      <w:r>
        <w:rPr>
          <w:noProof/>
        </w:rPr>
        <w:t>I</w:t>
      </w:r>
      <w:r>
        <w:t>.</w:t>
      </w:r>
      <w:r>
        <w:rPr>
          <w:noProof/>
        </w:rPr>
        <w:t>37</w:t>
      </w:r>
      <w:r>
        <w:fldChar w:fldCharType="end"/>
      </w:r>
      <w:r>
        <w:t>)</w:t>
      </w:r>
      <w:r w:rsidRPr="000B3108">
        <w:t>.</w:t>
      </w:r>
    </w:p>
    <w:p w14:paraId="58374D9D" w14:textId="77777777" w:rsidR="00CD3152" w:rsidRDefault="00CD3152" w:rsidP="00CD3152">
      <w:pPr>
        <w:ind w:firstLine="708"/>
        <w:jc w:val="both"/>
      </w:pPr>
      <w:r w:rsidRPr="00C30EBF">
        <w:t xml:space="preserve">Aproximativ unul din cinci (22%) tineri de 15 ani din țările UE au raportat că au folosit țigări electronice în ultima lună </w:t>
      </w:r>
      <w:r>
        <w:t>în anul</w:t>
      </w:r>
      <w:r w:rsidRPr="00C30EBF">
        <w:t xml:space="preserve"> 2022. </w:t>
      </w:r>
    </w:p>
    <w:p w14:paraId="5CA95F7E" w14:textId="520FD2AE" w:rsidR="00CD3152" w:rsidRDefault="00CD3152" w:rsidP="00CD3152">
      <w:pPr>
        <w:ind w:firstLine="708"/>
        <w:jc w:val="both"/>
      </w:pPr>
      <w:r w:rsidRPr="00C30EBF">
        <w:t>În plus, 43 % dintre adolescenții din România au declarat că au folosit la un moment dat o țigară electronică, comparativ cu 35% dintre adolescenții din UE, în medie</w:t>
      </w:r>
      <w:r w:rsidRPr="00C30EBF">
        <w:fldChar w:fldCharType="begin"/>
      </w:r>
      <w:r w:rsidR="0009552B">
        <w:instrText xml:space="preserve"> ADDIN EN.CITE &lt;EndNote&gt;&lt;Cite&gt;&lt;Author&gt;OECD&lt;/Author&gt;&lt;Year&gt;2025&lt;/Year&gt;&lt;RecNum&gt;9129&lt;/RecNum&gt;&lt;DisplayText&gt;&lt;style size="10"&gt;[4]&lt;/style&gt;&lt;/DisplayText&gt;&lt;record&gt;&lt;rec-number&gt;9129&lt;/rec-number&gt;&lt;foreign-keys&gt;&lt;key app="EN" db-id="fw0prtesnvf55cepezbx255wwza5zw0ssatt" timestamp="1754271119" guid="3ff7e050-5580-4517-a844-8a4fc2f3e8c4"&gt;9129&lt;/key&gt;&lt;/foreign-keys&gt;&lt;ref-type name="Report"&gt;27&lt;/ref-type&gt;&lt;contributors&gt;&lt;authors&gt;&lt;author&gt;&lt;style face="normal" font="default" charset="238" size="100%"&gt;OECD&lt;/style&gt;&lt;/author&gt;&lt;/authors&gt;&lt;secondary-authors&gt;&lt;author&gt;&lt;style face="normal" font="default" charset="238" size="100%"&gt;OECD&lt;/style&gt;&lt;/author&gt;&lt;/secondary-authors&gt;&lt;/contributors&gt;&lt;titles&gt;&lt;title&gt;&lt;style face="normal" font="default" charset="238" size="100%"&gt;European Cancer Inequalities Registry - Profil de țară privind cancerul, 2025&lt;/style&gt;&lt;/title&gt;&lt;secondary-title&gt;&lt;style face="normal" font="default" size="100%"&gt;„Profiluri de &lt;/style&gt;&lt;style face="normal" font="default" charset="238" size="100%"&gt;țară privind cancerul”&lt;/style&gt;&lt;/secondary-title&gt;&lt;/titles&gt;&lt;dates&gt;&lt;year&gt;&lt;style face="normal" font="default" charset="238" size="100%"&gt;2025&lt;/style&gt;&lt;/year&gt;&lt;/dates&gt;&lt;pub-location&gt;&lt;style face="normal" font="default" charset="238" size="100%"&gt;online&lt;/style&gt;&lt;/pub-location&gt;&lt;urls&gt;&lt;/urls&gt;&lt;/record&gt;&lt;/Cite&gt;&lt;/EndNote&gt;</w:instrText>
      </w:r>
      <w:r w:rsidRPr="00C30EBF">
        <w:fldChar w:fldCharType="separate"/>
      </w:r>
      <w:r w:rsidR="0009552B" w:rsidRPr="0009552B">
        <w:rPr>
          <w:noProof/>
          <w:sz w:val="20"/>
        </w:rPr>
        <w:t>[4]</w:t>
      </w:r>
      <w:r w:rsidRPr="00C30EBF">
        <w:fldChar w:fldCharType="end"/>
      </w:r>
      <w:r>
        <w:t>.</w:t>
      </w:r>
    </w:p>
    <w:p w14:paraId="68C14E58" w14:textId="77777777" w:rsidR="00CD3152" w:rsidRPr="006E0160" w:rsidRDefault="00CD3152" w:rsidP="00CD3152">
      <w:pPr>
        <w:pStyle w:val="Heading3"/>
      </w:pPr>
      <w:bookmarkStart w:id="46" w:name="_Toc232660561"/>
      <w:r>
        <w:t>Evoluția consumului de tutun la nivel global între anii 2018 și 2022 la adolescenții 11-15 ani, HBSC 2022</w:t>
      </w:r>
      <w:bookmarkEnd w:id="46"/>
    </w:p>
    <w:p w14:paraId="5AE7838C" w14:textId="1728AFE4" w:rsidR="00CD3152" w:rsidRPr="00572A0B" w:rsidRDefault="00CD3152" w:rsidP="00CD3152">
      <w:pPr>
        <w:ind w:firstLine="708"/>
        <w:jc w:val="both"/>
      </w:pPr>
      <w:r w:rsidRPr="00572A0B">
        <w:t>În general, 2% dintre copiii de 11 ani au fumat țigări în ultimele 30 de zile, cea mai mare prevalență fiind observată în Bulgaria (13% dintre băieți și 11% dintre fete) și cele mai mici rate (mai puțin de 1%) în 23 de țări și regiuni. Aproximativ 5% dintre copiii de 13 ani au raportat că fumează actual, variind de la mai puțin de 1% dintre fetele din Islanda și Tadjikistan până la 17% dintre fetele din Danemarca (Groenlanda) și băieții din Bulgaria. Cincisprezece la sută dintre băieți și fete erau fumători actuali la vârsta de 15 ani, cu o prevalență variind de la sub 1% în rândul fetelor din Armenia la 52% dintre fetele din Danemarca (Groenlanda)</w:t>
      </w:r>
      <w:r w:rsidRPr="00572A0B">
        <w:fldChar w:fldCharType="begin"/>
      </w:r>
      <w:r w:rsidR="00D4526D">
        <w:instrText xml:space="preserve"> ADDIN EN.CITE &lt;EndNote&gt;&lt;Cite&gt;&lt;Author&gt;Charrier L&lt;/Author&gt;&lt;Year&gt;2024&lt;/Year&gt;&lt;RecNum&gt;9212&lt;/RecNum&gt;&lt;DisplayText&gt;&lt;style size="10"&gt;[11]&lt;/style&gt;&lt;/DisplayText&gt;&lt;record&gt;&lt;rec-number&gt;9212&lt;/rec-number&gt;&lt;foreign-keys&gt;&lt;key app="EN" db-id="fw0prtesnvf55cepezbx255wwza5zw0ssatt" timestamp="1754623316" guid="08fcea1a-d692-4bf7-ab34-7b79dad66771"&gt;9212&lt;/key&gt;&lt;/foreign-keys&gt;&lt;ref-type name="Report"&gt;27&lt;/ref-type&gt;&lt;contributors&gt;&lt;authors&gt;&lt;author&gt;Charrier L, &lt;/author&gt;&lt;author&gt;van Dorsselaer S, &lt;/author&gt;&lt;author&gt;Canale N, Baska T, &lt;/author&gt;&lt;author&gt;Kilibarda B, &lt;/author&gt;&lt;author&gt;Comoretto RI &lt;/author&gt;&lt;/authors&gt;&lt;secondary-authors&gt;&lt;author&gt;WHO Regional Office for Europe&lt;/author&gt;&lt;/secondary-authors&gt;&lt;/contributors&gt;&lt;titles&gt;&lt;title&gt;A focus on adolescent substance use in Europe, central Asia and Canada. Health Behaviour in School-aged Children international report from the 2021/2022 survey.&lt;/title&gt;&lt;/titles&gt;&lt;volume&gt;&lt;style face="normal" font="default" charset="238" size="100%"&gt;3&lt;/style&gt;&lt;/volume&gt;&lt;dates&gt;&lt;year&gt;&lt;style face="normal" font="default" charset="238" size="100%"&gt;2024&lt;/style&gt;&lt;/year&gt;&lt;/dates&gt;&lt;pub-location&gt;Copenhagen&lt;/pub-location&gt;&lt;urls&gt;&lt;related-urls&gt;&lt;url&gt;https://iris.who.int/handle/10665/376573&lt;/url&gt;&lt;/related-urls&gt;&lt;/urls&gt;&lt;/record&gt;&lt;/Cite&gt;&lt;/EndNote&gt;</w:instrText>
      </w:r>
      <w:r w:rsidRPr="00572A0B">
        <w:fldChar w:fldCharType="separate"/>
      </w:r>
      <w:r w:rsidR="00D4526D" w:rsidRPr="00D4526D">
        <w:rPr>
          <w:noProof/>
          <w:sz w:val="20"/>
        </w:rPr>
        <w:t>[11]</w:t>
      </w:r>
      <w:r w:rsidRPr="00572A0B">
        <w:fldChar w:fldCharType="end"/>
      </w:r>
      <w:r w:rsidRPr="00572A0B">
        <w:t>.</w:t>
      </w:r>
    </w:p>
    <w:p w14:paraId="7EAE7C2E" w14:textId="0A71840A" w:rsidR="00CD3152" w:rsidRPr="00572A0B" w:rsidRDefault="00CD3152" w:rsidP="00CD3152">
      <w:pPr>
        <w:ind w:firstLine="708"/>
        <w:jc w:val="both"/>
      </w:pPr>
      <w:r w:rsidRPr="00572A0B">
        <w:t>Nu s-a găsit nicio diferență semnificativă în ceea ce privește fumatul actual între băieți și fete în majoritatea țărilor și regiunilor. Cu toate acestea, în grupa de vârstă cea mai tânără, prevalența a fost în general mai mare în rândul băieților decât al fetelor (cu excepția Danemarcei (Groenlanda) și Lituaniei, în timp ce în rândul tinerilor de 15 ani, fetele din șapte țări și regiuni au fost mai susceptibile decât băieții de a fi fumători actuali. Diferențele de gen s-au schimbat, de asemenea, odată cu vârsta pentru fumatul de țigări pe viață. La vârsta de 11 ani, băieții au raportat o prevalență mai mare a consumului pe parcursul vieții în 17 țări și regiuni, dar inversul s-a văzut la vârsta de 15 ani, fetele raportând o prevalență mai mare la 10</w:t>
      </w:r>
      <w:r w:rsidRPr="00572A0B">
        <w:fldChar w:fldCharType="begin"/>
      </w:r>
      <w:r w:rsidR="00D4526D">
        <w:instrText xml:space="preserve"> ADDIN EN.CITE &lt;EndNote&gt;&lt;Cite&gt;&lt;Author&gt;Charrier L&lt;/Author&gt;&lt;Year&gt;2024&lt;/Year&gt;&lt;RecNum&gt;9212&lt;/RecNum&gt;&lt;DisplayText&gt;&lt;style size="10"&gt;[11]&lt;/style&gt;&lt;/DisplayText&gt;&lt;record&gt;&lt;rec-number&gt;9212&lt;/rec-number&gt;&lt;foreign-keys&gt;&lt;key app="EN" db-id="fw0prtesnvf55cepezbx255wwza5zw0ssatt" timestamp="1754623316" guid="08fcea1a-d692-4bf7-ab34-7b79dad66771"&gt;9212&lt;/key&gt;&lt;/foreign-keys&gt;&lt;ref-type name="Report"&gt;27&lt;/ref-type&gt;&lt;contributors&gt;&lt;authors&gt;&lt;author&gt;Charrier L, &lt;/author&gt;&lt;author&gt;van Dorsselaer S, &lt;/author&gt;&lt;author&gt;Canale N, Baska T, &lt;/author&gt;&lt;author&gt;Kilibarda B, &lt;/author&gt;&lt;author&gt;Comoretto RI &lt;/author&gt;&lt;/authors&gt;&lt;secondary-authors&gt;&lt;author&gt;WHO Regional Office for Europe&lt;/author&gt;&lt;/secondary-authors&gt;&lt;/contributors&gt;&lt;titles&gt;&lt;title&gt;A focus on adolescent substance use in Europe, central Asia and Canada. Health Behaviour in School-aged Children international report from the 2021/2022 survey.&lt;/title&gt;&lt;/titles&gt;&lt;volume&gt;&lt;style face="normal" font="default" charset="238" size="100%"&gt;3&lt;/style&gt;&lt;/volume&gt;&lt;dates&gt;&lt;year&gt;&lt;style face="normal" font="default" charset="238" size="100%"&gt;2024&lt;/style&gt;&lt;/year&gt;&lt;/dates&gt;&lt;pub-location&gt;Copenhagen&lt;/pub-location&gt;&lt;urls&gt;&lt;related-urls&gt;&lt;url&gt;https://iris.who.int/handle/10665/376573&lt;/url&gt;&lt;/related-urls&gt;&lt;/urls&gt;&lt;/record&gt;&lt;/Cite&gt;&lt;/EndNote&gt;</w:instrText>
      </w:r>
      <w:r w:rsidRPr="00572A0B">
        <w:fldChar w:fldCharType="separate"/>
      </w:r>
      <w:r w:rsidR="00D4526D" w:rsidRPr="00D4526D">
        <w:rPr>
          <w:noProof/>
          <w:sz w:val="20"/>
        </w:rPr>
        <w:t>[11]</w:t>
      </w:r>
      <w:r w:rsidRPr="00572A0B">
        <w:fldChar w:fldCharType="end"/>
      </w:r>
      <w:r w:rsidRPr="00572A0B">
        <w:t>.</w:t>
      </w:r>
    </w:p>
    <w:p w14:paraId="06DEE740" w14:textId="4FFCC9C7" w:rsidR="00CD3152" w:rsidRPr="00572A0B" w:rsidRDefault="00CD3152" w:rsidP="00CD3152">
      <w:pPr>
        <w:ind w:firstLine="708"/>
        <w:jc w:val="both"/>
      </w:pPr>
      <w:r w:rsidRPr="00572A0B">
        <w:lastRenderedPageBreak/>
        <w:t>Între 2018 și 2022, au existat dovezi ale scăderii fumatului pe parcursul vieții, în special în rândul băieților de 13 ani și al băieților și fetelor de 15 ani. A existat, de asemenea, o scădere mică, dar semnificativă, a fumatului în rândul băieților de 15 ani. Cu toate acestea, s-au observat unele diferențe la nivel de țară/regiune: în Macedonia de Nord și Republica Moldova, de exemplu, fumatul actual a crescut la ambele sexe și la toate grupele de vârstă (cu excepția băieților de 15 ani), în timp ce în Islanda a scăzut la băieții de toate vârstele și la fetele de 15 ani</w:t>
      </w:r>
      <w:r w:rsidRPr="00572A0B">
        <w:fldChar w:fldCharType="begin"/>
      </w:r>
      <w:r w:rsidR="00D4526D">
        <w:instrText xml:space="preserve"> ADDIN EN.CITE &lt;EndNote&gt;&lt;Cite&gt;&lt;Author&gt;Charrier L&lt;/Author&gt;&lt;Year&gt;2024&lt;/Year&gt;&lt;RecNum&gt;9212&lt;/RecNum&gt;&lt;DisplayText&gt;&lt;style size="10"&gt;[11]&lt;/style&gt;&lt;/DisplayText&gt;&lt;record&gt;&lt;rec-number&gt;9212&lt;/rec-number&gt;&lt;foreign-keys&gt;&lt;key app="EN" db-id="fw0prtesnvf55cepezbx255wwza5zw0ssatt" timestamp="1754623316" guid="08fcea1a-d692-4bf7-ab34-7b79dad66771"&gt;9212&lt;/key&gt;&lt;/foreign-keys&gt;&lt;ref-type name="Report"&gt;27&lt;/ref-type&gt;&lt;contributors&gt;&lt;authors&gt;&lt;author&gt;Charrier L, &lt;/author&gt;&lt;author&gt;van Dorsselaer S, &lt;/author&gt;&lt;author&gt;Canale N, Baska T, &lt;/author&gt;&lt;author&gt;Kilibarda B, &lt;/author&gt;&lt;author&gt;Comoretto RI &lt;/author&gt;&lt;/authors&gt;&lt;secondary-authors&gt;&lt;author&gt;WHO Regional Office for Europe&lt;/author&gt;&lt;/secondary-authors&gt;&lt;/contributors&gt;&lt;titles&gt;&lt;title&gt;A focus on adolescent substance use in Europe, central Asia and Canada. Health Behaviour in School-aged Children international report from the 2021/2022 survey.&lt;/title&gt;&lt;/titles&gt;&lt;volume&gt;&lt;style face="normal" font="default" charset="238" size="100%"&gt;3&lt;/style&gt;&lt;/volume&gt;&lt;dates&gt;&lt;year&gt;&lt;style face="normal" font="default" charset="238" size="100%"&gt;2024&lt;/style&gt;&lt;/year&gt;&lt;/dates&gt;&lt;pub-location&gt;Copenhagen&lt;/pub-location&gt;&lt;urls&gt;&lt;related-urls&gt;&lt;url&gt;https://iris.who.int/handle/10665/376573&lt;/url&gt;&lt;/related-urls&gt;&lt;/urls&gt;&lt;/record&gt;&lt;/Cite&gt;&lt;/EndNote&gt;</w:instrText>
      </w:r>
      <w:r w:rsidRPr="00572A0B">
        <w:fldChar w:fldCharType="separate"/>
      </w:r>
      <w:r w:rsidR="00D4526D" w:rsidRPr="00D4526D">
        <w:rPr>
          <w:noProof/>
          <w:sz w:val="20"/>
        </w:rPr>
        <w:t>[11]</w:t>
      </w:r>
      <w:r w:rsidRPr="00572A0B">
        <w:fldChar w:fldCharType="end"/>
      </w:r>
      <w:r w:rsidRPr="00572A0B">
        <w:t>.</w:t>
      </w:r>
    </w:p>
    <w:p w14:paraId="305A4384" w14:textId="56AEAC6E" w:rsidR="00CD3152" w:rsidRPr="00572A0B" w:rsidRDefault="00CD3152" w:rsidP="00CD3152">
      <w:pPr>
        <w:ind w:firstLine="708"/>
        <w:jc w:val="both"/>
      </w:pPr>
      <w:r w:rsidRPr="00572A0B">
        <w:t>Ca și în cazul fumatului, utilizarea țigărilor electronice a crescut semnificativ odată cu vârsta atât la băieți, cât și la fete și în aproape toate țările și regiunile. În rândul băieților, consumul țigărilor electronice pe tot parcursul vieții a crescut de la 6% în rândul copiilor de 11 ani la 16% și, respectiv, 31% în rândul tinerilor de 13 și, respectiv, 15 ani. Un model similar a fost observat la fete (4%, 16% și 33% la fetele de 11, 13 și, respectiv, 15 ani). Cea mai mare utilizare pe parcursul vieții a fost observată în Lituania, cu o prevalență de aproape 60% la ambele sexe la vârsta de 15 ani</w:t>
      </w:r>
      <w:r w:rsidRPr="00572A0B">
        <w:fldChar w:fldCharType="begin"/>
      </w:r>
      <w:r w:rsidR="00D4526D">
        <w:instrText xml:space="preserve"> ADDIN EN.CITE &lt;EndNote&gt;&lt;Cite&gt;&lt;Author&gt;Charrier L&lt;/Author&gt;&lt;Year&gt;2024&lt;/Year&gt;&lt;RecNum&gt;9212&lt;/RecNum&gt;&lt;DisplayText&gt;&lt;style size="10"&gt;[11]&lt;/style&gt;&lt;/DisplayText&gt;&lt;record&gt;&lt;rec-number&gt;9212&lt;/rec-number&gt;&lt;foreign-keys&gt;&lt;key app="EN" db-id="fw0prtesnvf55cepezbx255wwza5zw0ssatt" timestamp="1754623316" guid="08fcea1a-d692-4bf7-ab34-7b79dad66771"&gt;9212&lt;/key&gt;&lt;/foreign-keys&gt;&lt;ref-type name="Report"&gt;27&lt;/ref-type&gt;&lt;contributors&gt;&lt;authors&gt;&lt;author&gt;Charrier L, &lt;/author&gt;&lt;author&gt;van Dorsselaer S, &lt;/author&gt;&lt;author&gt;Canale N, Baska T, &lt;/author&gt;&lt;author&gt;Kilibarda B, &lt;/author&gt;&lt;author&gt;Comoretto RI &lt;/author&gt;&lt;/authors&gt;&lt;secondary-authors&gt;&lt;author&gt;WHO Regional Office for Europe&lt;/author&gt;&lt;/secondary-authors&gt;&lt;/contributors&gt;&lt;titles&gt;&lt;title&gt;A focus on adolescent substance use in Europe, central Asia and Canada. Health Behaviour in School-aged Children international report from the 2021/2022 survey.&lt;/title&gt;&lt;/titles&gt;&lt;volume&gt;&lt;style face="normal" font="default" charset="238" size="100%"&gt;3&lt;/style&gt;&lt;/volume&gt;&lt;dates&gt;&lt;year&gt;&lt;style face="normal" font="default" charset="238" size="100%"&gt;2024&lt;/style&gt;&lt;/year&gt;&lt;/dates&gt;&lt;pub-location&gt;Copenhagen&lt;/pub-location&gt;&lt;urls&gt;&lt;related-urls&gt;&lt;url&gt;https://iris.who.int/handle/10665/376573&lt;/url&gt;&lt;/related-urls&gt;&lt;/urls&gt;&lt;/record&gt;&lt;/Cite&gt;&lt;/EndNote&gt;</w:instrText>
      </w:r>
      <w:r w:rsidRPr="00572A0B">
        <w:fldChar w:fldCharType="separate"/>
      </w:r>
      <w:r w:rsidR="00D4526D" w:rsidRPr="00D4526D">
        <w:rPr>
          <w:noProof/>
          <w:sz w:val="20"/>
        </w:rPr>
        <w:t>[11]</w:t>
      </w:r>
      <w:r w:rsidRPr="00572A0B">
        <w:fldChar w:fldCharType="end"/>
      </w:r>
      <w:r w:rsidRPr="00572A0B">
        <w:t>.</w:t>
      </w:r>
    </w:p>
    <w:p w14:paraId="11DCDA73" w14:textId="5A420FD2" w:rsidR="00CD3152" w:rsidRPr="00572A0B" w:rsidRDefault="00CD3152" w:rsidP="00CD3152">
      <w:pPr>
        <w:ind w:firstLine="708"/>
        <w:jc w:val="both"/>
      </w:pPr>
      <w:r w:rsidRPr="00572A0B">
        <w:t>Prevalența consumului actual de țigări electronice a crescut, de asemenea, semnificativ odată cu vârsta băieților, de la 3% în rândul copiilor de 11 ani, la 8% în rândul tinerilor de 13 ani, la 18% la 15 ani. O creștere similară a fost observată în rândul fetelor: de la 2% pentru copiii de 11 ani, la 10% pentru copiii de 13 ani, la mai mult decât dublu (21%) pentru fetele de 15 ani.</w:t>
      </w:r>
      <w:r w:rsidRPr="00572A0B">
        <w:fldChar w:fldCharType="begin"/>
      </w:r>
      <w:r w:rsidR="00D4526D">
        <w:instrText xml:space="preserve"> ADDIN EN.CITE &lt;EndNote&gt;&lt;Cite&gt;&lt;Author&gt;Charrier L&lt;/Author&gt;&lt;Year&gt;2024&lt;/Year&gt;&lt;RecNum&gt;9212&lt;/RecNum&gt;&lt;DisplayText&gt;&lt;style size="10"&gt;[11]&lt;/style&gt;&lt;/DisplayText&gt;&lt;record&gt;&lt;rec-number&gt;9212&lt;/rec-number&gt;&lt;foreign-keys&gt;&lt;key app="EN" db-id="fw0prtesnvf55cepezbx255wwza5zw0ssatt" timestamp="1754623316" guid="08fcea1a-d692-4bf7-ab34-7b79dad66771"&gt;9212&lt;/key&gt;&lt;/foreign-keys&gt;&lt;ref-type name="Report"&gt;27&lt;/ref-type&gt;&lt;contributors&gt;&lt;authors&gt;&lt;author&gt;Charrier L, &lt;/author&gt;&lt;author&gt;van Dorsselaer S, &lt;/author&gt;&lt;author&gt;Canale N, Baska T, &lt;/author&gt;&lt;author&gt;Kilibarda B, &lt;/author&gt;&lt;author&gt;Comoretto RI &lt;/author&gt;&lt;/authors&gt;&lt;secondary-authors&gt;&lt;author&gt;WHO Regional Office for Europe&lt;/author&gt;&lt;/secondary-authors&gt;&lt;/contributors&gt;&lt;titles&gt;&lt;title&gt;A focus on adolescent substance use in Europe, central Asia and Canada. Health Behaviour in School-aged Children international report from the 2021/2022 survey.&lt;/title&gt;&lt;/titles&gt;&lt;volume&gt;&lt;style face="normal" font="default" charset="238" size="100%"&gt;3&lt;/style&gt;&lt;/volume&gt;&lt;dates&gt;&lt;year&gt;&lt;style face="normal" font="default" charset="238" size="100%"&gt;2024&lt;/style&gt;&lt;/year&gt;&lt;/dates&gt;&lt;pub-location&gt;Copenhagen&lt;/pub-location&gt;&lt;urls&gt;&lt;related-urls&gt;&lt;url&gt;https://iris.who.int/handle/10665/376573&lt;/url&gt;&lt;/related-urls&gt;&lt;/urls&gt;&lt;/record&gt;&lt;/Cite&gt;&lt;/EndNote&gt;</w:instrText>
      </w:r>
      <w:r w:rsidRPr="00572A0B">
        <w:fldChar w:fldCharType="separate"/>
      </w:r>
      <w:r w:rsidR="00D4526D" w:rsidRPr="00D4526D">
        <w:rPr>
          <w:noProof/>
          <w:sz w:val="20"/>
        </w:rPr>
        <w:t>[11]</w:t>
      </w:r>
      <w:r w:rsidRPr="00572A0B">
        <w:fldChar w:fldCharType="end"/>
      </w:r>
    </w:p>
    <w:p w14:paraId="60B529CB" w14:textId="5BF113B8" w:rsidR="00CD3152" w:rsidRPr="00572A0B" w:rsidRDefault="00CD3152" w:rsidP="00CD3152">
      <w:pPr>
        <w:ind w:firstLine="708"/>
        <w:jc w:val="both"/>
      </w:pPr>
      <w:r w:rsidRPr="00572A0B">
        <w:t>În rândul tinerilor de 15 ani, prevalența consumului curent a variat substanțial între țări și regiuni, de la 2% în rândul băieților și sub 1% în rândul fetelor din Tadjikistan, la 34% și, respectiv, 36% în rândul băieților și fetelor din Lituania.</w:t>
      </w:r>
      <w:r w:rsidRPr="00572A0B">
        <w:fldChar w:fldCharType="begin"/>
      </w:r>
      <w:r w:rsidR="00D4526D">
        <w:instrText xml:space="preserve"> ADDIN EN.CITE &lt;EndNote&gt;&lt;Cite&gt;&lt;Author&gt;Charrier L&lt;/Author&gt;&lt;Year&gt;2024&lt;/Year&gt;&lt;RecNum&gt;9212&lt;/RecNum&gt;&lt;DisplayText&gt;&lt;style size="10"&gt;[11]&lt;/style&gt;&lt;/DisplayText&gt;&lt;record&gt;&lt;rec-number&gt;9212&lt;/rec-number&gt;&lt;foreign-keys&gt;&lt;key app="EN" db-id="fw0prtesnvf55cepezbx255wwza5zw0ssatt" timestamp="1754623316" guid="08fcea1a-d692-4bf7-ab34-7b79dad66771"&gt;9212&lt;/key&gt;&lt;/foreign-keys&gt;&lt;ref-type name="Report"&gt;27&lt;/ref-type&gt;&lt;contributors&gt;&lt;authors&gt;&lt;author&gt;Charrier L, &lt;/author&gt;&lt;author&gt;van Dorsselaer S, &lt;/author&gt;&lt;author&gt;Canale N, Baska T, &lt;/author&gt;&lt;author&gt;Kilibarda B, &lt;/author&gt;&lt;author&gt;Comoretto RI &lt;/author&gt;&lt;/authors&gt;&lt;secondary-authors&gt;&lt;author&gt;WHO Regional Office for Europe&lt;/author&gt;&lt;/secondary-authors&gt;&lt;/contributors&gt;&lt;titles&gt;&lt;title&gt;A focus on adolescent substance use in Europe, central Asia and Canada. Health Behaviour in School-aged Children international report from the 2021/2022 survey.&lt;/title&gt;&lt;/titles&gt;&lt;volume&gt;&lt;style face="normal" font="default" charset="238" size="100%"&gt;3&lt;/style&gt;&lt;/volume&gt;&lt;dates&gt;&lt;year&gt;&lt;style face="normal" font="default" charset="238" size="100%"&gt;2024&lt;/style&gt;&lt;/year&gt;&lt;/dates&gt;&lt;pub-location&gt;Copenhagen&lt;/pub-location&gt;&lt;urls&gt;&lt;related-urls&gt;&lt;url&gt;https://iris.who.int/handle/10665/376573&lt;/url&gt;&lt;/related-urls&gt;&lt;/urls&gt;&lt;/record&gt;&lt;/Cite&gt;&lt;/EndNote&gt;</w:instrText>
      </w:r>
      <w:r w:rsidRPr="00572A0B">
        <w:fldChar w:fldCharType="separate"/>
      </w:r>
      <w:r w:rsidR="00D4526D" w:rsidRPr="00D4526D">
        <w:rPr>
          <w:noProof/>
          <w:sz w:val="20"/>
        </w:rPr>
        <w:t>[11]</w:t>
      </w:r>
      <w:r w:rsidRPr="00572A0B">
        <w:fldChar w:fldCharType="end"/>
      </w:r>
    </w:p>
    <w:p w14:paraId="21113D8B" w14:textId="26893725" w:rsidR="00CD3152" w:rsidRPr="00572A0B" w:rsidRDefault="00CD3152" w:rsidP="00CD3152">
      <w:pPr>
        <w:ind w:firstLine="708"/>
        <w:jc w:val="both"/>
      </w:pPr>
      <w:r w:rsidRPr="00572A0B">
        <w:t>Diferența de gen atât în ceea ce privește utilizarea țigărilor electronice pe parcursul vieții, cât și în ultimele 30 de zile a fost semnificativă în aproape toate țările și regiunile, Albania, Armenia și Regatul Unit prezentând-o în toate grupele de vârstă. Cea mai mare diferență de gen în rândul tinerilor de 15 ani a fost găsită în Armenia (36% băieți, 6% fete) și în ultimii 30 de zile (23% băieți, mai puțin de 1% fete). Consumul actual de țigări electronice în rândul copiilor de 11 ani a fost mai mare la băieți decât la fete în toate cele 15 țări și regiuni care au prezentat o diferență semnificativă de gen. În schimb, diferența de gen în rândul tinerilor de 15 ani a fost semnificativă statistic în 19 țări și regiuni, prevalența fiind mai mare în rândul fetelor în 14 dintre ele.</w:t>
      </w:r>
      <w:r w:rsidRPr="00572A0B">
        <w:fldChar w:fldCharType="begin"/>
      </w:r>
      <w:r w:rsidR="00D4526D">
        <w:instrText xml:space="preserve"> ADDIN EN.CITE &lt;EndNote&gt;&lt;Cite&gt;&lt;Author&gt;Charrier L&lt;/Author&gt;&lt;Year&gt;2024&lt;/Year&gt;&lt;RecNum&gt;9212&lt;/RecNum&gt;&lt;DisplayText&gt;&lt;style size="10"&gt;[11]&lt;/style&gt;&lt;/DisplayText&gt;&lt;record&gt;&lt;rec-number&gt;9212&lt;/rec-number&gt;&lt;foreign-keys&gt;&lt;key app="EN" db-id="fw0prtesnvf55cepezbx255wwza5zw0ssatt" timestamp="1754623316" guid="08fcea1a-d692-4bf7-ab34-7b79dad66771"&gt;9212&lt;/key&gt;&lt;/foreign-keys&gt;&lt;ref-type name="Report"&gt;27&lt;/ref-type&gt;&lt;contributors&gt;&lt;authors&gt;&lt;author&gt;Charrier L, &lt;/author&gt;&lt;author&gt;van Dorsselaer S, &lt;/author&gt;&lt;author&gt;Canale N, Baska T, &lt;/author&gt;&lt;author&gt;Kilibarda B, &lt;/author&gt;&lt;author&gt;Comoretto RI &lt;/author&gt;&lt;/authors&gt;&lt;secondary-authors&gt;&lt;author&gt;WHO Regional Office for Europe&lt;/author&gt;&lt;/secondary-authors&gt;&lt;/contributors&gt;&lt;titles&gt;&lt;title&gt;A focus on adolescent substance use in Europe, central Asia and Canada. Health Behaviour in School-aged Children international report from the 2021/2022 survey.&lt;/title&gt;&lt;/titles&gt;&lt;volume&gt;&lt;style face="normal" font="default" charset="238" size="100%"&gt;3&lt;/style&gt;&lt;/volume&gt;&lt;dates&gt;&lt;year&gt;&lt;style face="normal" font="default" charset="238" size="100%"&gt;2024&lt;/style&gt;&lt;/year&gt;&lt;/dates&gt;&lt;pub-location&gt;Copenhagen&lt;/pub-location&gt;&lt;urls&gt;&lt;related-urls&gt;&lt;url&gt;https://iris.who.int/handle/10665/376573&lt;/url&gt;&lt;/related-urls&gt;&lt;/urls&gt;&lt;/record&gt;&lt;/Cite&gt;&lt;/EndNote&gt;</w:instrText>
      </w:r>
      <w:r w:rsidRPr="00572A0B">
        <w:fldChar w:fldCharType="separate"/>
      </w:r>
      <w:r w:rsidR="00D4526D" w:rsidRPr="00D4526D">
        <w:rPr>
          <w:noProof/>
          <w:sz w:val="20"/>
        </w:rPr>
        <w:t>[11]</w:t>
      </w:r>
      <w:r w:rsidRPr="00572A0B">
        <w:fldChar w:fldCharType="end"/>
      </w:r>
    </w:p>
    <w:p w14:paraId="48D583D4" w14:textId="377511B1" w:rsidR="00CD3152" w:rsidRPr="00574FC5" w:rsidRDefault="00CD3152" w:rsidP="00572A0B">
      <w:pPr>
        <w:ind w:firstLine="708"/>
        <w:jc w:val="both"/>
      </w:pPr>
      <w:r w:rsidRPr="00572A0B">
        <w:t>O prevalență semnificativ mai mare a fumătorilor actuali a fost găsită atât în rândul băieților, cât și al fetelor din familii cu venit crescut din 10 țări și regiuni, în timp ce situația inversă a fost observată pentru ambele sexe în Canada, Cipru și Irlanda. În alte 19 țări și regiuni, diferențele în funcție de nivelul socio-economic al familiei au fost remarcate la unul dintre genuri: numai la băieți în 12 din 19 țări, cu o prevalență mai mare în rândul familiilor cu venit crescut în opt dintre acestea și numai la fete în șapte țări din 19, cu o prevalență mai mare în rândul familiilor cu venit crescut în trei dintre acestea</w:t>
      </w:r>
      <w:r w:rsidRPr="00572A0B">
        <w:fldChar w:fldCharType="begin"/>
      </w:r>
      <w:r w:rsidR="00D4526D">
        <w:instrText xml:space="preserve"> ADDIN EN.CITE &lt;EndNote&gt;&lt;Cite&gt;&lt;Author&gt;Charrier L&lt;/Author&gt;&lt;Year&gt;2024&lt;/Year&gt;&lt;RecNum&gt;9212&lt;/RecNum&gt;&lt;DisplayText&gt;&lt;style size="10"&gt;[11]&lt;/style&gt;&lt;/DisplayText&gt;&lt;record&gt;&lt;rec-number&gt;9212&lt;/rec-number&gt;&lt;foreign-keys&gt;&lt;key app="EN" db-id="fw0prtesnvf55cepezbx255wwza5zw0ssatt" timestamp="1754623316" guid="08fcea1a-d692-4bf7-ab34-7b79dad66771"&gt;9212&lt;/key&gt;&lt;/foreign-keys&gt;&lt;ref-type name="Report"&gt;27&lt;/ref-type&gt;&lt;contributors&gt;&lt;authors&gt;&lt;author&gt;Charrier L, &lt;/author&gt;&lt;author&gt;van Dorsselaer S, &lt;/author&gt;&lt;author&gt;Canale N, Baska T, &lt;/author&gt;&lt;author&gt;Kilibarda B, &lt;/author&gt;&lt;author&gt;Comoretto RI &lt;/author&gt;&lt;/authors&gt;&lt;secondary-authors&gt;&lt;author&gt;WHO Regional Office for Europe&lt;/author&gt;&lt;/secondary-authors&gt;&lt;/contributors&gt;&lt;titles&gt;&lt;title&gt;A focus on adolescent substance use in Europe, central Asia and Canada. Health Behaviour in School-aged Children international report from the 2021/2022 survey.&lt;/title&gt;&lt;/titles&gt;&lt;volume&gt;&lt;style face="normal" font="default" charset="238" size="100%"&gt;3&lt;/style&gt;&lt;/volume&gt;&lt;dates&gt;&lt;year&gt;&lt;style face="normal" font="default" charset="238" size="100%"&gt;2024&lt;/style&gt;&lt;/year&gt;&lt;/dates&gt;&lt;pub-location&gt;Copenhagen&lt;/pub-location&gt;&lt;urls&gt;&lt;related-urls&gt;&lt;url&gt;https://iris.who.int/handle/10665/376573&lt;/url&gt;&lt;/related-urls&gt;&lt;/urls&gt;&lt;/record&gt;&lt;/Cite&gt;&lt;/EndNote&gt;</w:instrText>
      </w:r>
      <w:r w:rsidRPr="00572A0B">
        <w:fldChar w:fldCharType="separate"/>
      </w:r>
      <w:r w:rsidR="00D4526D" w:rsidRPr="00D4526D">
        <w:rPr>
          <w:noProof/>
          <w:sz w:val="20"/>
        </w:rPr>
        <w:t>[11]</w:t>
      </w:r>
      <w:r w:rsidRPr="00572A0B">
        <w:fldChar w:fldCharType="end"/>
      </w:r>
      <w:r w:rsidRPr="00572A0B">
        <w:t xml:space="preserve">. </w:t>
      </w:r>
    </w:p>
    <w:p w14:paraId="422F4584" w14:textId="77777777" w:rsidR="00CD3152" w:rsidRDefault="00CD3152" w:rsidP="00CD3152">
      <w:pPr>
        <w:pStyle w:val="Heading2"/>
      </w:pPr>
      <w:bookmarkStart w:id="47" w:name="_Toc232660562"/>
      <w:r w:rsidRPr="008B00C7">
        <w:t xml:space="preserve">Prevalența </w:t>
      </w:r>
      <w:r>
        <w:t>consumului de tutun</w:t>
      </w:r>
      <w:r w:rsidRPr="008B00C7">
        <w:t xml:space="preserve"> la adolescenții cu vârsta </w:t>
      </w:r>
      <w:r>
        <w:t>15-16</w:t>
      </w:r>
      <w:r w:rsidRPr="008B00C7">
        <w:t xml:space="preserve"> ani (</w:t>
      </w:r>
      <w:r>
        <w:t>ESPAD 2024</w:t>
      </w:r>
      <w:r w:rsidRPr="008B00C7">
        <w:t>)</w:t>
      </w:r>
      <w:bookmarkEnd w:id="47"/>
    </w:p>
    <w:p w14:paraId="2A8AA934" w14:textId="77777777" w:rsidR="00CD3152" w:rsidRPr="00436069" w:rsidRDefault="00CD3152" w:rsidP="00CD3152"/>
    <w:p w14:paraId="2489F7F9" w14:textId="554F2891" w:rsidR="00CD3152" w:rsidRPr="006E0160" w:rsidRDefault="00CD3152" w:rsidP="00A62A7C">
      <w:pPr>
        <w:pStyle w:val="ListParagraph"/>
        <w:numPr>
          <w:ilvl w:val="0"/>
          <w:numId w:val="19"/>
        </w:numPr>
        <w:spacing w:line="319" w:lineRule="auto"/>
        <w:ind w:left="0" w:firstLine="284"/>
        <w:jc w:val="both"/>
      </w:pPr>
      <w:r w:rsidRPr="00436069">
        <w:rPr>
          <w:b/>
          <w:bCs/>
          <w:i/>
          <w:iCs/>
        </w:rPr>
        <w:t>Proiectul european de cercetare în școli privind consumul de alcool și alte droguri, 2024</w:t>
      </w:r>
      <w:r w:rsidRPr="006E0160">
        <w:t>, (</w:t>
      </w:r>
      <w:r w:rsidRPr="00436069">
        <w:rPr>
          <w:b/>
          <w:bCs/>
          <w:i/>
          <w:iCs/>
        </w:rPr>
        <w:t>European School Survey on Alcohol and Other Drugs - ESPAD 2024)</w:t>
      </w:r>
      <w:r w:rsidRPr="006E0160">
        <w:t xml:space="preserve"> </w:t>
      </w:r>
      <w:r w:rsidRPr="006E0160">
        <w:fldChar w:fldCharType="begin"/>
      </w:r>
      <w:r w:rsidR="00D4526D">
        <w:instrText xml:space="preserve"> ADDIN EN.CITE &lt;EndNote&gt;&lt;Cite&gt;&lt;Author&gt;ESPAD&lt;/Author&gt;&lt;Year&gt;2025&lt;/Year&gt;&lt;RecNum&gt;9152&lt;/RecNum&gt;&lt;DisplayText&gt;&lt;style size="10"&gt;[12]&lt;/style&gt;&lt;/DisplayText&gt;&lt;record&gt;&lt;rec-number&gt;9152&lt;/rec-number&gt;&lt;foreign-keys&gt;&lt;key app="EN" db-id="fw0prtesnvf55cepezbx255wwza5zw0ssatt" timestamp="1754275132" guid="ea9154bc-81ec-47b2-8cce-3adbbca3b1ad"&gt;9152&lt;/key&gt;&lt;/foreign-keys&gt;&lt;ref-type name="Report"&gt;27&lt;/ref-type&gt;&lt;contributors&gt;&lt;authors&gt;&lt;author&gt;&lt;style face="normal" font="default" charset="238" size="100%"&gt;ESPAD&lt;/style&gt;&lt;/author&gt;&lt;/authors&gt;&lt;secondary-authors&gt;&lt;author&gt;&lt;style face="normal" font="default" charset="238" size="100%"&gt;ESPAD&lt;/style&gt;&lt;/author&gt;&lt;/secondary-authors&gt;&lt;tertiary-authors&gt;&lt;author&gt;European Union Drugs Agency&lt;/author&gt;&lt;/tertiary-authors&gt;&lt;/contributors&gt;&lt;titles&gt;&lt;title&gt;Key findings from the 2024 European School Survey Project on Alcohol and Other Drugs (ESPAD)&lt;/title&gt;&lt;/titles&gt;&lt;dates&gt;&lt;year&gt;&lt;style face="normal" font="default" charset="238" size="100%"&gt;2025&lt;/style&gt;&lt;/year&gt;&lt;/dates&gt;&lt;pub-location&gt;&lt;style face="normal" font="default" charset="238" size="100%"&gt;online&lt;/style&gt;&lt;/pub-location&gt;&lt;urls&gt;&lt;related-urls&gt;&lt;url&gt;https://www.euda.europa.eu/publications/data-factsheets/espad-2024-key-findings_en&lt;/url&gt;&lt;/related-urls&gt;&lt;/urls&gt;&lt;/record&gt;&lt;/Cite&gt;&lt;/EndNote&gt;</w:instrText>
      </w:r>
      <w:r w:rsidRPr="006E0160">
        <w:fldChar w:fldCharType="separate"/>
      </w:r>
      <w:r w:rsidR="00D4526D" w:rsidRPr="00D4526D">
        <w:rPr>
          <w:noProof/>
          <w:sz w:val="20"/>
        </w:rPr>
        <w:t>[12]</w:t>
      </w:r>
      <w:r w:rsidRPr="006E0160">
        <w:fldChar w:fldCharType="end"/>
      </w:r>
      <w:r w:rsidRPr="006E0160">
        <w:t xml:space="preserve"> , desfășurat în 2024, marchează trei decenii de monitorizare a comportamentelor riscante ale adolescenților din întreaga Europă. </w:t>
      </w:r>
      <w:r>
        <w:t>R</w:t>
      </w:r>
      <w:r w:rsidRPr="00E83C25">
        <w:t xml:space="preserve">eprezintă cea de-a optulea rundă de colectare a datelor desfășurată în cadrul proiectului ESPAD </w:t>
      </w:r>
      <w:r w:rsidRPr="00E83C25">
        <w:lastRenderedPageBreak/>
        <w:t>începând cu anul 1995</w:t>
      </w:r>
      <w:r>
        <w:t>,</w:t>
      </w:r>
      <w:r w:rsidRPr="00E83C25">
        <w:t xml:space="preserve"> iar la această ediție recentă au participat un număr total de 113.882 de elevi cu vârste cuprinse între 15 și 16 ani</w:t>
      </w:r>
      <w:r w:rsidRPr="009F10FC">
        <w:t xml:space="preserve"> din 37 de țări europene</w:t>
      </w:r>
      <w:r>
        <w:t>.</w:t>
      </w:r>
    </w:p>
    <w:p w14:paraId="5BFADB41" w14:textId="77777777" w:rsidR="00CD3152" w:rsidRPr="001F31BE" w:rsidRDefault="00CD3152" w:rsidP="00CD3152">
      <w:pPr>
        <w:pStyle w:val="Heading3"/>
      </w:pPr>
      <w:bookmarkStart w:id="48" w:name="_Toc232660563"/>
      <w:r w:rsidRPr="001F31BE">
        <w:t>Consumul de produse de tutun convențional la adolescenții 15-16 ani, ESPAD 2024</w:t>
      </w:r>
      <w:bookmarkEnd w:id="48"/>
    </w:p>
    <w:p w14:paraId="41BA379C" w14:textId="77777777" w:rsidR="00CD3152" w:rsidRDefault="00CD3152" w:rsidP="00CD3152">
      <w:pPr>
        <w:pStyle w:val="Heading4"/>
      </w:pPr>
      <w:bookmarkStart w:id="49" w:name="_Hlk210727134"/>
      <w:r w:rsidRPr="006E0160">
        <w:t>Inițierea</w:t>
      </w:r>
      <w:r>
        <w:t xml:space="preserve"> precoce a</w:t>
      </w:r>
      <w:r w:rsidRPr="006E0160">
        <w:t xml:space="preserve"> fumatului </w:t>
      </w:r>
      <w:r>
        <w:t xml:space="preserve">zilnic </w:t>
      </w:r>
      <w:r w:rsidRPr="006E0160">
        <w:t>la adolescenții de 15-16 ani</w:t>
      </w:r>
      <w:bookmarkEnd w:id="49"/>
      <w:r w:rsidRPr="006E0160">
        <w:t>, ESPAD 2024</w:t>
      </w:r>
    </w:p>
    <w:p w14:paraId="1FF44433" w14:textId="7CFF1D65" w:rsidR="00CD3152" w:rsidRPr="00F62C8B" w:rsidRDefault="00CD3152" w:rsidP="00CD3152">
      <w:pPr>
        <w:ind w:firstLine="708"/>
        <w:jc w:val="both"/>
      </w:pPr>
      <w:bookmarkStart w:id="50" w:name="_Hlk211320195"/>
      <w:r w:rsidRPr="00183519">
        <w:t>În România 20,51% dintre cei intervievați declară că au fumat pentru prima dată, prima țigară la vârsta de 13 ani sau mai devreme (19,21</w:t>
      </w:r>
      <w:r w:rsidRPr="002E03BC">
        <w:t xml:space="preserve">% dintre băieți și 21,71% dintre fete). În medie, 14,88% dintre adolescenții ESPAD raportează că au fumat pentru prima dată la vârsta de 13 ani sau mai devreme, 15% dintre băieți și 14,71% dintre fete. </w:t>
      </w:r>
      <w:r w:rsidRPr="000C52C0">
        <w:t>Cele mai mari proporții sunt înregistrate în Slovacia (24,37%) și Kosovo (22,9%), în timp ce cele mai scăzute sunt în Islanda (6,37%) și Malta (7,13%).</w:t>
      </w:r>
      <w:r w:rsidRPr="000C52C0">
        <w:fldChar w:fldCharType="begin"/>
      </w:r>
      <w:r w:rsidR="00D4526D">
        <w:instrText xml:space="preserve"> ADDIN EN.CITE &lt;EndNote&gt;&lt;Cite&gt;&lt;Author&gt;ESPAD&lt;/Author&gt;&lt;Year&gt;2025&lt;/Year&gt;&lt;RecNum&gt;9168&lt;/RecNum&gt;&lt;DisplayText&gt;&lt;style size="10"&gt;[12,13]&lt;/style&gt;&lt;/DisplayText&gt;&lt;record&gt;&lt;rec-number&gt;9168&lt;/rec-number&gt;&lt;foreign-keys&gt;&lt;key app="EN" db-id="fw0prtesnvf55cepezbx255wwza5zw0ssatt" timestamp="1754430885" guid="76464576-9d31-4800-8f67-b9399a82e498"&gt;9168&lt;/key&gt;&lt;/foreign-keys&gt;&lt;ref-type name="Online Database"&gt;45&lt;/ref-type&gt;&lt;contributors&gt;&lt;authors&gt;&lt;author&gt;&lt;style face="normal" font="default" charset="238" size="100%"&gt;ESPAD &lt;/style&gt;&lt;/author&gt;&lt;/authors&gt;&lt;/contributors&gt;&lt;titles&gt;&lt;title&gt;&lt;style face="normal" font="default" charset="238" size="100%"&gt;ESPAD Data portal - Tobacco, 2024&lt;/style&gt;&lt;/title&gt;&lt;/titles&gt;&lt;dates&gt;&lt;year&gt;&lt;style face="normal" font="default" charset="238" size="100%"&gt;2025&lt;/style&gt;&lt;/year&gt;&lt;/dates&gt;&lt;urls&gt;&lt;related-urls&gt;&lt;url&gt;https://data.espad.org/search-questions/?field-text=tobacco&lt;/url&gt;&lt;/related-urls&gt;&lt;/urls&gt;&lt;/record&gt;&lt;/Cite&gt;&lt;Cite&gt;&lt;Author&gt;ESPAD&lt;/Author&gt;&lt;Year&gt;2025&lt;/Year&gt;&lt;RecNum&gt;9152&lt;/RecNum&gt;&lt;record&gt;&lt;rec-number&gt;9152&lt;/rec-number&gt;&lt;foreign-keys&gt;&lt;key app="EN" db-id="fw0prtesnvf55cepezbx255wwza5zw0ssatt" timestamp="1754275132" guid="ea9154bc-81ec-47b2-8cce-3adbbca3b1ad"&gt;9152&lt;/key&gt;&lt;/foreign-keys&gt;&lt;ref-type name="Report"&gt;27&lt;/ref-type&gt;&lt;contributors&gt;&lt;authors&gt;&lt;author&gt;&lt;style face="normal" font="default" charset="238" size="100%"&gt;ESPAD&lt;/style&gt;&lt;/author&gt;&lt;/authors&gt;&lt;secondary-authors&gt;&lt;author&gt;&lt;style face="normal" font="default" charset="238" size="100%"&gt;ESPAD&lt;/style&gt;&lt;/author&gt;&lt;/secondary-authors&gt;&lt;tertiary-authors&gt;&lt;author&gt;European Union Drugs Agency&lt;/author&gt;&lt;/tertiary-authors&gt;&lt;/contributors&gt;&lt;titles&gt;&lt;title&gt;Key findings from the 2024 European School Survey Project on Alcohol and Other Drugs (ESPAD)&lt;/title&gt;&lt;/titles&gt;&lt;dates&gt;&lt;year&gt;&lt;style face="normal" font="default" charset="238" size="100%"&gt;2025&lt;/style&gt;&lt;/year&gt;&lt;/dates&gt;&lt;pub-location&gt;&lt;style face="normal" font="default" charset="238" size="100%"&gt;online&lt;/style&gt;&lt;/pub-location&gt;&lt;urls&gt;&lt;related-urls&gt;&lt;url&gt;https://www.euda.europa.eu/publications/data-factsheets/espad-2024-key-findings_en&lt;/url&gt;&lt;/related-urls&gt;&lt;/urls&gt;&lt;/record&gt;&lt;/Cite&gt;&lt;/EndNote&gt;</w:instrText>
      </w:r>
      <w:r w:rsidRPr="000C52C0">
        <w:fldChar w:fldCharType="separate"/>
      </w:r>
      <w:r w:rsidR="00D4526D" w:rsidRPr="00D4526D">
        <w:rPr>
          <w:noProof/>
          <w:sz w:val="20"/>
        </w:rPr>
        <w:t>[12,13]</w:t>
      </w:r>
      <w:r w:rsidRPr="000C52C0">
        <w:fldChar w:fldCharType="end"/>
      </w:r>
      <w:r w:rsidRPr="000C52C0">
        <w:t xml:space="preserve"> </w:t>
      </w:r>
      <w:r w:rsidRPr="00F62C8B">
        <w:t>În puțin peste jumătate dintre țări, inițierea timpurie (la vârsta de 13 ani) a fumatului este mai frecventă în rândul fetelor, în special în Bulgaria (23,18% față de 17,16%) și România (21,71% vs 19,21%).</w:t>
      </w:r>
      <w:r w:rsidRPr="00F62C8B">
        <w:fldChar w:fldCharType="begin"/>
      </w:r>
      <w:r w:rsidR="00D4526D">
        <w:instrText xml:space="preserve"> ADDIN EN.CITE &lt;EndNote&gt;&lt;Cite&gt;&lt;Author&gt;ESPAD&lt;/Author&gt;&lt;Year&gt;2025&lt;/Year&gt;&lt;RecNum&gt;9168&lt;/RecNum&gt;&lt;DisplayText&gt;&lt;style size="10"&gt;[12,13]&lt;/style&gt;&lt;/DisplayText&gt;&lt;record&gt;&lt;rec-number&gt;9168&lt;/rec-number&gt;&lt;foreign-keys&gt;&lt;key app="EN" db-id="fw0prtesnvf55cepezbx255wwza5zw0ssatt" timestamp="1754430885" guid="76464576-9d31-4800-8f67-b9399a82e498"&gt;9168&lt;/key&gt;&lt;/foreign-keys&gt;&lt;ref-type name="Online Database"&gt;45&lt;/ref-type&gt;&lt;contributors&gt;&lt;authors&gt;&lt;author&gt;&lt;style face="normal" font="default" charset="238" size="100%"&gt;ESPAD &lt;/style&gt;&lt;/author&gt;&lt;/authors&gt;&lt;/contributors&gt;&lt;titles&gt;&lt;title&gt;&lt;style face="normal" font="default" charset="238" size="100%"&gt;ESPAD Data portal - Tobacco, 2024&lt;/style&gt;&lt;/title&gt;&lt;/titles&gt;&lt;dates&gt;&lt;year&gt;&lt;style face="normal" font="default" charset="238" size="100%"&gt;2025&lt;/style&gt;&lt;/year&gt;&lt;/dates&gt;&lt;urls&gt;&lt;related-urls&gt;&lt;url&gt;https://data.espad.org/search-questions/?field-text=tobacco&lt;/url&gt;&lt;/related-urls&gt;&lt;/urls&gt;&lt;/record&gt;&lt;/Cite&gt;&lt;Cite&gt;&lt;Author&gt;ESPAD&lt;/Author&gt;&lt;Year&gt;2025&lt;/Year&gt;&lt;RecNum&gt;9152&lt;/RecNum&gt;&lt;record&gt;&lt;rec-number&gt;9152&lt;/rec-number&gt;&lt;foreign-keys&gt;&lt;key app="EN" db-id="fw0prtesnvf55cepezbx255wwza5zw0ssatt" timestamp="1754275132" guid="ea9154bc-81ec-47b2-8cce-3adbbca3b1ad"&gt;9152&lt;/key&gt;&lt;/foreign-keys&gt;&lt;ref-type name="Report"&gt;27&lt;/ref-type&gt;&lt;contributors&gt;&lt;authors&gt;&lt;author&gt;&lt;style face="normal" font="default" charset="238" size="100%"&gt;ESPAD&lt;/style&gt;&lt;/author&gt;&lt;/authors&gt;&lt;secondary-authors&gt;&lt;author&gt;&lt;style face="normal" font="default" charset="238" size="100%"&gt;ESPAD&lt;/style&gt;&lt;/author&gt;&lt;/secondary-authors&gt;&lt;tertiary-authors&gt;&lt;author&gt;European Union Drugs Agency&lt;/author&gt;&lt;/tertiary-authors&gt;&lt;/contributors&gt;&lt;titles&gt;&lt;title&gt;Key findings from the 2024 European School Survey Project on Alcohol and Other Drugs (ESPAD)&lt;/title&gt;&lt;/titles&gt;&lt;dates&gt;&lt;year&gt;&lt;style face="normal" font="default" charset="238" size="100%"&gt;2025&lt;/style&gt;&lt;/year&gt;&lt;/dates&gt;&lt;pub-location&gt;&lt;style face="normal" font="default" charset="238" size="100%"&gt;online&lt;/style&gt;&lt;/pub-location&gt;&lt;urls&gt;&lt;related-urls&gt;&lt;url&gt;https://www.euda.europa.eu/publications/data-factsheets/espad-2024-key-findings_en&lt;/url&gt;&lt;/related-urls&gt;&lt;/urls&gt;&lt;/record&gt;&lt;/Cite&gt;&lt;/EndNote&gt;</w:instrText>
      </w:r>
      <w:r w:rsidRPr="00F62C8B">
        <w:fldChar w:fldCharType="separate"/>
      </w:r>
      <w:r w:rsidR="00D4526D" w:rsidRPr="00D4526D">
        <w:rPr>
          <w:noProof/>
          <w:sz w:val="20"/>
        </w:rPr>
        <w:t>[12,13]</w:t>
      </w:r>
      <w:r w:rsidRPr="00F62C8B">
        <w:fldChar w:fldCharType="end"/>
      </w:r>
    </w:p>
    <w:bookmarkEnd w:id="50"/>
    <w:p w14:paraId="1B23655D" w14:textId="0520CDB6" w:rsidR="00572A0B" w:rsidRDefault="00CD3152" w:rsidP="00CD3152">
      <w:pPr>
        <w:ind w:firstLine="708"/>
        <w:jc w:val="both"/>
      </w:pPr>
      <w:r w:rsidRPr="00183519">
        <w:t>O altă cifră cheie este consumul zilnic raportat de elevii care au început să fumeze la o vârstă fragedă (13 ani sau mai devreme).</w:t>
      </w:r>
      <w:r>
        <w:t xml:space="preserve"> </w:t>
      </w:r>
      <w:r w:rsidRPr="0034624F">
        <w:t xml:space="preserve">În </w:t>
      </w:r>
      <w:r>
        <w:t>România,</w:t>
      </w:r>
      <w:r w:rsidRPr="0034624F">
        <w:t xml:space="preserve"> </w:t>
      </w:r>
      <w:r>
        <w:t>5,4</w:t>
      </w:r>
      <w:r w:rsidRPr="0034624F">
        <w:t xml:space="preserve">% dintre </w:t>
      </w:r>
      <w:r>
        <w:t>adolescenții de 15-16 ani</w:t>
      </w:r>
      <w:r w:rsidRPr="0034624F">
        <w:t xml:space="preserve"> intervievați declară că </w:t>
      </w:r>
      <w:r>
        <w:t>debutul fumatului zilnic a avut loc precoce,</w:t>
      </w:r>
      <w:r w:rsidRPr="00162670">
        <w:t xml:space="preserve"> la vârsta de 13 ani sau mai devreme</w:t>
      </w:r>
      <w:r>
        <w:t>, valoare peste media de</w:t>
      </w:r>
      <w:r w:rsidRPr="0034624F">
        <w:t xml:space="preserve"> </w:t>
      </w:r>
      <w:r>
        <w:t>3,64</w:t>
      </w:r>
      <w:r w:rsidRPr="0034624F">
        <w:t xml:space="preserve">% </w:t>
      </w:r>
      <w:r>
        <w:t>în cazul</w:t>
      </w:r>
      <w:r w:rsidRPr="0034624F">
        <w:t xml:space="preserve"> adolescenți</w:t>
      </w:r>
      <w:r>
        <w:t>lor</w:t>
      </w:r>
      <w:r w:rsidRPr="0034624F">
        <w:t xml:space="preserve"> ESPAD. Cele mai mari proporții sunt înregistrate în </w:t>
      </w:r>
      <w:r>
        <w:t>Bulgaria</w:t>
      </w:r>
      <w:r w:rsidRPr="0034624F">
        <w:t xml:space="preserve"> (</w:t>
      </w:r>
      <w:r>
        <w:t>8,73</w:t>
      </w:r>
      <w:r w:rsidRPr="0034624F">
        <w:t>%)</w:t>
      </w:r>
      <w:r>
        <w:t>,</w:t>
      </w:r>
      <w:r w:rsidRPr="0034624F">
        <w:t xml:space="preserve"> Kosovo </w:t>
      </w:r>
      <w:r>
        <w:t xml:space="preserve">(6,61%), Slovacia </w:t>
      </w:r>
      <w:r w:rsidRPr="0034624F">
        <w:t>(</w:t>
      </w:r>
      <w:r>
        <w:t>6,61</w:t>
      </w:r>
      <w:r w:rsidRPr="0034624F">
        <w:t>%)</w:t>
      </w:r>
      <w:r>
        <w:t xml:space="preserve"> și Ucraina (6,2%)</w:t>
      </w:r>
      <w:r w:rsidRPr="0034624F">
        <w:t xml:space="preserve">, în timp </w:t>
      </w:r>
      <w:r>
        <w:t>frecvențe</w:t>
      </w:r>
      <w:r w:rsidRPr="0034624F">
        <w:t xml:space="preserve"> scăzute s</w:t>
      </w:r>
      <w:r>
        <w:t>unt</w:t>
      </w:r>
      <w:r w:rsidRPr="0034624F">
        <w:t xml:space="preserve"> în </w:t>
      </w:r>
      <w:r>
        <w:t>Franța (1,42%),</w:t>
      </w:r>
      <w:r w:rsidRPr="001455E5">
        <w:t xml:space="preserve"> Danemarca (1,45%) </w:t>
      </w:r>
      <w:r>
        <w:t xml:space="preserve"> și Suedia (1,63%)(</w:t>
      </w:r>
      <w:r>
        <w:fldChar w:fldCharType="begin"/>
      </w:r>
      <w:r>
        <w:instrText xml:space="preserve"> REF _Ref211331449 \h </w:instrText>
      </w:r>
      <w:r>
        <w:fldChar w:fldCharType="separate"/>
      </w:r>
      <w:r>
        <w:t xml:space="preserve">Figura </w:t>
      </w:r>
      <w:r>
        <w:rPr>
          <w:noProof/>
        </w:rPr>
        <w:t>I</w:t>
      </w:r>
      <w:r>
        <w:t>.</w:t>
      </w:r>
      <w:r>
        <w:rPr>
          <w:noProof/>
        </w:rPr>
        <w:t>38</w:t>
      </w:r>
      <w:r>
        <w:fldChar w:fldCharType="end"/>
      </w:r>
      <w:r>
        <w:t>)</w:t>
      </w:r>
      <w:r>
        <w:fldChar w:fldCharType="begin"/>
      </w:r>
      <w:r w:rsidR="00D4526D">
        <w:instrText xml:space="preserve"> ADDIN EN.CITE &lt;EndNote&gt;&lt;Cite&gt;&lt;Author&gt;ESPAD&lt;/Author&gt;&lt;Year&gt;2025&lt;/Year&gt;&lt;RecNum&gt;9168&lt;/RecNum&gt;&lt;DisplayText&gt;&lt;style size="10"&gt;[13]&lt;/style&gt;&lt;/DisplayText&gt;&lt;record&gt;&lt;rec-number&gt;9168&lt;/rec-number&gt;&lt;foreign-keys&gt;&lt;key app="EN" db-id="fw0prtesnvf55cepezbx255wwza5zw0ssatt" timestamp="1754430885" guid="76464576-9d31-4800-8f67-b9399a82e498"&gt;9168&lt;/key&gt;&lt;/foreign-keys&gt;&lt;ref-type name="Online Database"&gt;45&lt;/ref-type&gt;&lt;contributors&gt;&lt;authors&gt;&lt;author&gt;&lt;style face="normal" font="default" charset="238" size="100%"&gt;ESPAD &lt;/style&gt;&lt;/author&gt;&lt;/authors&gt;&lt;/contributors&gt;&lt;titles&gt;&lt;title&gt;&lt;style face="normal" font="default" charset="238" size="100%"&gt;ESPAD Data portal - Tobacco, 2024&lt;/style&gt;&lt;/title&gt;&lt;/titles&gt;&lt;dates&gt;&lt;year&gt;&lt;style face="normal" font="default" charset="238" size="100%"&gt;2025&lt;/style&gt;&lt;/year&gt;&lt;/dates&gt;&lt;urls&gt;&lt;related-urls&gt;&lt;url&gt;https://data.espad.org/search-questions/?field-text=tobacco&lt;/url&gt;&lt;/related-urls&gt;&lt;/urls&gt;&lt;/record&gt;&lt;/Cite&gt;&lt;/EndNote&gt;</w:instrText>
      </w:r>
      <w:r>
        <w:fldChar w:fldCharType="separate"/>
      </w:r>
      <w:r w:rsidR="00D4526D" w:rsidRPr="00D4526D">
        <w:rPr>
          <w:noProof/>
          <w:sz w:val="20"/>
        </w:rPr>
        <w:t>[13]</w:t>
      </w:r>
      <w:r>
        <w:fldChar w:fldCharType="end"/>
      </w:r>
      <w:r>
        <w:t>.</w:t>
      </w:r>
    </w:p>
    <w:p w14:paraId="78E91AE9" w14:textId="01B1C01A" w:rsidR="00CD3152" w:rsidRDefault="00CD3152" w:rsidP="00572A0B">
      <w:pPr>
        <w:ind w:firstLine="0"/>
        <w:jc w:val="both"/>
      </w:pPr>
      <w:r>
        <w:rPr>
          <w:noProof/>
        </w:rPr>
        <w:drawing>
          <wp:inline distT="0" distB="0" distL="0" distR="0" wp14:anchorId="0443770D" wp14:editId="2B3AE8FE">
            <wp:extent cx="5849620" cy="2520000"/>
            <wp:effectExtent l="0" t="0" r="17780" b="13970"/>
            <wp:docPr id="1854988255" name="Chart 1">
              <a:extLst xmlns:a="http://schemas.openxmlformats.org/drawingml/2006/main">
                <a:ext uri="{FF2B5EF4-FFF2-40B4-BE49-F238E27FC236}">
                  <a16:creationId xmlns:a16="http://schemas.microsoft.com/office/drawing/2014/main" id="{F1B99193-F5E9-4A90-92DC-C2F079F0962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14:paraId="21BA5A4D" w14:textId="31088F39" w:rsidR="00CD3152" w:rsidRPr="006E0160" w:rsidRDefault="00CD3152" w:rsidP="00CD3152">
      <w:pPr>
        <w:pStyle w:val="Caption"/>
        <w:jc w:val="both"/>
      </w:pPr>
      <w:bookmarkStart w:id="51" w:name="_Ref211331449"/>
      <w:r>
        <w:t xml:space="preserve">Figura </w:t>
      </w:r>
      <w:fldSimple w:instr=" STYLEREF 1 \s ">
        <w:r w:rsidR="0080370C">
          <w:rPr>
            <w:noProof/>
          </w:rPr>
          <w:t>I</w:t>
        </w:r>
      </w:fldSimple>
      <w:r w:rsidR="0080370C">
        <w:t>.</w:t>
      </w:r>
      <w:fldSimple w:instr=" SEQ Figura \* ARABIC \s 1 ">
        <w:r w:rsidR="0080370C">
          <w:rPr>
            <w:noProof/>
          </w:rPr>
          <w:t>37</w:t>
        </w:r>
      </w:fldSimple>
      <w:bookmarkEnd w:id="51"/>
      <w:r w:rsidRPr="00E12ADC">
        <w:t xml:space="preserve"> Inițierea</w:t>
      </w:r>
      <w:r>
        <w:t xml:space="preserve"> precoce (în jurul vârstei de 13 ani) a</w:t>
      </w:r>
      <w:r w:rsidRPr="00E12ADC">
        <w:t xml:space="preserve"> fumatului </w:t>
      </w:r>
      <w:r>
        <w:t xml:space="preserve">zilnic </w:t>
      </w:r>
      <w:r w:rsidRPr="00E12ADC">
        <w:t>la adolescenții de 15-16 ani</w:t>
      </w:r>
      <w:r>
        <w:t xml:space="preserve"> în țările ESPAD,</w:t>
      </w:r>
      <w:r w:rsidRPr="00E12ADC">
        <w:t xml:space="preserve"> Sursa: ESPAD 2024</w:t>
      </w:r>
    </w:p>
    <w:p w14:paraId="052706FB" w14:textId="77777777" w:rsidR="00CD3152" w:rsidRDefault="00CD3152" w:rsidP="00CD3152">
      <w:pPr>
        <w:ind w:firstLine="708"/>
        <w:jc w:val="both"/>
      </w:pPr>
    </w:p>
    <w:p w14:paraId="454377D7" w14:textId="77777777" w:rsidR="00CD3152" w:rsidRDefault="00CD3152" w:rsidP="00CD3152">
      <w:pPr>
        <w:keepNext/>
        <w:jc w:val="center"/>
      </w:pPr>
      <w:r>
        <w:rPr>
          <w:noProof/>
        </w:rPr>
        <w:lastRenderedPageBreak/>
        <w:drawing>
          <wp:inline distT="0" distB="0" distL="0" distR="0" wp14:anchorId="0E0925C1" wp14:editId="0FFA098D">
            <wp:extent cx="5040000" cy="2520000"/>
            <wp:effectExtent l="0" t="0" r="8255" b="13970"/>
            <wp:docPr id="641130082" name="Chart 1">
              <a:extLst xmlns:a="http://schemas.openxmlformats.org/drawingml/2006/main">
                <a:ext uri="{FF2B5EF4-FFF2-40B4-BE49-F238E27FC236}">
                  <a16:creationId xmlns:a16="http://schemas.microsoft.com/office/drawing/2014/main" id="{81C2F8D4-B5E7-4A62-9DBF-0A6416FB0BF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14:paraId="485956D6" w14:textId="1C3D999E" w:rsidR="00CD3152" w:rsidRDefault="00CD3152" w:rsidP="00CD3152">
      <w:pPr>
        <w:pStyle w:val="Caption"/>
        <w:jc w:val="center"/>
      </w:pPr>
      <w:bookmarkStart w:id="52" w:name="_Ref211331472"/>
      <w:r>
        <w:t xml:space="preserve">Figura </w:t>
      </w:r>
      <w:fldSimple w:instr=" STYLEREF 1 \s ">
        <w:r w:rsidR="0080370C">
          <w:rPr>
            <w:noProof/>
          </w:rPr>
          <w:t>I</w:t>
        </w:r>
      </w:fldSimple>
      <w:r w:rsidR="0080370C">
        <w:t>.</w:t>
      </w:r>
      <w:fldSimple w:instr=" SEQ Figura \* ARABIC \s 1 ">
        <w:r w:rsidR="0080370C">
          <w:rPr>
            <w:noProof/>
          </w:rPr>
          <w:t>38</w:t>
        </w:r>
      </w:fldSimple>
      <w:bookmarkEnd w:id="52"/>
      <w:r w:rsidRPr="00E12ADC">
        <w:t xml:space="preserve"> Inițierea precoce (în jurul vârstei de 13 ani) a</w:t>
      </w:r>
      <w:r>
        <w:t xml:space="preserve"> </w:t>
      </w:r>
      <w:r w:rsidRPr="00E12ADC">
        <w:t>fumatului</w:t>
      </w:r>
      <w:r>
        <w:t xml:space="preserve"> zilnic</w:t>
      </w:r>
      <w:r w:rsidRPr="00E12ADC">
        <w:t xml:space="preserve"> la adolescenții de 15-16 ani</w:t>
      </w:r>
      <w:r>
        <w:t xml:space="preserve"> </w:t>
      </w:r>
      <w:r w:rsidRPr="00E12ADC">
        <w:t xml:space="preserve"> </w:t>
      </w:r>
      <w:r>
        <w:t>în perioada 1999 – 2024,</w:t>
      </w:r>
      <w:r w:rsidRPr="00E67C72">
        <w:t xml:space="preserve"> în funcție de gen</w:t>
      </w:r>
      <w:r>
        <w:t xml:space="preserve">, Ro vs UE, </w:t>
      </w:r>
      <w:r w:rsidRPr="00E12ADC">
        <w:t>Sursa: ESPAD 2024</w:t>
      </w:r>
    </w:p>
    <w:p w14:paraId="26652084" w14:textId="77777777" w:rsidR="00CD3152" w:rsidRDefault="00CD3152" w:rsidP="00CD3152">
      <w:pPr>
        <w:ind w:firstLine="708"/>
        <w:jc w:val="both"/>
      </w:pPr>
      <w:r>
        <w:t>În perioada 1999 – 2024, frecvența adolescenților de ambele sexe care inițiază fumatul zilnic precoce în țările ESPAD</w:t>
      </w:r>
      <w:r w:rsidRPr="00E85A0E">
        <w:t xml:space="preserve"> c</w:t>
      </w:r>
      <w:r>
        <w:t>unoaște un</w:t>
      </w:r>
      <w:r w:rsidRPr="00E85A0E">
        <w:t xml:space="preserve"> trend descrescător</w:t>
      </w:r>
      <w:r>
        <w:t xml:space="preserve">. </w:t>
      </w:r>
    </w:p>
    <w:p w14:paraId="109D3A74" w14:textId="1BE0ABF3" w:rsidR="00CD3152" w:rsidRDefault="00CD3152" w:rsidP="00CD3152">
      <w:pPr>
        <w:ind w:firstLine="708"/>
        <w:jc w:val="both"/>
      </w:pPr>
      <w:r>
        <w:t>La nivelul țărilor ESPAD, procentul de fumători zilnici cu vârsta de 13 ani sau mai mică a scăzut de la primul ESPAD din 1999 la cel actual, ESPAD 2024 (de la 9,34% la 3,64%). Cu toate acestea, comparând cu datele de la ESPAD imediat anterior (ESPAD 2019), respectiv 2,97%, se poate remarca o creștere de 0,6 puncte procentuale. Prevalența în rândul adolescenților de genul masculin rămâne aproape constantă, astfel încât se poate concluziona că această creștere este determinată de fete, în rândul cărora rata crește de la 2,5% la 3,61%)(</w:t>
      </w:r>
      <w:r>
        <w:fldChar w:fldCharType="begin"/>
      </w:r>
      <w:r>
        <w:instrText xml:space="preserve"> REF _Ref211331472 \h </w:instrText>
      </w:r>
      <w:r>
        <w:fldChar w:fldCharType="separate"/>
      </w:r>
      <w:r>
        <w:t xml:space="preserve">Figura </w:t>
      </w:r>
      <w:r>
        <w:rPr>
          <w:noProof/>
        </w:rPr>
        <w:t>I</w:t>
      </w:r>
      <w:r>
        <w:t>.</w:t>
      </w:r>
      <w:r>
        <w:rPr>
          <w:noProof/>
        </w:rPr>
        <w:t>39</w:t>
      </w:r>
      <w:r>
        <w:fldChar w:fldCharType="end"/>
      </w:r>
      <w:r>
        <w:t>)</w:t>
      </w:r>
      <w:r>
        <w:fldChar w:fldCharType="begin"/>
      </w:r>
      <w:r w:rsidR="00D4526D">
        <w:instrText xml:space="preserve"> ADDIN EN.CITE &lt;EndNote&gt;&lt;Cite&gt;&lt;Author&gt;ESPAD&lt;/Author&gt;&lt;Year&gt;2025&lt;/Year&gt;&lt;RecNum&gt;9152&lt;/RecNum&gt;&lt;DisplayText&gt;&lt;style size="10"&gt;[12]&lt;/style&gt;&lt;/DisplayText&gt;&lt;record&gt;&lt;rec-number&gt;9152&lt;/rec-number&gt;&lt;foreign-keys&gt;&lt;key app="EN" db-id="fw0prtesnvf55cepezbx255wwza5zw0ssatt" timestamp="1754275132" guid="ea9154bc-81ec-47b2-8cce-3adbbca3b1ad"&gt;9152&lt;/key&gt;&lt;/foreign-keys&gt;&lt;ref-type name="Report"&gt;27&lt;/ref-type&gt;&lt;contributors&gt;&lt;authors&gt;&lt;author&gt;&lt;style face="normal" font="default" charset="238" size="100%"&gt;ESPAD&lt;/style&gt;&lt;/author&gt;&lt;/authors&gt;&lt;secondary-authors&gt;&lt;author&gt;&lt;style face="normal" font="default" charset="238" size="100%"&gt;ESPAD&lt;/style&gt;&lt;/author&gt;&lt;/secondary-authors&gt;&lt;tertiary-authors&gt;&lt;author&gt;European Union Drugs Agency&lt;/author&gt;&lt;/tertiary-authors&gt;&lt;/contributors&gt;&lt;titles&gt;&lt;title&gt;Key findings from the 2024 European School Survey Project on Alcohol and Other Drugs (ESPAD)&lt;/title&gt;&lt;/titles&gt;&lt;dates&gt;&lt;year&gt;&lt;style face="normal" font="default" charset="238" size="100%"&gt;2025&lt;/style&gt;&lt;/year&gt;&lt;/dates&gt;&lt;pub-location&gt;&lt;style face="normal" font="default" charset="238" size="100%"&gt;online&lt;/style&gt;&lt;/pub-location&gt;&lt;urls&gt;&lt;related-urls&gt;&lt;url&gt;https://www.euda.europa.eu/publications/data-factsheets/espad-2024-key-findings_en&lt;/url&gt;&lt;/related-urls&gt;&lt;/urls&gt;&lt;/record&gt;&lt;/Cite&gt;&lt;/EndNote&gt;</w:instrText>
      </w:r>
      <w:r>
        <w:fldChar w:fldCharType="separate"/>
      </w:r>
      <w:r w:rsidR="00D4526D" w:rsidRPr="00D4526D">
        <w:rPr>
          <w:noProof/>
          <w:sz w:val="20"/>
        </w:rPr>
        <w:t>[12]</w:t>
      </w:r>
      <w:r>
        <w:fldChar w:fldCharType="end"/>
      </w:r>
      <w:r>
        <w:t>.</w:t>
      </w:r>
    </w:p>
    <w:p w14:paraId="7AD82717" w14:textId="344A1663" w:rsidR="00CD3152" w:rsidRDefault="00CD3152" w:rsidP="00CD3152">
      <w:pPr>
        <w:ind w:firstLine="708"/>
        <w:jc w:val="both"/>
      </w:pPr>
      <w:r>
        <w:t xml:space="preserve"> În România se remarcă o evoluție  favorabilă, de scădere, în cazul băieților de 15-16 ani (de la 6,26% în cadrul primului studiu ESPAD din 1999 la 4,59% în anul 2024), dar un trend crescător accentuat în cazul fetelor ( de la 2,32% la 6,17%)(</w:t>
      </w:r>
      <w:r>
        <w:fldChar w:fldCharType="begin"/>
      </w:r>
      <w:r>
        <w:instrText xml:space="preserve"> REF _Ref211331472 \h </w:instrText>
      </w:r>
      <w:r>
        <w:fldChar w:fldCharType="separate"/>
      </w:r>
      <w:r>
        <w:t xml:space="preserve">Figura </w:t>
      </w:r>
      <w:r>
        <w:rPr>
          <w:noProof/>
        </w:rPr>
        <w:t>I</w:t>
      </w:r>
      <w:r>
        <w:t>.</w:t>
      </w:r>
      <w:r>
        <w:rPr>
          <w:noProof/>
        </w:rPr>
        <w:t>39</w:t>
      </w:r>
      <w:r>
        <w:fldChar w:fldCharType="end"/>
      </w:r>
      <w:r>
        <w:t>)</w:t>
      </w:r>
      <w:r>
        <w:fldChar w:fldCharType="begin"/>
      </w:r>
      <w:r w:rsidR="00D4526D">
        <w:instrText xml:space="preserve"> ADDIN EN.CITE &lt;EndNote&gt;&lt;Cite&gt;&lt;Author&gt;ESPAD&lt;/Author&gt;&lt;Year&gt;2025&lt;/Year&gt;&lt;RecNum&gt;9168&lt;/RecNum&gt;&lt;DisplayText&gt;&lt;style size="10"&gt;[13]&lt;/style&gt;&lt;/DisplayText&gt;&lt;record&gt;&lt;rec-number&gt;9168&lt;/rec-number&gt;&lt;foreign-keys&gt;&lt;key app="EN" db-id="fw0prtesnvf55cepezbx255wwza5zw0ssatt" timestamp="1754430885" guid="76464576-9d31-4800-8f67-b9399a82e498"&gt;9168&lt;/key&gt;&lt;/foreign-keys&gt;&lt;ref-type name="Online Database"&gt;45&lt;/ref-type&gt;&lt;contributors&gt;&lt;authors&gt;&lt;author&gt;&lt;style face="normal" font="default" charset="238" size="100%"&gt;ESPAD &lt;/style&gt;&lt;/author&gt;&lt;/authors&gt;&lt;/contributors&gt;&lt;titles&gt;&lt;title&gt;&lt;style face="normal" font="default" charset="238" size="100%"&gt;ESPAD Data portal - Tobacco, 2024&lt;/style&gt;&lt;/title&gt;&lt;/titles&gt;&lt;dates&gt;&lt;year&gt;&lt;style face="normal" font="default" charset="238" size="100%"&gt;2025&lt;/style&gt;&lt;/year&gt;&lt;/dates&gt;&lt;urls&gt;&lt;related-urls&gt;&lt;url&gt;https://data.espad.org/search-questions/?field-text=tobacco&lt;/url&gt;&lt;/related-urls&gt;&lt;/urls&gt;&lt;/record&gt;&lt;/Cite&gt;&lt;/EndNote&gt;</w:instrText>
      </w:r>
      <w:r>
        <w:fldChar w:fldCharType="separate"/>
      </w:r>
      <w:r w:rsidR="00D4526D" w:rsidRPr="00D4526D">
        <w:rPr>
          <w:noProof/>
          <w:sz w:val="20"/>
        </w:rPr>
        <w:t>[13]</w:t>
      </w:r>
      <w:r>
        <w:fldChar w:fldCharType="end"/>
      </w:r>
      <w:r>
        <w:t>.</w:t>
      </w:r>
    </w:p>
    <w:p w14:paraId="51608AFA" w14:textId="647874AD" w:rsidR="00CD3152" w:rsidRPr="006168CA" w:rsidRDefault="006105DA" w:rsidP="00A62A7C">
      <w:pPr>
        <w:pStyle w:val="ListParagraph"/>
        <w:numPr>
          <w:ilvl w:val="0"/>
          <w:numId w:val="28"/>
        </w:numPr>
        <w:spacing w:line="319" w:lineRule="auto"/>
        <w:rPr>
          <w:b/>
          <w:bCs/>
          <w:u w:val="single"/>
        </w:rPr>
      </w:pPr>
      <w:r>
        <w:rPr>
          <w:b/>
          <w:bCs/>
          <w:u w:val="single"/>
        </w:rPr>
        <w:t>Gradul de accesibilitate</w:t>
      </w:r>
      <w:r w:rsidR="00CD3152" w:rsidRPr="006168CA">
        <w:rPr>
          <w:b/>
          <w:bCs/>
          <w:u w:val="single"/>
        </w:rPr>
        <w:t xml:space="preserve"> la țigări la adolescenții de 15-16 ani, ESPAD 2024</w:t>
      </w:r>
    </w:p>
    <w:p w14:paraId="7FC068C4" w14:textId="04A64C4A" w:rsidR="00CD3152" w:rsidRPr="0058340B" w:rsidRDefault="00CD3152" w:rsidP="00CD3152">
      <w:pPr>
        <w:ind w:firstLine="708"/>
        <w:jc w:val="both"/>
      </w:pPr>
      <w:r w:rsidRPr="0058340B">
        <w:t>În România 46% dintre respondenți afirmă că le este facil să obțină țigări</w:t>
      </w:r>
      <w:r>
        <w:t xml:space="preserve"> </w:t>
      </w:r>
      <w:r w:rsidRPr="006168CA">
        <w:t>(25,55% ușor și 20,28% foarte ușor)</w:t>
      </w:r>
      <w:r w:rsidRPr="0058340B">
        <w:t>. Mai mult de jumătate dintre elevii ESPAD (55%) consideră că țigările sunt destul de ușor sau foarte ușor de obținut</w:t>
      </w:r>
      <w:r>
        <w:t xml:space="preserve"> </w:t>
      </w:r>
      <w:r w:rsidRPr="006168CA">
        <w:t>(28,1%, respectiv 27,64%)</w:t>
      </w:r>
      <w:r>
        <w:fldChar w:fldCharType="begin"/>
      </w:r>
      <w:r w:rsidR="00D4526D">
        <w:instrText xml:space="preserve"> ADDIN EN.CITE &lt;EndNote&gt;&lt;Cite&gt;&lt;Author&gt;ESPAD&lt;/Author&gt;&lt;Year&gt;2025&lt;/Year&gt;&lt;RecNum&gt;9168&lt;/RecNum&gt;&lt;DisplayText&gt;&lt;style size="10"&gt;[13]&lt;/style&gt;&lt;/DisplayText&gt;&lt;record&gt;&lt;rec-number&gt;9168&lt;/rec-number&gt;&lt;foreign-keys&gt;&lt;key app="EN" db-id="fw0prtesnvf55cepezbx255wwza5zw0ssatt" timestamp="1754430885" guid="76464576-9d31-4800-8f67-b9399a82e498"&gt;9168&lt;/key&gt;&lt;/foreign-keys&gt;&lt;ref-type name="Online Database"&gt;45&lt;/ref-type&gt;&lt;contributors&gt;&lt;authors&gt;&lt;author&gt;&lt;style face="normal" font="default" charset="238" size="100%"&gt;ESPAD &lt;/style&gt;&lt;/author&gt;&lt;/authors&gt;&lt;/contributors&gt;&lt;titles&gt;&lt;title&gt;&lt;style face="normal" font="default" charset="238" size="100%"&gt;ESPAD Data portal - Tobacco, 2024&lt;/style&gt;&lt;/title&gt;&lt;/titles&gt;&lt;dates&gt;&lt;year&gt;&lt;style face="normal" font="default" charset="238" size="100%"&gt;2025&lt;/style&gt;&lt;/year&gt;&lt;/dates&gt;&lt;urls&gt;&lt;related-urls&gt;&lt;url&gt;https://data.espad.org/search-questions/?field-text=tobacco&lt;/url&gt;&lt;/related-urls&gt;&lt;/urls&gt;&lt;/record&gt;&lt;/Cite&gt;&lt;/EndNote&gt;</w:instrText>
      </w:r>
      <w:r>
        <w:fldChar w:fldCharType="separate"/>
      </w:r>
      <w:r w:rsidR="00D4526D" w:rsidRPr="00D4526D">
        <w:rPr>
          <w:noProof/>
          <w:sz w:val="20"/>
        </w:rPr>
        <w:t>[13]</w:t>
      </w:r>
      <w:r>
        <w:fldChar w:fldCharType="end"/>
      </w:r>
      <w:r w:rsidRPr="0058340B">
        <w:t>. Această percepție este cea mai ridicată în Danemarca (76%), urmată de Germania și Norvegia (70%). În schimb, cele mai scăzute proporții sunt raportate în Kosovo (32%) și Moldova (23%)</w:t>
      </w:r>
      <w:r>
        <w:fldChar w:fldCharType="begin"/>
      </w:r>
      <w:r w:rsidR="00D4526D">
        <w:instrText xml:space="preserve"> ADDIN EN.CITE &lt;EndNote&gt;&lt;Cite&gt;&lt;Author&gt;ESPAD&lt;/Author&gt;&lt;Year&gt;2025&lt;/Year&gt;&lt;RecNum&gt;9152&lt;/RecNum&gt;&lt;DisplayText&gt;&lt;style size="10"&gt;[12]&lt;/style&gt;&lt;/DisplayText&gt;&lt;record&gt;&lt;rec-number&gt;9152&lt;/rec-number&gt;&lt;foreign-keys&gt;&lt;key app="EN" db-id="fw0prtesnvf55cepezbx255wwza5zw0ssatt" timestamp="1754275132" guid="ea9154bc-81ec-47b2-8cce-3adbbca3b1ad"&gt;9152&lt;/key&gt;&lt;/foreign-keys&gt;&lt;ref-type name="Report"&gt;27&lt;/ref-type&gt;&lt;contributors&gt;&lt;authors&gt;&lt;author&gt;&lt;style face="normal" font="default" charset="238" size="100%"&gt;ESPAD&lt;/style&gt;&lt;/author&gt;&lt;/authors&gt;&lt;secondary-authors&gt;&lt;author&gt;&lt;style face="normal" font="default" charset="238" size="100%"&gt;ESPAD&lt;/style&gt;&lt;/author&gt;&lt;/secondary-authors&gt;&lt;tertiary-authors&gt;&lt;author&gt;European Union Drugs Agency&lt;/author&gt;&lt;/tertiary-authors&gt;&lt;/contributors&gt;&lt;titles&gt;&lt;title&gt;Key findings from the 2024 European School Survey Project on Alcohol and Other Drugs (ESPAD)&lt;/title&gt;&lt;/titles&gt;&lt;dates&gt;&lt;year&gt;&lt;style face="normal" font="default" charset="238" size="100%"&gt;2025&lt;/style&gt;&lt;/year&gt;&lt;/dates&gt;&lt;pub-location&gt;&lt;style face="normal" font="default" charset="238" size="100%"&gt;online&lt;/style&gt;&lt;/pub-location&gt;&lt;urls&gt;&lt;related-urls&gt;&lt;url&gt;https://www.euda.europa.eu/publications/data-factsheets/espad-2024-key-findings_en&lt;/url&gt;&lt;/related-urls&gt;&lt;/urls&gt;&lt;/record&gt;&lt;/Cite&gt;&lt;/EndNote&gt;</w:instrText>
      </w:r>
      <w:r>
        <w:fldChar w:fldCharType="separate"/>
      </w:r>
      <w:r w:rsidR="00D4526D" w:rsidRPr="00D4526D">
        <w:rPr>
          <w:noProof/>
          <w:sz w:val="20"/>
        </w:rPr>
        <w:t>[12]</w:t>
      </w:r>
      <w:r>
        <w:fldChar w:fldCharType="end"/>
      </w:r>
      <w:r w:rsidRPr="0058340B">
        <w:t xml:space="preserve">. </w:t>
      </w:r>
    </w:p>
    <w:p w14:paraId="13802024" w14:textId="747958ED" w:rsidR="00CD3152" w:rsidRDefault="00CD3152" w:rsidP="00CD3152">
      <w:pPr>
        <w:ind w:firstLine="708"/>
        <w:jc w:val="both"/>
      </w:pPr>
      <w:r>
        <w:t>În general, băieții sunt ușor mai predispuși decât fetele să perceapă țigările ca fiind ușor accesibile (56,76% față de 54,74%). Și în România se înregistrează aceeași tendință – 47,05% dintre băieți și 44,63% dintre fete afirmă că le este ușor să aibă acces la țigări atunci când își doresc</w:t>
      </w:r>
      <w:r>
        <w:fldChar w:fldCharType="begin"/>
      </w:r>
      <w:r w:rsidR="00D4526D">
        <w:instrText xml:space="preserve"> ADDIN EN.CITE &lt;EndNote&gt;&lt;Cite&gt;&lt;Author&gt;ESPAD&lt;/Author&gt;&lt;Year&gt;2025&lt;/Year&gt;&lt;RecNum&gt;9168&lt;/RecNum&gt;&lt;DisplayText&gt;&lt;style size="10"&gt;[13]&lt;/style&gt;&lt;/DisplayText&gt;&lt;record&gt;&lt;rec-number&gt;9168&lt;/rec-number&gt;&lt;foreign-keys&gt;&lt;key app="EN" db-id="fw0prtesnvf55cepezbx255wwza5zw0ssatt" timestamp="1754430885" guid="76464576-9d31-4800-8f67-b9399a82e498"&gt;9168&lt;/key&gt;&lt;/foreign-keys&gt;&lt;ref-type name="Online Database"&gt;45&lt;/ref-type&gt;&lt;contributors&gt;&lt;authors&gt;&lt;author&gt;&lt;style face="normal" font="default" charset="238" size="100%"&gt;ESPAD &lt;/style&gt;&lt;/author&gt;&lt;/authors&gt;&lt;/contributors&gt;&lt;titles&gt;&lt;title&gt;&lt;style face="normal" font="default" charset="238" size="100%"&gt;ESPAD Data portal - Tobacco, 2024&lt;/style&gt;&lt;/title&gt;&lt;/titles&gt;&lt;dates&gt;&lt;year&gt;&lt;style face="normal" font="default" charset="238" size="100%"&gt;2025&lt;/style&gt;&lt;/year&gt;&lt;/dates&gt;&lt;urls&gt;&lt;related-urls&gt;&lt;url&gt;https://data.espad.org/search-questions/?field-text=tobacco&lt;/url&gt;&lt;/related-urls&gt;&lt;/urls&gt;&lt;/record&gt;&lt;/Cite&gt;&lt;/EndNote&gt;</w:instrText>
      </w:r>
      <w:r>
        <w:fldChar w:fldCharType="separate"/>
      </w:r>
      <w:r w:rsidR="00D4526D" w:rsidRPr="00D4526D">
        <w:rPr>
          <w:noProof/>
          <w:sz w:val="20"/>
        </w:rPr>
        <w:t>[13]</w:t>
      </w:r>
      <w:r>
        <w:fldChar w:fldCharType="end"/>
      </w:r>
      <w:r>
        <w:t>.</w:t>
      </w:r>
    </w:p>
    <w:p w14:paraId="355DBF26" w14:textId="77777777" w:rsidR="00CD3152" w:rsidRPr="00234D9A" w:rsidRDefault="00CD3152" w:rsidP="00A62A7C">
      <w:pPr>
        <w:pStyle w:val="Heading4"/>
        <w:numPr>
          <w:ilvl w:val="0"/>
          <w:numId w:val="21"/>
        </w:numPr>
        <w:snapToGrid/>
        <w:spacing w:after="0"/>
        <w:contextualSpacing w:val="0"/>
      </w:pPr>
      <w:r w:rsidRPr="00234D9A">
        <w:t>Consumul zilnic de</w:t>
      </w:r>
      <w:r>
        <w:t xml:space="preserve"> țigări </w:t>
      </w:r>
      <w:r w:rsidRPr="00234D9A">
        <w:t>la adolescenții de 15 – 16 ani</w:t>
      </w:r>
      <w:r>
        <w:t xml:space="preserve"> (</w:t>
      </w:r>
      <w:r w:rsidRPr="00234D9A">
        <w:t>ESPAD 2024</w:t>
      </w:r>
      <w:r>
        <w:t>)</w:t>
      </w:r>
    </w:p>
    <w:p w14:paraId="687AE5E0" w14:textId="77777777" w:rsidR="00CD3152" w:rsidRPr="006E0160" w:rsidRDefault="00CD3152" w:rsidP="00CD3152">
      <w:pPr>
        <w:jc w:val="center"/>
      </w:pPr>
      <w:r>
        <w:rPr>
          <w:noProof/>
        </w:rPr>
        <w:lastRenderedPageBreak/>
        <w:drawing>
          <wp:inline distT="0" distB="0" distL="0" distR="0" wp14:anchorId="064D0EB0" wp14:editId="55392CB6">
            <wp:extent cx="5849620" cy="2520000"/>
            <wp:effectExtent l="0" t="0" r="17780" b="13970"/>
            <wp:docPr id="597228931" name="Chart 1">
              <a:extLst xmlns:a="http://schemas.openxmlformats.org/drawingml/2006/main">
                <a:ext uri="{FF2B5EF4-FFF2-40B4-BE49-F238E27FC236}">
                  <a16:creationId xmlns:a16="http://schemas.microsoft.com/office/drawing/2014/main" id="{17E7A602-DDBD-4BF2-9D98-D915C18C03F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14:paraId="4DD1B0BE" w14:textId="2F4AFF34" w:rsidR="00CD3152" w:rsidRPr="006E0160" w:rsidRDefault="00CD3152" w:rsidP="00CD3152">
      <w:pPr>
        <w:pStyle w:val="Caption"/>
      </w:pPr>
      <w:bookmarkStart w:id="53" w:name="_Ref211332767"/>
      <w:r w:rsidRPr="006E0160">
        <w:t xml:space="preserve">Figura </w:t>
      </w:r>
      <w:fldSimple w:instr=" STYLEREF 1 \s ">
        <w:r w:rsidR="0080370C">
          <w:rPr>
            <w:noProof/>
          </w:rPr>
          <w:t>I</w:t>
        </w:r>
      </w:fldSimple>
      <w:r w:rsidR="0080370C">
        <w:t>.</w:t>
      </w:r>
      <w:fldSimple w:instr=" SEQ Figura \* ARABIC \s 1 ">
        <w:r w:rsidR="0080370C">
          <w:rPr>
            <w:noProof/>
          </w:rPr>
          <w:t>39</w:t>
        </w:r>
      </w:fldSimple>
      <w:bookmarkEnd w:id="53"/>
      <w:r w:rsidRPr="006E0160">
        <w:t xml:space="preserve"> Consum zilnic de țigări</w:t>
      </w:r>
      <w:r>
        <w:t xml:space="preserve"> la adolescenții 15-16 ani</w:t>
      </w:r>
      <w:r w:rsidRPr="006E0160">
        <w:t xml:space="preserve"> în țările ESPAD, Sursa: ESPAD 2024</w:t>
      </w:r>
    </w:p>
    <w:p w14:paraId="00765839" w14:textId="2EC25EF9" w:rsidR="00CD3152" w:rsidRDefault="00CD3152" w:rsidP="00CD3152">
      <w:pPr>
        <w:ind w:firstLine="708"/>
        <w:jc w:val="both"/>
      </w:pPr>
      <w:r w:rsidRPr="00334A1C">
        <w:t>În România 15,9% dintre adolescenți consumă zilnic țigări (</w:t>
      </w:r>
      <w:r>
        <w:t>13,94</w:t>
      </w:r>
      <w:r w:rsidRPr="00334A1C">
        <w:t xml:space="preserve">% dintre băieți și </w:t>
      </w:r>
      <w:r>
        <w:t>17,7</w:t>
      </w:r>
      <w:r w:rsidRPr="00334A1C">
        <w:t>% dintre fete)(Figura I.40</w:t>
      </w:r>
      <w:r>
        <w:t xml:space="preserve"> și </w:t>
      </w:r>
      <w:r>
        <w:fldChar w:fldCharType="begin"/>
      </w:r>
      <w:r>
        <w:instrText xml:space="preserve"> REF _Ref211333042 \h </w:instrText>
      </w:r>
      <w:r>
        <w:fldChar w:fldCharType="separate"/>
      </w:r>
      <w:r>
        <w:t xml:space="preserve">Figura </w:t>
      </w:r>
      <w:r>
        <w:rPr>
          <w:noProof/>
        </w:rPr>
        <w:t>I</w:t>
      </w:r>
      <w:r>
        <w:t>.</w:t>
      </w:r>
      <w:r>
        <w:rPr>
          <w:noProof/>
        </w:rPr>
        <w:t>41</w:t>
      </w:r>
      <w:r>
        <w:fldChar w:fldCharType="end"/>
      </w:r>
      <w:r w:rsidRPr="00334A1C">
        <w:t>)</w:t>
      </w:r>
      <w:r>
        <w:fldChar w:fldCharType="begin"/>
      </w:r>
      <w:r w:rsidR="00D4526D">
        <w:instrText xml:space="preserve"> ADDIN EN.CITE &lt;EndNote&gt;&lt;Cite&gt;&lt;Author&gt;ESPAD&lt;/Author&gt;&lt;Year&gt;2025&lt;/Year&gt;&lt;RecNum&gt;9168&lt;/RecNum&gt;&lt;DisplayText&gt;&lt;style size="10"&gt;[13]&lt;/style&gt;&lt;/DisplayText&gt;&lt;record&gt;&lt;rec-number&gt;9168&lt;/rec-number&gt;&lt;foreign-keys&gt;&lt;key app="EN" db-id="fw0prtesnvf55cepezbx255wwza5zw0ssatt" timestamp="1754430885" guid="76464576-9d31-4800-8f67-b9399a82e498"&gt;9168&lt;/key&gt;&lt;/foreign-keys&gt;&lt;ref-type name="Online Database"&gt;45&lt;/ref-type&gt;&lt;contributors&gt;&lt;authors&gt;&lt;author&gt;&lt;style face="normal" font="default" charset="238" size="100%"&gt;ESPAD &lt;/style&gt;&lt;/author&gt;&lt;/authors&gt;&lt;/contributors&gt;&lt;titles&gt;&lt;title&gt;&lt;style face="normal" font="default" charset="238" size="100%"&gt;ESPAD Data portal - Tobacco, 2024&lt;/style&gt;&lt;/title&gt;&lt;/titles&gt;&lt;dates&gt;&lt;year&gt;&lt;style face="normal" font="default" charset="238" size="100%"&gt;2025&lt;/style&gt;&lt;/year&gt;&lt;/dates&gt;&lt;urls&gt;&lt;related-urls&gt;&lt;url&gt;https://data.espad.org/search-questions/?field-text=tobacco&lt;/url&gt;&lt;/related-urls&gt;&lt;/urls&gt;&lt;/record&gt;&lt;/Cite&gt;&lt;/EndNote&gt;</w:instrText>
      </w:r>
      <w:r>
        <w:fldChar w:fldCharType="separate"/>
      </w:r>
      <w:r w:rsidR="00D4526D" w:rsidRPr="00D4526D">
        <w:rPr>
          <w:noProof/>
          <w:sz w:val="20"/>
        </w:rPr>
        <w:t>[13]</w:t>
      </w:r>
      <w:r>
        <w:fldChar w:fldCharType="end"/>
      </w:r>
      <w:r w:rsidRPr="00334A1C">
        <w:t>.</w:t>
      </w:r>
    </w:p>
    <w:p w14:paraId="57232519" w14:textId="2E040897" w:rsidR="00CD3152" w:rsidRDefault="00CD3152" w:rsidP="00CD3152">
      <w:pPr>
        <w:ind w:firstLine="708"/>
        <w:jc w:val="both"/>
      </w:pPr>
      <w:r w:rsidRPr="008A3005">
        <w:t>Consumul zilnic de țigări</w:t>
      </w:r>
      <w:r w:rsidRPr="00B36745">
        <w:t xml:space="preserve"> este raportat de 7,</w:t>
      </w:r>
      <w:r>
        <w:t>85</w:t>
      </w:r>
      <w:r w:rsidRPr="00B36745">
        <w:t xml:space="preserve">% dintre elevii ESPAD, cu procente similare între sexe (8,11% dintre băieți și 7,55% dintre fete). Cele mai ridicate frecvențe sunt observate în Bulgaria </w:t>
      </w:r>
      <w:r>
        <w:t>(19,89%), C</w:t>
      </w:r>
      <w:r w:rsidRPr="00B36745">
        <w:t>roația (</w:t>
      </w:r>
      <w:r>
        <w:t>19,64</w:t>
      </w:r>
      <w:r w:rsidRPr="00B36745">
        <w:t>%), în timp ce cele mai scăzute sunt în Islanda (0,8</w:t>
      </w:r>
      <w:r>
        <w:t>3</w:t>
      </w:r>
      <w:r w:rsidRPr="00B36745">
        <w:t>%)</w:t>
      </w:r>
      <w:r>
        <w:t>, Monaco (1,87%) și Suedia (1,89%) (</w:t>
      </w:r>
      <w:r>
        <w:fldChar w:fldCharType="begin"/>
      </w:r>
      <w:r>
        <w:instrText xml:space="preserve"> REF _Ref211332767 \h </w:instrText>
      </w:r>
      <w:r>
        <w:fldChar w:fldCharType="separate"/>
      </w:r>
      <w:r w:rsidRPr="006E0160">
        <w:t xml:space="preserve">Figura </w:t>
      </w:r>
      <w:r>
        <w:rPr>
          <w:noProof/>
        </w:rPr>
        <w:t>I</w:t>
      </w:r>
      <w:r>
        <w:t>.</w:t>
      </w:r>
      <w:r>
        <w:rPr>
          <w:noProof/>
        </w:rPr>
        <w:t>40</w:t>
      </w:r>
      <w:r>
        <w:fldChar w:fldCharType="end"/>
      </w:r>
      <w:r>
        <w:t>)</w:t>
      </w:r>
      <w:r>
        <w:fldChar w:fldCharType="begin"/>
      </w:r>
      <w:r w:rsidR="00D4526D">
        <w:instrText xml:space="preserve"> ADDIN EN.CITE &lt;EndNote&gt;&lt;Cite&gt;&lt;Author&gt;ESPAD&lt;/Author&gt;&lt;Year&gt;2025&lt;/Year&gt;&lt;RecNum&gt;9168&lt;/RecNum&gt;&lt;DisplayText&gt;&lt;style size="10"&gt;[13]&lt;/style&gt;&lt;/DisplayText&gt;&lt;record&gt;&lt;rec-number&gt;9168&lt;/rec-number&gt;&lt;foreign-keys&gt;&lt;key app="EN" db-id="fw0prtesnvf55cepezbx255wwza5zw0ssatt" timestamp="1754430885" guid="76464576-9d31-4800-8f67-b9399a82e498"&gt;9168&lt;/key&gt;&lt;/foreign-keys&gt;&lt;ref-type name="Online Database"&gt;45&lt;/ref-type&gt;&lt;contributors&gt;&lt;authors&gt;&lt;author&gt;&lt;style face="normal" font="default" charset="238" size="100%"&gt;ESPAD &lt;/style&gt;&lt;/author&gt;&lt;/authors&gt;&lt;/contributors&gt;&lt;titles&gt;&lt;title&gt;&lt;style face="normal" font="default" charset="238" size="100%"&gt;ESPAD Data portal - Tobacco, 2024&lt;/style&gt;&lt;/title&gt;&lt;/titles&gt;&lt;dates&gt;&lt;year&gt;&lt;style face="normal" font="default" charset="238" size="100%"&gt;2025&lt;/style&gt;&lt;/year&gt;&lt;/dates&gt;&lt;urls&gt;&lt;related-urls&gt;&lt;url&gt;https://data.espad.org/search-questions/?field-text=tobacco&lt;/url&gt;&lt;/related-urls&gt;&lt;/urls&gt;&lt;/record&gt;&lt;/Cite&gt;&lt;/EndNote&gt;</w:instrText>
      </w:r>
      <w:r>
        <w:fldChar w:fldCharType="separate"/>
      </w:r>
      <w:r w:rsidR="00D4526D" w:rsidRPr="00D4526D">
        <w:rPr>
          <w:noProof/>
          <w:sz w:val="20"/>
        </w:rPr>
        <w:t>[13]</w:t>
      </w:r>
      <w:r>
        <w:fldChar w:fldCharType="end"/>
      </w:r>
      <w:r w:rsidRPr="00B36745">
        <w:t xml:space="preserve">. </w:t>
      </w:r>
    </w:p>
    <w:p w14:paraId="7A53183B" w14:textId="77777777" w:rsidR="00CD3152" w:rsidRDefault="00CD3152" w:rsidP="00CD3152">
      <w:pPr>
        <w:keepNext/>
        <w:jc w:val="center"/>
      </w:pPr>
      <w:r>
        <w:rPr>
          <w:noProof/>
        </w:rPr>
        <w:drawing>
          <wp:inline distT="0" distB="0" distL="0" distR="0" wp14:anchorId="0D75137E" wp14:editId="5F79864A">
            <wp:extent cx="5040000" cy="2520000"/>
            <wp:effectExtent l="0" t="0" r="8255" b="13970"/>
            <wp:docPr id="506204811" name="Chart 1">
              <a:extLst xmlns:a="http://schemas.openxmlformats.org/drawingml/2006/main">
                <a:ext uri="{FF2B5EF4-FFF2-40B4-BE49-F238E27FC236}">
                  <a16:creationId xmlns:a16="http://schemas.microsoft.com/office/drawing/2014/main" id="{F17BFF85-E9F7-41D5-8AFD-E3AD763DE28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14:paraId="60D5872B" w14:textId="7CA760CD" w:rsidR="00CD3152" w:rsidRDefault="00CD3152" w:rsidP="00CD3152">
      <w:pPr>
        <w:pStyle w:val="Caption"/>
        <w:jc w:val="center"/>
      </w:pPr>
      <w:bookmarkStart w:id="54" w:name="_Ref211333042"/>
      <w:r>
        <w:t xml:space="preserve">Figura </w:t>
      </w:r>
      <w:fldSimple w:instr=" STYLEREF 1 \s ">
        <w:r w:rsidR="0080370C">
          <w:rPr>
            <w:noProof/>
          </w:rPr>
          <w:t>I</w:t>
        </w:r>
      </w:fldSimple>
      <w:r w:rsidR="0080370C">
        <w:t>.</w:t>
      </w:r>
      <w:fldSimple w:instr=" SEQ Figura \* ARABIC \s 1 ">
        <w:r w:rsidR="0080370C">
          <w:rPr>
            <w:noProof/>
          </w:rPr>
          <w:t>40</w:t>
        </w:r>
      </w:fldSimple>
      <w:bookmarkEnd w:id="54"/>
      <w:r w:rsidRPr="001F31BE">
        <w:t xml:space="preserve"> Consum </w:t>
      </w:r>
      <w:r>
        <w:t>zilnic</w:t>
      </w:r>
      <w:r w:rsidRPr="001F31BE">
        <w:t xml:space="preserve"> de țigări la adolescenții de 15-16 ani</w:t>
      </w:r>
      <w:r>
        <w:t xml:space="preserve"> în perioada 1999-2024</w:t>
      </w:r>
      <w:r w:rsidRPr="001F31BE">
        <w:t xml:space="preserve">, în funcție de gen, </w:t>
      </w:r>
      <w:r>
        <w:t>Ro vs UE</w:t>
      </w:r>
      <w:r w:rsidRPr="001F31BE">
        <w:t xml:space="preserve">, </w:t>
      </w:r>
      <w:r>
        <w:t xml:space="preserve">în </w:t>
      </w:r>
      <w:r w:rsidRPr="001F31BE">
        <w:t>Sursa: ESPAD 2024</w:t>
      </w:r>
    </w:p>
    <w:p w14:paraId="7AAF60A6" w14:textId="08E4E06C" w:rsidR="00CD3152" w:rsidRPr="00B36745" w:rsidRDefault="00CD3152" w:rsidP="00CD3152">
      <w:pPr>
        <w:ind w:firstLine="708"/>
        <w:jc w:val="both"/>
      </w:pPr>
      <w:r>
        <w:t>Î</w:t>
      </w:r>
      <w:r w:rsidRPr="00872873">
        <w:t>n</w:t>
      </w:r>
      <w:r>
        <w:t xml:space="preserve"> perioada 1999 - 2024, contrar trendului descendent pronunțat al frecvenței consumatorilor zilnici de tutun dintre adolescenții de 15-16 ani în țările ESPAD, la ambele sexe, în România se înregistrează o scădere mai  ușoară la genul masculin (de la 19,38% la 13,94%) dar și un trend accentuat crescător în cazul fetelor (de la 9,79% în 1999 la 17,7% în anul 2024)(</w:t>
      </w:r>
      <w:r>
        <w:fldChar w:fldCharType="begin"/>
      </w:r>
      <w:r>
        <w:instrText xml:space="preserve"> REF _Ref211333042 \h </w:instrText>
      </w:r>
      <w:r>
        <w:fldChar w:fldCharType="separate"/>
      </w:r>
      <w:r>
        <w:t xml:space="preserve">Figura </w:t>
      </w:r>
      <w:r>
        <w:rPr>
          <w:noProof/>
        </w:rPr>
        <w:t>I</w:t>
      </w:r>
      <w:r>
        <w:t>.</w:t>
      </w:r>
      <w:r>
        <w:rPr>
          <w:noProof/>
        </w:rPr>
        <w:t>41</w:t>
      </w:r>
      <w:r>
        <w:fldChar w:fldCharType="end"/>
      </w:r>
      <w:r>
        <w:t>)</w:t>
      </w:r>
      <w:r>
        <w:fldChar w:fldCharType="begin"/>
      </w:r>
      <w:r w:rsidR="00D4526D">
        <w:instrText xml:space="preserve"> ADDIN EN.CITE &lt;EndNote&gt;&lt;Cite&gt;&lt;Author&gt;ESPAD&lt;/Author&gt;&lt;Year&gt;2025&lt;/Year&gt;&lt;RecNum&gt;9168&lt;/RecNum&gt;&lt;DisplayText&gt;&lt;style size="10"&gt;[13]&lt;/style&gt;&lt;/DisplayText&gt;&lt;record&gt;&lt;rec-number&gt;9168&lt;/rec-number&gt;&lt;foreign-keys&gt;&lt;key app="EN" db-id="fw0prtesnvf55cepezbx255wwza5zw0ssatt" timestamp="1754430885" guid="76464576-9d31-4800-8f67-b9399a82e498"&gt;9168&lt;/key&gt;&lt;/foreign-keys&gt;&lt;ref-type name="Online Database"&gt;45&lt;/ref-type&gt;&lt;contributors&gt;&lt;authors&gt;&lt;author&gt;&lt;style face="normal" font="default" charset="238" size="100%"&gt;ESPAD &lt;/style&gt;&lt;/author&gt;&lt;/authors&gt;&lt;/contributors&gt;&lt;titles&gt;&lt;title&gt;&lt;style face="normal" font="default" charset="238" size="100%"&gt;ESPAD Data portal - Tobacco, 2024&lt;/style&gt;&lt;/title&gt;&lt;/titles&gt;&lt;dates&gt;&lt;year&gt;&lt;style face="normal" font="default" charset="238" size="100%"&gt;2025&lt;/style&gt;&lt;/year&gt;&lt;/dates&gt;&lt;urls&gt;&lt;related-urls&gt;&lt;url&gt;https://data.espad.org/search-questions/?field-text=tobacco&lt;/url&gt;&lt;/related-urls&gt;&lt;/urls&gt;&lt;/record&gt;&lt;/Cite&gt;&lt;/EndNote&gt;</w:instrText>
      </w:r>
      <w:r>
        <w:fldChar w:fldCharType="separate"/>
      </w:r>
      <w:r w:rsidR="00D4526D" w:rsidRPr="00D4526D">
        <w:rPr>
          <w:noProof/>
          <w:sz w:val="20"/>
        </w:rPr>
        <w:t>[13]</w:t>
      </w:r>
      <w:r>
        <w:fldChar w:fldCharType="end"/>
      </w:r>
      <w:r>
        <w:t xml:space="preserve">. </w:t>
      </w:r>
    </w:p>
    <w:p w14:paraId="351BACF4" w14:textId="77777777" w:rsidR="00CD3152" w:rsidRDefault="00CD3152" w:rsidP="00A62A7C">
      <w:pPr>
        <w:pStyle w:val="Heading4"/>
        <w:numPr>
          <w:ilvl w:val="0"/>
          <w:numId w:val="23"/>
        </w:numPr>
        <w:snapToGrid/>
        <w:spacing w:after="0"/>
        <w:contextualSpacing w:val="0"/>
      </w:pPr>
      <w:r>
        <w:t>Consumul de țigări de-a lungul vieții la adolescenții 15-16 ani în țările ESPAD, ESPAD 2024</w:t>
      </w:r>
    </w:p>
    <w:p w14:paraId="01C6CECE" w14:textId="77777777" w:rsidR="00CD3152" w:rsidRDefault="00CD3152" w:rsidP="00CD3152">
      <w:pPr>
        <w:keepNext/>
      </w:pPr>
      <w:r>
        <w:rPr>
          <w:noProof/>
        </w:rPr>
        <w:lastRenderedPageBreak/>
        <w:drawing>
          <wp:inline distT="0" distB="0" distL="0" distR="0" wp14:anchorId="5421A397" wp14:editId="298DC879">
            <wp:extent cx="5849620" cy="2520000"/>
            <wp:effectExtent l="0" t="0" r="17780" b="13970"/>
            <wp:docPr id="246992772" name="Chart 1">
              <a:extLst xmlns:a="http://schemas.openxmlformats.org/drawingml/2006/main">
                <a:ext uri="{FF2B5EF4-FFF2-40B4-BE49-F238E27FC236}">
                  <a16:creationId xmlns:a16="http://schemas.microsoft.com/office/drawing/2014/main" id="{94555D6E-4D75-49E9-936E-DA9F7BD6273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14:paraId="42F87739" w14:textId="0673463B" w:rsidR="00CD3152" w:rsidRDefault="00CD3152" w:rsidP="00CD3152">
      <w:pPr>
        <w:pStyle w:val="Caption"/>
      </w:pPr>
      <w:bookmarkStart w:id="55" w:name="_Ref211386728"/>
      <w:r>
        <w:t xml:space="preserve">Figura </w:t>
      </w:r>
      <w:fldSimple w:instr=" STYLEREF 1 \s ">
        <w:r w:rsidR="0080370C">
          <w:rPr>
            <w:noProof/>
          </w:rPr>
          <w:t>I</w:t>
        </w:r>
      </w:fldSimple>
      <w:r w:rsidR="0080370C">
        <w:t>.</w:t>
      </w:r>
      <w:fldSimple w:instr=" SEQ Figura \* ARABIC \s 1 ">
        <w:r w:rsidR="0080370C">
          <w:rPr>
            <w:noProof/>
          </w:rPr>
          <w:t>41</w:t>
        </w:r>
      </w:fldSimple>
      <w:bookmarkEnd w:id="55"/>
      <w:r w:rsidRPr="009651FC">
        <w:t xml:space="preserve"> Consum</w:t>
      </w:r>
      <w:r>
        <w:t>ul</w:t>
      </w:r>
      <w:r w:rsidRPr="009651FC">
        <w:t xml:space="preserve"> de țigări</w:t>
      </w:r>
      <w:r>
        <w:t xml:space="preserve"> de-a lungul vieții</w:t>
      </w:r>
      <w:r w:rsidRPr="009651FC">
        <w:t xml:space="preserve"> la adolescenții 15-16 ani în țările ESPAD, Sursa: ESPAD 2024</w:t>
      </w:r>
    </w:p>
    <w:p w14:paraId="51029D00" w14:textId="7A89BD80" w:rsidR="00CD3152" w:rsidRPr="006E0160" w:rsidRDefault="00CD3152" w:rsidP="00CD3152">
      <w:pPr>
        <w:ind w:firstLine="708"/>
        <w:jc w:val="both"/>
      </w:pPr>
      <w:r w:rsidRPr="006E0160">
        <w:t>Principalele constatări ale</w:t>
      </w:r>
      <w:r w:rsidRPr="006E0160">
        <w:rPr>
          <w:b/>
          <w:bCs/>
          <w:i/>
          <w:iCs/>
        </w:rPr>
        <w:t xml:space="preserve"> </w:t>
      </w:r>
      <w:r w:rsidRPr="006E0160">
        <w:t>ESPAD 2024, reiterează că, în pofida eforturilor de prevenție, consumul de țigări continuă să fie larg răspândit în rândul adolescenților din țările ESPAD, aproape unul din trei elevi fumând țigări cel puțin o dată în viață (32% în medie</w:t>
      </w:r>
      <w:r>
        <w:t>)(</w:t>
      </w:r>
      <w:r>
        <w:fldChar w:fldCharType="begin"/>
      </w:r>
      <w:r>
        <w:instrText xml:space="preserve"> REF _Ref211386728 \h </w:instrText>
      </w:r>
      <w:r>
        <w:fldChar w:fldCharType="separate"/>
      </w:r>
      <w:r>
        <w:t xml:space="preserve">Figura </w:t>
      </w:r>
      <w:r>
        <w:rPr>
          <w:noProof/>
        </w:rPr>
        <w:t>I</w:t>
      </w:r>
      <w:r>
        <w:t>.</w:t>
      </w:r>
      <w:r>
        <w:rPr>
          <w:noProof/>
        </w:rPr>
        <w:t>42</w:t>
      </w:r>
      <w:r>
        <w:fldChar w:fldCharType="end"/>
      </w:r>
      <w:r w:rsidRPr="006E0160">
        <w:t>)</w:t>
      </w:r>
      <w:r>
        <w:fldChar w:fldCharType="begin"/>
      </w:r>
      <w:r w:rsidR="00D4526D">
        <w:instrText xml:space="preserve"> ADDIN EN.CITE &lt;EndNote&gt;&lt;Cite&gt;&lt;Author&gt;ESPAD&lt;/Author&gt;&lt;Year&gt;2025&lt;/Year&gt;&lt;RecNum&gt;9152&lt;/RecNum&gt;&lt;DisplayText&gt;&lt;style size="10"&gt;[12]&lt;/style&gt;&lt;/DisplayText&gt;&lt;record&gt;&lt;rec-number&gt;9152&lt;/rec-number&gt;&lt;foreign-keys&gt;&lt;key app="EN" db-id="fw0prtesnvf55cepezbx255wwza5zw0ssatt" timestamp="1754275132" guid="ea9154bc-81ec-47b2-8cce-3adbbca3b1ad"&gt;9152&lt;/key&gt;&lt;/foreign-keys&gt;&lt;ref-type name="Report"&gt;27&lt;/ref-type&gt;&lt;contributors&gt;&lt;authors&gt;&lt;author&gt;&lt;style face="normal" font="default" charset="238" size="100%"&gt;ESPAD&lt;/style&gt;&lt;/author&gt;&lt;/authors&gt;&lt;secondary-authors&gt;&lt;author&gt;&lt;style face="normal" font="default" charset="238" size="100%"&gt;ESPAD&lt;/style&gt;&lt;/author&gt;&lt;/secondary-authors&gt;&lt;tertiary-authors&gt;&lt;author&gt;European Union Drugs Agency&lt;/author&gt;&lt;/tertiary-authors&gt;&lt;/contributors&gt;&lt;titles&gt;&lt;title&gt;Key findings from the 2024 European School Survey Project on Alcohol and Other Drugs (ESPAD)&lt;/title&gt;&lt;/titles&gt;&lt;dates&gt;&lt;year&gt;&lt;style face="normal" font="default" charset="238" size="100%"&gt;2025&lt;/style&gt;&lt;/year&gt;&lt;/dates&gt;&lt;pub-location&gt;&lt;style face="normal" font="default" charset="238" size="100%"&gt;online&lt;/style&gt;&lt;/pub-location&gt;&lt;urls&gt;&lt;related-urls&gt;&lt;url&gt;https://www.euda.europa.eu/publications/data-factsheets/espad-2024-key-findings_en&lt;/url&gt;&lt;/related-urls&gt;&lt;/urls&gt;&lt;/record&gt;&lt;/Cite&gt;&lt;/EndNote&gt;</w:instrText>
      </w:r>
      <w:r>
        <w:fldChar w:fldCharType="separate"/>
      </w:r>
      <w:r w:rsidR="00D4526D" w:rsidRPr="00D4526D">
        <w:rPr>
          <w:noProof/>
          <w:sz w:val="20"/>
        </w:rPr>
        <w:t>[12]</w:t>
      </w:r>
      <w:r>
        <w:fldChar w:fldCharType="end"/>
      </w:r>
      <w:r w:rsidRPr="006E0160">
        <w:t xml:space="preserve">. </w:t>
      </w:r>
    </w:p>
    <w:p w14:paraId="6C4DEAEE" w14:textId="41416DDC" w:rsidR="00CD3152" w:rsidRDefault="00CD3152" w:rsidP="00CD3152">
      <w:pPr>
        <w:ind w:firstLine="708"/>
        <w:jc w:val="both"/>
      </w:pPr>
      <w:r w:rsidRPr="009C5797">
        <w:t>România are o prevalență a fumatului de 41,03%, cu zece puncte procentuale peste media țărilor ESPAD</w:t>
      </w:r>
      <w:r>
        <w:t xml:space="preserve"> </w:t>
      </w:r>
      <w:r w:rsidRPr="009C5797">
        <w:t>(Figura I.42</w:t>
      </w:r>
      <w:r>
        <w:t xml:space="preserve">). </w:t>
      </w:r>
      <w:r w:rsidRPr="00AB62FB">
        <w:t>Cele mai ridicate rate de prevalență de consum de tutun fumat de</w:t>
      </w:r>
      <w:r>
        <w:t>-</w:t>
      </w:r>
      <w:r w:rsidRPr="00AB62FB">
        <w:t>a lungul vieții sunt observate în Ungaria (50,51%) și Slovacia (46,1%), în timp ce cele mai scăzute sunt în Islanda (13,16%) și Malta (16,08%)</w:t>
      </w:r>
      <w:r>
        <w:fldChar w:fldCharType="begin"/>
      </w:r>
      <w:r w:rsidR="00D4526D">
        <w:instrText xml:space="preserve"> ADDIN EN.CITE &lt;EndNote&gt;&lt;Cite&gt;&lt;Author&gt;ESPAD&lt;/Author&gt;&lt;Year&gt;2025&lt;/Year&gt;&lt;RecNum&gt;9168&lt;/RecNum&gt;&lt;DisplayText&gt;&lt;style size="10"&gt;[13]&lt;/style&gt;&lt;/DisplayText&gt;&lt;record&gt;&lt;rec-number&gt;9168&lt;/rec-number&gt;&lt;foreign-keys&gt;&lt;key app="EN" db-id="fw0prtesnvf55cepezbx255wwza5zw0ssatt" timestamp="1754430885" guid="76464576-9d31-4800-8f67-b9399a82e498"&gt;9168&lt;/key&gt;&lt;/foreign-keys&gt;&lt;ref-type name="Online Database"&gt;45&lt;/ref-type&gt;&lt;contributors&gt;&lt;authors&gt;&lt;author&gt;&lt;style face="normal" font="default" charset="238" size="100%"&gt;ESPAD &lt;/style&gt;&lt;/author&gt;&lt;/authors&gt;&lt;/contributors&gt;&lt;titles&gt;&lt;title&gt;&lt;style face="normal" font="default" charset="238" size="100%"&gt;ESPAD Data portal - Tobacco, 2024&lt;/style&gt;&lt;/title&gt;&lt;/titles&gt;&lt;dates&gt;&lt;year&gt;&lt;style face="normal" font="default" charset="238" size="100%"&gt;2025&lt;/style&gt;&lt;/year&gt;&lt;/dates&gt;&lt;urls&gt;&lt;related-urls&gt;&lt;url&gt;https://data.espad.org/search-questions/?field-text=tobacco&lt;/url&gt;&lt;/related-urls&gt;&lt;/urls&gt;&lt;/record&gt;&lt;/Cite&gt;&lt;/EndNote&gt;</w:instrText>
      </w:r>
      <w:r>
        <w:fldChar w:fldCharType="separate"/>
      </w:r>
      <w:r w:rsidR="00D4526D" w:rsidRPr="00D4526D">
        <w:rPr>
          <w:noProof/>
          <w:sz w:val="20"/>
        </w:rPr>
        <w:t>[13]</w:t>
      </w:r>
      <w:r>
        <w:fldChar w:fldCharType="end"/>
      </w:r>
      <w:r>
        <w:t>.</w:t>
      </w:r>
    </w:p>
    <w:p w14:paraId="043A95D0" w14:textId="77777777" w:rsidR="00CD3152" w:rsidRDefault="00CD3152" w:rsidP="00CD3152">
      <w:pPr>
        <w:keepNext/>
        <w:jc w:val="center"/>
      </w:pPr>
      <w:r>
        <w:rPr>
          <w:noProof/>
        </w:rPr>
        <w:drawing>
          <wp:inline distT="0" distB="0" distL="0" distR="0" wp14:anchorId="3F50A405" wp14:editId="13B13A65">
            <wp:extent cx="5040000" cy="2520000"/>
            <wp:effectExtent l="0" t="0" r="8255" b="13970"/>
            <wp:docPr id="1581628657" name="Chart 1">
              <a:extLst xmlns:a="http://schemas.openxmlformats.org/drawingml/2006/main">
                <a:ext uri="{FF2B5EF4-FFF2-40B4-BE49-F238E27FC236}">
                  <a16:creationId xmlns:a16="http://schemas.microsoft.com/office/drawing/2014/main" id="{8F3DF421-E53A-4C9A-B037-CD27343ACE6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14:paraId="56920F06" w14:textId="43A3A41F" w:rsidR="00CD3152" w:rsidRPr="00AB62FB" w:rsidRDefault="00CD3152" w:rsidP="00CD3152">
      <w:pPr>
        <w:pStyle w:val="Caption"/>
        <w:jc w:val="center"/>
      </w:pPr>
      <w:bookmarkStart w:id="56" w:name="_Ref211390250"/>
      <w:r>
        <w:t xml:space="preserve">Figura </w:t>
      </w:r>
      <w:fldSimple w:instr=" STYLEREF 1 \s ">
        <w:r w:rsidR="0080370C">
          <w:rPr>
            <w:noProof/>
          </w:rPr>
          <w:t>I</w:t>
        </w:r>
      </w:fldSimple>
      <w:r w:rsidR="0080370C">
        <w:t>.</w:t>
      </w:r>
      <w:fldSimple w:instr=" SEQ Figura \* ARABIC \s 1 ">
        <w:r w:rsidR="0080370C">
          <w:rPr>
            <w:noProof/>
          </w:rPr>
          <w:t>42</w:t>
        </w:r>
      </w:fldSimple>
      <w:bookmarkEnd w:id="56"/>
      <w:r w:rsidRPr="00C060DF">
        <w:t xml:space="preserve"> Consumul de țigări de-a lungul vieții la adolescenții 15-16 ani în țările ESPAD,</w:t>
      </w:r>
      <w:r>
        <w:t xml:space="preserve"> în funcție de gen, Ro vs UE, </w:t>
      </w:r>
      <w:r w:rsidRPr="00C060DF">
        <w:t xml:space="preserve"> Sursa: ESPAD 2024</w:t>
      </w:r>
    </w:p>
    <w:p w14:paraId="3C573771" w14:textId="2C204641" w:rsidR="00CD3152" w:rsidRDefault="00CD3152" w:rsidP="00CD3152">
      <w:pPr>
        <w:ind w:firstLine="708"/>
        <w:jc w:val="both"/>
      </w:pPr>
      <w:r w:rsidRPr="00AB62FB">
        <w:t xml:space="preserve">În țările ESPAD, diferențele de gen arată o prevalență </w:t>
      </w:r>
      <w:r>
        <w:t xml:space="preserve">a consumului de țigări de-a lungul vieții </w:t>
      </w:r>
      <w:r w:rsidRPr="00AB62FB">
        <w:t>ușor mai mare în rândul fetelor (32,76%) față de 30,25% în rândul băieților. Această tendință este evidentă în mai mult de 2/3 din țări, țările cu cele mai mari diferențe fiind România (45,64% față de 36,04% băieți) și Bulgaria (46,27% față de 32,71%). În unele țări, această tendință este inversată, în special în Kosovo (47,04% în rândul băieților față de 36,17% în rândul fetelor) și Georgia (35,05% față de 23,82%)</w:t>
      </w:r>
      <w:r w:rsidRPr="00AB62FB">
        <w:fldChar w:fldCharType="begin"/>
      </w:r>
      <w:r w:rsidR="00D4526D">
        <w:instrText xml:space="preserve"> ADDIN EN.CITE &lt;EndNote&gt;&lt;Cite&gt;&lt;Author&gt;ESPAD&lt;/Author&gt;&lt;Year&gt;2025&lt;/Year&gt;&lt;RecNum&gt;9152&lt;/RecNum&gt;&lt;DisplayText&gt;&lt;style size="10"&gt;[12]&lt;/style&gt;&lt;/DisplayText&gt;&lt;record&gt;&lt;rec-number&gt;9152&lt;/rec-number&gt;&lt;foreign-keys&gt;&lt;key app="EN" db-id="fw0prtesnvf55cepezbx255wwza5zw0ssatt" timestamp="1754275132" guid="ea9154bc-81ec-47b2-8cce-3adbbca3b1ad"&gt;9152&lt;/key&gt;&lt;/foreign-keys&gt;&lt;ref-type name="Report"&gt;27&lt;/ref-type&gt;&lt;contributors&gt;&lt;authors&gt;&lt;author&gt;&lt;style face="normal" font="default" charset="238" size="100%"&gt;ESPAD&lt;/style&gt;&lt;/author&gt;&lt;/authors&gt;&lt;secondary-authors&gt;&lt;author&gt;&lt;style face="normal" font="default" charset="238" size="100%"&gt;ESPAD&lt;/style&gt;&lt;/author&gt;&lt;/secondary-authors&gt;&lt;tertiary-authors&gt;&lt;author&gt;European Union Drugs Agency&lt;/author&gt;&lt;/tertiary-authors&gt;&lt;/contributors&gt;&lt;titles&gt;&lt;title&gt;Key findings from the 2024 European School Survey Project on Alcohol and Other Drugs (ESPAD)&lt;/title&gt;&lt;/titles&gt;&lt;dates&gt;&lt;year&gt;&lt;style face="normal" font="default" charset="238" size="100%"&gt;2025&lt;/style&gt;&lt;/year&gt;&lt;/dates&gt;&lt;pub-location&gt;&lt;style face="normal" font="default" charset="238" size="100%"&gt;online&lt;/style&gt;&lt;/pub-location&gt;&lt;urls&gt;&lt;related-urls&gt;&lt;url&gt;https://www.euda.europa.eu/publications/data-factsheets/espad-2024-key-findings_en&lt;/url&gt;&lt;/related-urls&gt;&lt;/urls&gt;&lt;/record&gt;&lt;/Cite&gt;&lt;/EndNote&gt;</w:instrText>
      </w:r>
      <w:r w:rsidRPr="00AB62FB">
        <w:fldChar w:fldCharType="separate"/>
      </w:r>
      <w:r w:rsidR="00D4526D" w:rsidRPr="00D4526D">
        <w:rPr>
          <w:noProof/>
          <w:sz w:val="20"/>
        </w:rPr>
        <w:t>[12]</w:t>
      </w:r>
      <w:r w:rsidRPr="00AB62FB">
        <w:fldChar w:fldCharType="end"/>
      </w:r>
      <w:r w:rsidRPr="00AB62FB">
        <w:t>.</w:t>
      </w:r>
    </w:p>
    <w:p w14:paraId="78F6B0DB" w14:textId="68C67613" w:rsidR="00CD3152" w:rsidRDefault="00CD3152" w:rsidP="00CD3152">
      <w:pPr>
        <w:ind w:firstLine="708"/>
        <w:jc w:val="both"/>
      </w:pPr>
      <w:r>
        <w:t xml:space="preserve">Între primul și ultimul sondaj ESPAD, în România, prevalența consumului de țigări de-a lungul vieții a avut un trend descendent (de la 57,38% în 1999 la 49,49% în 2019 și la 41,03% în 2024), însă mai </w:t>
      </w:r>
      <w:r>
        <w:lastRenderedPageBreak/>
        <w:t>puțin pronunțat la fete decât la băieți (</w:t>
      </w:r>
      <w:r>
        <w:fldChar w:fldCharType="begin"/>
      </w:r>
      <w:r>
        <w:instrText xml:space="preserve"> REF _Ref211390250 \h </w:instrText>
      </w:r>
      <w:r>
        <w:fldChar w:fldCharType="separate"/>
      </w:r>
      <w:r>
        <w:t xml:space="preserve">Figura </w:t>
      </w:r>
      <w:r>
        <w:rPr>
          <w:noProof/>
        </w:rPr>
        <w:t>I</w:t>
      </w:r>
      <w:r>
        <w:t>.</w:t>
      </w:r>
      <w:r>
        <w:rPr>
          <w:noProof/>
        </w:rPr>
        <w:t>43</w:t>
      </w:r>
      <w:r>
        <w:fldChar w:fldCharType="end"/>
      </w:r>
      <w:r>
        <w:t>), și mai puțin accentuat față de media țărilor ESPAD la ambele genuri. În țările ESPAD</w:t>
      </w:r>
      <w:r w:rsidRPr="00766206">
        <w:t>, prevalența consumului de țigări de-a lungul vieții</w:t>
      </w:r>
      <w:r>
        <w:t xml:space="preserve"> s-a înjumătățit (scăzând de la 67,77% la 31,52%), cea mai importantă scădere fiind între 2019 și 2024, cu aproape 10 puncte procentuale</w:t>
      </w:r>
      <w:r>
        <w:fldChar w:fldCharType="begin"/>
      </w:r>
      <w:r w:rsidR="00D4526D">
        <w:instrText xml:space="preserve"> ADDIN EN.CITE &lt;EndNote&gt;&lt;Cite&gt;&lt;Author&gt;ESPAD&lt;/Author&gt;&lt;Year&gt;2025&lt;/Year&gt;&lt;RecNum&gt;9152&lt;/RecNum&gt;&lt;DisplayText&gt;&lt;style size="10"&gt;[12,13]&lt;/style&gt;&lt;/DisplayText&gt;&lt;record&gt;&lt;rec-number&gt;9152&lt;/rec-number&gt;&lt;foreign-keys&gt;&lt;key app="EN" db-id="fw0prtesnvf55cepezbx255wwza5zw0ssatt" timestamp="1754275132" guid="ea9154bc-81ec-47b2-8cce-3adbbca3b1ad"&gt;9152&lt;/key&gt;&lt;/foreign-keys&gt;&lt;ref-type name="Report"&gt;27&lt;/ref-type&gt;&lt;contributors&gt;&lt;authors&gt;&lt;author&gt;&lt;style face="normal" font="default" charset="238" size="100%"&gt;ESPAD&lt;/style&gt;&lt;/author&gt;&lt;/authors&gt;&lt;secondary-authors&gt;&lt;author&gt;&lt;style face="normal" font="default" charset="238" size="100%"&gt;ESPAD&lt;/style&gt;&lt;/author&gt;&lt;/secondary-authors&gt;&lt;tertiary-authors&gt;&lt;author&gt;European Union Drugs Agency&lt;/author&gt;&lt;/tertiary-authors&gt;&lt;/contributors&gt;&lt;titles&gt;&lt;title&gt;Key findings from the 2024 European School Survey Project on Alcohol and Other Drugs (ESPAD)&lt;/title&gt;&lt;/titles&gt;&lt;dates&gt;&lt;year&gt;&lt;style face="normal" font="default" charset="238" size="100%"&gt;2025&lt;/style&gt;&lt;/year&gt;&lt;/dates&gt;&lt;pub-location&gt;&lt;style face="normal" font="default" charset="238" size="100%"&gt;online&lt;/style&gt;&lt;/pub-location&gt;&lt;urls&gt;&lt;related-urls&gt;&lt;url&gt;https://www.euda.europa.eu/publications/data-factsheets/espad-2024-key-findings_en&lt;/url&gt;&lt;/related-urls&gt;&lt;/urls&gt;&lt;/record&gt;&lt;/Cite&gt;&lt;Cite&gt;&lt;Author&gt;ESPAD&lt;/Author&gt;&lt;Year&gt;2025&lt;/Year&gt;&lt;RecNum&gt;9168&lt;/RecNum&gt;&lt;record&gt;&lt;rec-number&gt;9168&lt;/rec-number&gt;&lt;foreign-keys&gt;&lt;key app="EN" db-id="fw0prtesnvf55cepezbx255wwza5zw0ssatt" timestamp="1754430885" guid="76464576-9d31-4800-8f67-b9399a82e498"&gt;9168&lt;/key&gt;&lt;/foreign-keys&gt;&lt;ref-type name="Online Database"&gt;45&lt;/ref-type&gt;&lt;contributors&gt;&lt;authors&gt;&lt;author&gt;&lt;style face="normal" font="default" charset="238" size="100%"&gt;ESPAD &lt;/style&gt;&lt;/author&gt;&lt;/authors&gt;&lt;/contributors&gt;&lt;titles&gt;&lt;title&gt;&lt;style face="normal" font="default" charset="238" size="100%"&gt;ESPAD Data portal - Tobacco, 2024&lt;/style&gt;&lt;/title&gt;&lt;/titles&gt;&lt;dates&gt;&lt;year&gt;&lt;style face="normal" font="default" charset="238" size="100%"&gt;2025&lt;/style&gt;&lt;/year&gt;&lt;/dates&gt;&lt;urls&gt;&lt;related-urls&gt;&lt;url&gt;https://data.espad.org/search-questions/?field-text=tobacco&lt;/url&gt;&lt;/related-urls&gt;&lt;/urls&gt;&lt;/record&gt;&lt;/Cite&gt;&lt;/EndNote&gt;</w:instrText>
      </w:r>
      <w:r>
        <w:fldChar w:fldCharType="separate"/>
      </w:r>
      <w:r w:rsidR="00D4526D" w:rsidRPr="00D4526D">
        <w:rPr>
          <w:noProof/>
          <w:sz w:val="20"/>
        </w:rPr>
        <w:t>[12,13]</w:t>
      </w:r>
      <w:r>
        <w:fldChar w:fldCharType="end"/>
      </w:r>
      <w:r>
        <w:t>.</w:t>
      </w:r>
    </w:p>
    <w:p w14:paraId="2AEBB45A" w14:textId="77777777" w:rsidR="00CD3152" w:rsidRPr="00234D9A" w:rsidRDefault="00CD3152" w:rsidP="00A62A7C">
      <w:pPr>
        <w:pStyle w:val="Heading4"/>
        <w:numPr>
          <w:ilvl w:val="0"/>
          <w:numId w:val="22"/>
        </w:numPr>
        <w:snapToGrid/>
        <w:spacing w:after="0"/>
        <w:contextualSpacing w:val="0"/>
      </w:pPr>
      <w:r w:rsidRPr="00234D9A">
        <w:t xml:space="preserve">Consumul </w:t>
      </w:r>
      <w:r>
        <w:t>actual</w:t>
      </w:r>
      <w:r w:rsidRPr="00234D9A">
        <w:t xml:space="preserve"> de țigări la adolescenții de 15-16 ani</w:t>
      </w:r>
      <w:r>
        <w:t xml:space="preserve"> (</w:t>
      </w:r>
      <w:r w:rsidRPr="00234D9A">
        <w:t>ESPAD 2024</w:t>
      </w:r>
      <w:r>
        <w:t>)</w:t>
      </w:r>
    </w:p>
    <w:p w14:paraId="2F729EAA" w14:textId="77777777" w:rsidR="00CD3152" w:rsidRPr="006E0160" w:rsidRDefault="00CD3152" w:rsidP="00CD3152">
      <w:pPr>
        <w:jc w:val="both"/>
      </w:pPr>
      <w:r>
        <w:rPr>
          <w:noProof/>
        </w:rPr>
        <w:drawing>
          <wp:inline distT="0" distB="0" distL="0" distR="0" wp14:anchorId="111A01B9" wp14:editId="2DC0BF32">
            <wp:extent cx="5849620" cy="2520000"/>
            <wp:effectExtent l="0" t="0" r="17780" b="13970"/>
            <wp:docPr id="2037234448" name="Chart 1">
              <a:extLst xmlns:a="http://schemas.openxmlformats.org/drawingml/2006/main">
                <a:ext uri="{FF2B5EF4-FFF2-40B4-BE49-F238E27FC236}">
                  <a16:creationId xmlns:a16="http://schemas.microsoft.com/office/drawing/2014/main" id="{BD89D911-BE04-467F-AF88-E7CC6DC3F67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14:paraId="5B3D9B8D" w14:textId="0D8B9F4B" w:rsidR="00CD3152" w:rsidRPr="006E0160" w:rsidRDefault="00CD3152" w:rsidP="00CD3152">
      <w:pPr>
        <w:pStyle w:val="Caption"/>
      </w:pPr>
      <w:bookmarkStart w:id="57" w:name="_Ref211325239"/>
      <w:r w:rsidRPr="006E0160">
        <w:t xml:space="preserve">Figura </w:t>
      </w:r>
      <w:fldSimple w:instr=" STYLEREF 1 \s ">
        <w:r w:rsidR="0080370C">
          <w:rPr>
            <w:noProof/>
          </w:rPr>
          <w:t>I</w:t>
        </w:r>
      </w:fldSimple>
      <w:r w:rsidR="0080370C">
        <w:t>.</w:t>
      </w:r>
      <w:fldSimple w:instr=" SEQ Figura \* ARABIC \s 1 ">
        <w:r w:rsidR="0080370C">
          <w:rPr>
            <w:noProof/>
          </w:rPr>
          <w:t>43</w:t>
        </w:r>
      </w:fldSimple>
      <w:bookmarkEnd w:id="57"/>
      <w:r w:rsidRPr="006E0160">
        <w:t xml:space="preserve"> Consum </w:t>
      </w:r>
      <w:r>
        <w:t>actual</w:t>
      </w:r>
      <w:r w:rsidRPr="006E0160">
        <w:t xml:space="preserve"> de țigări </w:t>
      </w:r>
      <w:r>
        <w:t xml:space="preserve">la adolescenții de 15-16 ani, </w:t>
      </w:r>
      <w:r w:rsidRPr="006E0160">
        <w:t>în țările ESPAD, Sursa: ESPAD 2024</w:t>
      </w:r>
    </w:p>
    <w:p w14:paraId="6585481D" w14:textId="77777777" w:rsidR="00CD3152" w:rsidRDefault="00CD3152" w:rsidP="00CD3152">
      <w:pPr>
        <w:ind w:firstLine="708"/>
        <w:jc w:val="both"/>
      </w:pPr>
      <w:r w:rsidRPr="0065359E">
        <w:t xml:space="preserve">Consumul </w:t>
      </w:r>
      <w:r>
        <w:t>actual</w:t>
      </w:r>
      <w:r w:rsidRPr="0065359E">
        <w:t xml:space="preserve"> de țigări,</w:t>
      </w:r>
      <w:r w:rsidRPr="006E0160">
        <w:t xml:space="preserve"> definit ca fumat în ultimele 30 de zile, este </w:t>
      </w:r>
      <w:r>
        <w:t>declarat</w:t>
      </w:r>
      <w:r w:rsidRPr="006E0160">
        <w:t xml:space="preserve"> de 1</w:t>
      </w:r>
      <w:r>
        <w:t>7,58</w:t>
      </w:r>
      <w:r w:rsidRPr="006E0160">
        <w:t>% dintre elevi (media țărilor ESPAD), în România înregistrându-se o frecvență de 2</w:t>
      </w:r>
      <w:r>
        <w:t>5,84</w:t>
      </w:r>
      <w:r w:rsidRPr="006E0160">
        <w:t>%. Cea mai mare prevalență este observată în Croația</w:t>
      </w:r>
      <w:r>
        <w:t xml:space="preserve"> (32,13%)</w:t>
      </w:r>
      <w:r w:rsidRPr="006E0160">
        <w:t xml:space="preserve"> și Ungaria (32</w:t>
      </w:r>
      <w:r>
        <w:t>,2</w:t>
      </w:r>
      <w:r w:rsidRPr="006E0160">
        <w:t>%), în timp ce cea mai scăzută este în Islanda (4</w:t>
      </w:r>
      <w:r>
        <w:t>,17</w:t>
      </w:r>
      <w:r w:rsidRPr="006E0160">
        <w:t>%) și Suedia (8</w:t>
      </w:r>
      <w:r>
        <w:t>,21</w:t>
      </w:r>
      <w:r w:rsidRPr="006E0160">
        <w:t>%)</w:t>
      </w:r>
      <w:r>
        <w:t>(</w:t>
      </w:r>
      <w:r>
        <w:fldChar w:fldCharType="begin"/>
      </w:r>
      <w:r>
        <w:instrText xml:space="preserve"> REF _Ref211325239 \h </w:instrText>
      </w:r>
      <w:r>
        <w:fldChar w:fldCharType="separate"/>
      </w:r>
      <w:r w:rsidRPr="006E0160">
        <w:t xml:space="preserve">Figura </w:t>
      </w:r>
      <w:r>
        <w:rPr>
          <w:noProof/>
        </w:rPr>
        <w:t>I</w:t>
      </w:r>
      <w:r>
        <w:t>.</w:t>
      </w:r>
      <w:r>
        <w:rPr>
          <w:noProof/>
        </w:rPr>
        <w:t>44</w:t>
      </w:r>
      <w:r>
        <w:fldChar w:fldCharType="end"/>
      </w:r>
      <w:r>
        <w:t>)</w:t>
      </w:r>
      <w:r w:rsidRPr="006E0160">
        <w:t>.</w:t>
      </w:r>
      <w:r w:rsidRPr="004141A2">
        <w:t xml:space="preserve"> </w:t>
      </w:r>
    </w:p>
    <w:p w14:paraId="452C5CD9" w14:textId="240D0F63" w:rsidR="00CD3152" w:rsidRPr="00AF000E" w:rsidRDefault="00CD3152" w:rsidP="00CD3152">
      <w:pPr>
        <w:ind w:firstLine="708"/>
        <w:jc w:val="both"/>
      </w:pPr>
      <w:r w:rsidRPr="004141A2">
        <w:t>Fumatul actual este mai răspândit în rândul fetelor în mai mult de jumătate din țările ESPAD, cea mai mare diferență de gen fiind raportată în Bulgaria (3</w:t>
      </w:r>
      <w:r>
        <w:t>3,57</w:t>
      </w:r>
      <w:r w:rsidRPr="004141A2">
        <w:t xml:space="preserve">% </w:t>
      </w:r>
      <w:r>
        <w:t xml:space="preserve">la genul feminin </w:t>
      </w:r>
      <w:r w:rsidRPr="004141A2">
        <w:t>față de 25</w:t>
      </w:r>
      <w:r>
        <w:t>,31</w:t>
      </w:r>
      <w:r w:rsidRPr="004141A2">
        <w:t>%</w:t>
      </w:r>
      <w:r>
        <w:t xml:space="preserve"> la genul masculin</w:t>
      </w:r>
      <w:r w:rsidRPr="004141A2">
        <w:t xml:space="preserve">) și România </w:t>
      </w:r>
      <w:r w:rsidRPr="00AF000E">
        <w:t>(</w:t>
      </w:r>
      <w:r>
        <w:t>29,77</w:t>
      </w:r>
      <w:r w:rsidRPr="00AF000E">
        <w:t>%</w:t>
      </w:r>
      <w:r>
        <w:t xml:space="preserve"> la fete</w:t>
      </w:r>
      <w:r w:rsidRPr="00AF000E">
        <w:t xml:space="preserve"> față de 2</w:t>
      </w:r>
      <w:r>
        <w:t>1,62</w:t>
      </w:r>
      <w:r w:rsidRPr="00AF000E">
        <w:t>%</w:t>
      </w:r>
      <w:r>
        <w:t xml:space="preserve"> la băieți</w:t>
      </w:r>
      <w:r w:rsidRPr="00AF000E">
        <w:t>)</w:t>
      </w:r>
      <w:r>
        <w:t>(</w:t>
      </w:r>
      <w:r>
        <w:fldChar w:fldCharType="begin"/>
      </w:r>
      <w:r>
        <w:instrText xml:space="preserve"> REF _Ref211325291 \h </w:instrText>
      </w:r>
      <w:r>
        <w:fldChar w:fldCharType="separate"/>
      </w:r>
      <w:r>
        <w:t xml:space="preserve">Figura </w:t>
      </w:r>
      <w:r>
        <w:rPr>
          <w:noProof/>
        </w:rPr>
        <w:t>I</w:t>
      </w:r>
      <w:r>
        <w:t>.</w:t>
      </w:r>
      <w:r>
        <w:rPr>
          <w:noProof/>
        </w:rPr>
        <w:t>45</w:t>
      </w:r>
      <w:r>
        <w:fldChar w:fldCharType="end"/>
      </w:r>
      <w:r>
        <w:t>)</w:t>
      </w:r>
      <w:r>
        <w:fldChar w:fldCharType="begin"/>
      </w:r>
      <w:r w:rsidR="00D4526D">
        <w:instrText xml:space="preserve"> ADDIN EN.CITE &lt;EndNote&gt;&lt;Cite&gt;&lt;Author&gt;ESPAD&lt;/Author&gt;&lt;Year&gt;2025&lt;/Year&gt;&lt;RecNum&gt;9152&lt;/RecNum&gt;&lt;DisplayText&gt;&lt;style size="10"&gt;[12]&lt;/style&gt;&lt;/DisplayText&gt;&lt;record&gt;&lt;rec-number&gt;9152&lt;/rec-number&gt;&lt;foreign-keys&gt;&lt;key app="EN" db-id="fw0prtesnvf55cepezbx255wwza5zw0ssatt" timestamp="1754275132" guid="ea9154bc-81ec-47b2-8cce-3adbbca3b1ad"&gt;9152&lt;/key&gt;&lt;/foreign-keys&gt;&lt;ref-type name="Report"&gt;27&lt;/ref-type&gt;&lt;contributors&gt;&lt;authors&gt;&lt;author&gt;&lt;style face="normal" font="default" charset="238" size="100%"&gt;ESPAD&lt;/style&gt;&lt;/author&gt;&lt;/authors&gt;&lt;secondary-authors&gt;&lt;author&gt;&lt;style face="normal" font="default" charset="238" size="100%"&gt;ESPAD&lt;/style&gt;&lt;/author&gt;&lt;/secondary-authors&gt;&lt;tertiary-authors&gt;&lt;author&gt;European Union Drugs Agency&lt;/author&gt;&lt;/tertiary-authors&gt;&lt;/contributors&gt;&lt;titles&gt;&lt;title&gt;Key findings from the 2024 European School Survey Project on Alcohol and Other Drugs (ESPAD)&lt;/title&gt;&lt;/titles&gt;&lt;dates&gt;&lt;year&gt;&lt;style face="normal" font="default" charset="238" size="100%"&gt;2025&lt;/style&gt;&lt;/year&gt;&lt;/dates&gt;&lt;pub-location&gt;&lt;style face="normal" font="default" charset="238" size="100%"&gt;online&lt;/style&gt;&lt;/pub-location&gt;&lt;urls&gt;&lt;related-urls&gt;&lt;url&gt;https://www.euda.europa.eu/publications/data-factsheets/espad-2024-key-findings_en&lt;/url&gt;&lt;/related-urls&gt;&lt;/urls&gt;&lt;/record&gt;&lt;/Cite&gt;&lt;/EndNote&gt;</w:instrText>
      </w:r>
      <w:r>
        <w:fldChar w:fldCharType="separate"/>
      </w:r>
      <w:r w:rsidR="00D4526D" w:rsidRPr="00D4526D">
        <w:rPr>
          <w:noProof/>
          <w:sz w:val="20"/>
        </w:rPr>
        <w:t>[12]</w:t>
      </w:r>
      <w:r>
        <w:fldChar w:fldCharType="end"/>
      </w:r>
      <w:r w:rsidRPr="00AF000E">
        <w:t>.</w:t>
      </w:r>
      <w:r w:rsidRPr="004141A2">
        <w:t xml:space="preserve"> </w:t>
      </w:r>
      <w:r w:rsidRPr="00801871">
        <w:t>Cu toate acestea, modelul este inversat în Kosovo (33,31% la băieți față de 22,55%) și Georgia (18,2% la genul masculin față de 9,47% la genul masculin), unde băieții au rate mai mari de fumat</w:t>
      </w:r>
      <w:r>
        <w:fldChar w:fldCharType="begin"/>
      </w:r>
      <w:r w:rsidR="00D4526D">
        <w:instrText xml:space="preserve"> ADDIN EN.CITE &lt;EndNote&gt;&lt;Cite&gt;&lt;Author&gt;ESPAD&lt;/Author&gt;&lt;Year&gt;2025&lt;/Year&gt;&lt;RecNum&gt;9152&lt;/RecNum&gt;&lt;DisplayText&gt;&lt;style size="10"&gt;[12]&lt;/style&gt;&lt;/DisplayText&gt;&lt;record&gt;&lt;rec-number&gt;9152&lt;/rec-number&gt;&lt;foreign-keys&gt;&lt;key app="EN" db-id="fw0prtesnvf55cepezbx255wwza5zw0ssatt" timestamp="1754275132" guid="ea9154bc-81ec-47b2-8cce-3adbbca3b1ad"&gt;9152&lt;/key&gt;&lt;/foreign-keys&gt;&lt;ref-type name="Report"&gt;27&lt;/ref-type&gt;&lt;contributors&gt;&lt;authors&gt;&lt;author&gt;&lt;style face="normal" font="default" charset="238" size="100%"&gt;ESPAD&lt;/style&gt;&lt;/author&gt;&lt;/authors&gt;&lt;secondary-authors&gt;&lt;author&gt;&lt;style face="normal" font="default" charset="238" size="100%"&gt;ESPAD&lt;/style&gt;&lt;/author&gt;&lt;/secondary-authors&gt;&lt;tertiary-authors&gt;&lt;author&gt;European Union Drugs Agency&lt;/author&gt;&lt;/tertiary-authors&gt;&lt;/contributors&gt;&lt;titles&gt;&lt;title&gt;Key findings from the 2024 European School Survey Project on Alcohol and Other Drugs (ESPAD)&lt;/title&gt;&lt;/titles&gt;&lt;dates&gt;&lt;year&gt;&lt;style face="normal" font="default" charset="238" size="100%"&gt;2025&lt;/style&gt;&lt;/year&gt;&lt;/dates&gt;&lt;pub-location&gt;&lt;style face="normal" font="default" charset="238" size="100%"&gt;online&lt;/style&gt;&lt;/pub-location&gt;&lt;urls&gt;&lt;related-urls&gt;&lt;url&gt;https://www.euda.europa.eu/publications/data-factsheets/espad-2024-key-findings_en&lt;/url&gt;&lt;/related-urls&gt;&lt;/urls&gt;&lt;/record&gt;&lt;/Cite&gt;&lt;/EndNote&gt;</w:instrText>
      </w:r>
      <w:r>
        <w:fldChar w:fldCharType="separate"/>
      </w:r>
      <w:r w:rsidR="00D4526D" w:rsidRPr="00D4526D">
        <w:rPr>
          <w:noProof/>
          <w:sz w:val="20"/>
        </w:rPr>
        <w:t>[12]</w:t>
      </w:r>
      <w:r>
        <w:fldChar w:fldCharType="end"/>
      </w:r>
      <w:r w:rsidRPr="00801871">
        <w:t>.</w:t>
      </w:r>
    </w:p>
    <w:p w14:paraId="51F2C247" w14:textId="77777777" w:rsidR="00CD3152" w:rsidRDefault="00CD3152" w:rsidP="00CD3152">
      <w:pPr>
        <w:keepNext/>
        <w:jc w:val="both"/>
      </w:pPr>
      <w:r>
        <w:rPr>
          <w:noProof/>
        </w:rPr>
        <w:drawing>
          <wp:inline distT="0" distB="0" distL="0" distR="0" wp14:anchorId="5673A25A" wp14:editId="2D283196">
            <wp:extent cx="5040000" cy="2520000"/>
            <wp:effectExtent l="0" t="0" r="8255" b="13970"/>
            <wp:docPr id="773591246" name="Chart 1">
              <a:extLst xmlns:a="http://schemas.openxmlformats.org/drawingml/2006/main">
                <a:ext uri="{FF2B5EF4-FFF2-40B4-BE49-F238E27FC236}">
                  <a16:creationId xmlns:a16="http://schemas.microsoft.com/office/drawing/2014/main" id="{03359126-B39E-4B42-BC9C-4B7907203FC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14:paraId="691408A3" w14:textId="261B65BB" w:rsidR="00CD3152" w:rsidRDefault="00CD3152" w:rsidP="00CD3152">
      <w:pPr>
        <w:pStyle w:val="Caption"/>
        <w:jc w:val="both"/>
      </w:pPr>
      <w:bookmarkStart w:id="58" w:name="_Ref211325291"/>
      <w:r>
        <w:t xml:space="preserve">Figura </w:t>
      </w:r>
      <w:fldSimple w:instr=" STYLEREF 1 \s ">
        <w:r w:rsidR="0080370C">
          <w:rPr>
            <w:noProof/>
          </w:rPr>
          <w:t>I</w:t>
        </w:r>
      </w:fldSimple>
      <w:r w:rsidR="0080370C">
        <w:t>.</w:t>
      </w:r>
      <w:fldSimple w:instr=" SEQ Figura \* ARABIC \s 1 ">
        <w:r w:rsidR="0080370C">
          <w:rPr>
            <w:noProof/>
          </w:rPr>
          <w:t>44</w:t>
        </w:r>
      </w:fldSimple>
      <w:bookmarkEnd w:id="58"/>
      <w:r w:rsidRPr="004141A2">
        <w:t xml:space="preserve"> Consum </w:t>
      </w:r>
      <w:r>
        <w:t>actual</w:t>
      </w:r>
      <w:r w:rsidRPr="004141A2">
        <w:t xml:space="preserve"> de țigări </w:t>
      </w:r>
      <w:r>
        <w:t xml:space="preserve">la adolescenții de 15-16 ani, în funcție de gen, </w:t>
      </w:r>
      <w:r w:rsidRPr="004141A2">
        <w:t>în țările ESPAD, Sursa: ESPAD 2024</w:t>
      </w:r>
    </w:p>
    <w:p w14:paraId="409C562B" w14:textId="76EEFCE8" w:rsidR="00CD3152" w:rsidRDefault="00CD3152" w:rsidP="00CD3152">
      <w:pPr>
        <w:ind w:firstLine="708"/>
        <w:jc w:val="both"/>
      </w:pPr>
      <w:r>
        <w:lastRenderedPageBreak/>
        <w:t>În România, frecvența consumului actual de țigări la adolescenții de 15-16 ani de genul masculin a rămas constantă până în 2019, apoi manifestă o ușoară tendință de scădere (de la 30.88% în 1999 la 30,04% în 2019 și la 21,62% în 2024), dar rămâne peste media țărilor ESPAD (16,78% în 2024). La adolescentele de 15-16 ani din România, însă, se remarcă un trend ascendent permanent între anul 1999 (19,86%) și 2019 (32,35%), la fel cu o tendință de ușoară descreștere între 2019 și 2024 (29,77%)(</w:t>
      </w:r>
      <w:r>
        <w:fldChar w:fldCharType="begin"/>
      </w:r>
      <w:r>
        <w:instrText xml:space="preserve"> REF _Ref211325291 \h </w:instrText>
      </w:r>
      <w:r>
        <w:fldChar w:fldCharType="separate"/>
      </w:r>
      <w:r>
        <w:t xml:space="preserve">Figura </w:t>
      </w:r>
      <w:r>
        <w:rPr>
          <w:noProof/>
        </w:rPr>
        <w:t>I</w:t>
      </w:r>
      <w:r>
        <w:t>.</w:t>
      </w:r>
      <w:r>
        <w:rPr>
          <w:noProof/>
        </w:rPr>
        <w:t>45</w:t>
      </w:r>
      <w:r>
        <w:fldChar w:fldCharType="end"/>
      </w:r>
      <w:r>
        <w:t>). Această tendință de scădere între 2019 și 2024 se poate datora anilor pandemici</w:t>
      </w:r>
      <w:r>
        <w:fldChar w:fldCharType="begin"/>
      </w:r>
      <w:r w:rsidR="00D4526D">
        <w:instrText xml:space="preserve"> ADDIN EN.CITE &lt;EndNote&gt;&lt;Cite&gt;&lt;Author&gt;ESPAD&lt;/Author&gt;&lt;Year&gt;2025&lt;/Year&gt;&lt;RecNum&gt;9168&lt;/RecNum&gt;&lt;DisplayText&gt;&lt;style size="10"&gt;[13]&lt;/style&gt;&lt;/DisplayText&gt;&lt;record&gt;&lt;rec-number&gt;9168&lt;/rec-number&gt;&lt;foreign-keys&gt;&lt;key app="EN" db-id="fw0prtesnvf55cepezbx255wwza5zw0ssatt" timestamp="1754430885" guid="76464576-9d31-4800-8f67-b9399a82e498"&gt;9168&lt;/key&gt;&lt;/foreign-keys&gt;&lt;ref-type name="Online Database"&gt;45&lt;/ref-type&gt;&lt;contributors&gt;&lt;authors&gt;&lt;author&gt;&lt;style face="normal" font="default" charset="238" size="100%"&gt;ESPAD &lt;/style&gt;&lt;/author&gt;&lt;/authors&gt;&lt;/contributors&gt;&lt;titles&gt;&lt;title&gt;&lt;style face="normal" font="default" charset="238" size="100%"&gt;ESPAD Data portal - Tobacco, 2024&lt;/style&gt;&lt;/title&gt;&lt;/titles&gt;&lt;dates&gt;&lt;year&gt;&lt;style face="normal" font="default" charset="238" size="100%"&gt;2025&lt;/style&gt;&lt;/year&gt;&lt;/dates&gt;&lt;urls&gt;&lt;related-urls&gt;&lt;url&gt;https://data.espad.org/search-questions/?field-text=tobacco&lt;/url&gt;&lt;/related-urls&gt;&lt;/urls&gt;&lt;/record&gt;&lt;/Cite&gt;&lt;/EndNote&gt;</w:instrText>
      </w:r>
      <w:r>
        <w:fldChar w:fldCharType="separate"/>
      </w:r>
      <w:r w:rsidR="00D4526D" w:rsidRPr="00D4526D">
        <w:rPr>
          <w:noProof/>
          <w:sz w:val="20"/>
        </w:rPr>
        <w:t>[13]</w:t>
      </w:r>
      <w:r>
        <w:fldChar w:fldCharType="end"/>
      </w:r>
      <w:r>
        <w:t>.</w:t>
      </w:r>
    </w:p>
    <w:p w14:paraId="48A27A40" w14:textId="01F9D1A4" w:rsidR="00CD3152" w:rsidRDefault="00CD3152" w:rsidP="00CD3152">
      <w:pPr>
        <w:ind w:firstLine="708"/>
        <w:jc w:val="both"/>
      </w:pPr>
      <w:r>
        <w:t>La ambele genuri, prevalența consumului actual de țigări scade în țările ESPAD de la 36.06% în 1999 la 19,89% în 2019, ajungând în anul 2024 la 17,58%. În România însă, crește de la 24,25% în 1999 la 31,25 în 2019 și scade ușor apoi la 25,84% în anul 2024. Din anul 2011, frecvența consumului actual de tutun depășește cu mult media țărilor ESPAD la ambele genuri (</w:t>
      </w:r>
      <w:r>
        <w:fldChar w:fldCharType="begin"/>
      </w:r>
      <w:r>
        <w:instrText xml:space="preserve"> REF _Ref211325291 \h </w:instrText>
      </w:r>
      <w:r>
        <w:fldChar w:fldCharType="separate"/>
      </w:r>
      <w:r>
        <w:t xml:space="preserve">Figura </w:t>
      </w:r>
      <w:r>
        <w:rPr>
          <w:noProof/>
        </w:rPr>
        <w:t>I</w:t>
      </w:r>
      <w:r>
        <w:t>.</w:t>
      </w:r>
      <w:r>
        <w:rPr>
          <w:noProof/>
        </w:rPr>
        <w:t>45</w:t>
      </w:r>
      <w:r>
        <w:fldChar w:fldCharType="end"/>
      </w:r>
      <w:r>
        <w:t>)</w:t>
      </w:r>
      <w:r>
        <w:fldChar w:fldCharType="begin"/>
      </w:r>
      <w:r w:rsidR="00D4526D">
        <w:instrText xml:space="preserve"> ADDIN EN.CITE &lt;EndNote&gt;&lt;Cite&gt;&lt;Author&gt;ESPAD&lt;/Author&gt;&lt;Year&gt;2025&lt;/Year&gt;&lt;RecNum&gt;9168&lt;/RecNum&gt;&lt;DisplayText&gt;&lt;style size="10"&gt;[13]&lt;/style&gt;&lt;/DisplayText&gt;&lt;record&gt;&lt;rec-number&gt;9168&lt;/rec-number&gt;&lt;foreign-keys&gt;&lt;key app="EN" db-id="fw0prtesnvf55cepezbx255wwza5zw0ssatt" timestamp="1754430885" guid="76464576-9d31-4800-8f67-b9399a82e498"&gt;9168&lt;/key&gt;&lt;/foreign-keys&gt;&lt;ref-type name="Online Database"&gt;45&lt;/ref-type&gt;&lt;contributors&gt;&lt;authors&gt;&lt;author&gt;&lt;style face="normal" font="default" charset="238" size="100%"&gt;ESPAD &lt;/style&gt;&lt;/author&gt;&lt;/authors&gt;&lt;/contributors&gt;&lt;titles&gt;&lt;title&gt;&lt;style face="normal" font="default" charset="238" size="100%"&gt;ESPAD Data portal - Tobacco, 2024&lt;/style&gt;&lt;/title&gt;&lt;/titles&gt;&lt;dates&gt;&lt;year&gt;&lt;style face="normal" font="default" charset="238" size="100%"&gt;2025&lt;/style&gt;&lt;/year&gt;&lt;/dates&gt;&lt;urls&gt;&lt;related-urls&gt;&lt;url&gt;https://data.espad.org/search-questions/?field-text=tobacco&lt;/url&gt;&lt;/related-urls&gt;&lt;/urls&gt;&lt;/record&gt;&lt;/Cite&gt;&lt;/EndNote&gt;</w:instrText>
      </w:r>
      <w:r>
        <w:fldChar w:fldCharType="separate"/>
      </w:r>
      <w:r w:rsidR="00D4526D" w:rsidRPr="00D4526D">
        <w:rPr>
          <w:noProof/>
          <w:sz w:val="20"/>
        </w:rPr>
        <w:t>[13]</w:t>
      </w:r>
      <w:r>
        <w:fldChar w:fldCharType="end"/>
      </w:r>
      <w:r>
        <w:t xml:space="preserve">.  </w:t>
      </w:r>
    </w:p>
    <w:p w14:paraId="1C38BFCB" w14:textId="77777777" w:rsidR="00CD3152" w:rsidRPr="00F42DDE" w:rsidRDefault="00CD3152" w:rsidP="00CD3152"/>
    <w:p w14:paraId="4822A0B8" w14:textId="427FE285" w:rsidR="00CD3152" w:rsidRPr="00A46B3F" w:rsidRDefault="00CD3152" w:rsidP="00A46B3F">
      <w:pPr>
        <w:pStyle w:val="Heading3"/>
      </w:pPr>
      <w:bookmarkStart w:id="59" w:name="_Toc232660564"/>
      <w:r w:rsidRPr="00A46B3F">
        <w:t>Consumul du</w:t>
      </w:r>
      <w:r w:rsidR="006105DA" w:rsidRPr="00A46B3F">
        <w:t>al</w:t>
      </w:r>
      <w:r w:rsidRPr="00A46B3F">
        <w:t xml:space="preserve"> de produse de tutun (convențional și țigări electronice) la adolescenții 15-16 ani, ESPAD 2024</w:t>
      </w:r>
      <w:bookmarkEnd w:id="59"/>
    </w:p>
    <w:p w14:paraId="737C81BE" w14:textId="77777777" w:rsidR="00CD3152" w:rsidRDefault="00CD3152" w:rsidP="00A62A7C">
      <w:pPr>
        <w:pStyle w:val="Heading4"/>
        <w:numPr>
          <w:ilvl w:val="0"/>
          <w:numId w:val="24"/>
        </w:numPr>
        <w:snapToGrid/>
        <w:spacing w:after="0"/>
        <w:contextualSpacing w:val="0"/>
      </w:pPr>
      <w:r w:rsidRPr="00F860A8">
        <w:t>Inițierea fumatului</w:t>
      </w:r>
      <w:r>
        <w:t xml:space="preserve"> dublu de țigări/ țigări electronice</w:t>
      </w:r>
      <w:r w:rsidRPr="00F860A8">
        <w:t xml:space="preserve"> la adolescenții de 15-16 ani, ESPAD 2024</w:t>
      </w:r>
    </w:p>
    <w:p w14:paraId="0A8A3A22" w14:textId="77777777" w:rsidR="00CD3152" w:rsidRDefault="00CD3152" w:rsidP="00CD3152">
      <w:pPr>
        <w:ind w:firstLine="708"/>
        <w:jc w:val="both"/>
      </w:pPr>
      <w:r>
        <w:t>Dacă luăm în considerare consumul cumulat de țigări și țigări electronice, î</w:t>
      </w:r>
      <w:r w:rsidRPr="000123F1">
        <w:t xml:space="preserve">n România </w:t>
      </w:r>
      <w:r>
        <w:t>18</w:t>
      </w:r>
      <w:r w:rsidRPr="000123F1">
        <w:t>,</w:t>
      </w:r>
      <w:r>
        <w:t>68</w:t>
      </w:r>
      <w:r w:rsidRPr="000123F1">
        <w:t>% dintre cei intervievați declară că au fumat pentru prima dată, prima țigară la vârsta de 13 ani sau mai devreme (</w:t>
      </w:r>
      <w:r>
        <w:t>17,25</w:t>
      </w:r>
      <w:r w:rsidRPr="000123F1">
        <w:t xml:space="preserve">% dintre băieți și </w:t>
      </w:r>
      <w:r>
        <w:t>20,06</w:t>
      </w:r>
      <w:r w:rsidRPr="000123F1">
        <w:t>% dintre fete). În medie, 1</w:t>
      </w:r>
      <w:r>
        <w:t>5,96</w:t>
      </w:r>
      <w:r w:rsidRPr="000123F1">
        <w:t>% dintre adolescenții ESPAD raportează că au fumat pentru prima dată la vârsta de 13 ani sau mai devreme, 15</w:t>
      </w:r>
      <w:r>
        <w:t>,42</w:t>
      </w:r>
      <w:r w:rsidRPr="000123F1">
        <w:t>% dintre băieți și 1</w:t>
      </w:r>
      <w:r>
        <w:t>6,46</w:t>
      </w:r>
      <w:r w:rsidRPr="000123F1">
        <w:t xml:space="preserve">% dintre fete. </w:t>
      </w:r>
    </w:p>
    <w:p w14:paraId="73E4D13D" w14:textId="77777777" w:rsidR="00CD3152" w:rsidRPr="000123F1" w:rsidRDefault="00CD3152" w:rsidP="00CD3152"/>
    <w:p w14:paraId="2C3BF56A" w14:textId="77777777" w:rsidR="00CD3152" w:rsidRDefault="00CD3152" w:rsidP="00CD3152">
      <w:pPr>
        <w:keepNext/>
      </w:pPr>
      <w:r>
        <w:rPr>
          <w:noProof/>
        </w:rPr>
        <w:drawing>
          <wp:inline distT="0" distB="0" distL="0" distR="0" wp14:anchorId="7A0307A1" wp14:editId="614897E8">
            <wp:extent cx="5849620" cy="2520000"/>
            <wp:effectExtent l="0" t="0" r="17780" b="13970"/>
            <wp:docPr id="1933234397" name="Chart 1">
              <a:extLst xmlns:a="http://schemas.openxmlformats.org/drawingml/2006/main">
                <a:ext uri="{FF2B5EF4-FFF2-40B4-BE49-F238E27FC236}">
                  <a16:creationId xmlns:a16="http://schemas.microsoft.com/office/drawing/2014/main" id="{2CC4087D-D1CA-40C7-82D5-BF453931019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14:paraId="1342BED9" w14:textId="765E06F7" w:rsidR="00CD3152" w:rsidRDefault="00CD3152" w:rsidP="00CD3152">
      <w:pPr>
        <w:pStyle w:val="Caption"/>
        <w:jc w:val="both"/>
      </w:pPr>
      <w:bookmarkStart w:id="60" w:name="_Ref211392738"/>
      <w:r>
        <w:t xml:space="preserve">Figura </w:t>
      </w:r>
      <w:fldSimple w:instr=" STYLEREF 1 \s ">
        <w:r w:rsidR="0080370C">
          <w:rPr>
            <w:noProof/>
          </w:rPr>
          <w:t>I</w:t>
        </w:r>
      </w:fldSimple>
      <w:r w:rsidR="0080370C">
        <w:t>.</w:t>
      </w:r>
      <w:fldSimple w:instr=" SEQ Figura \* ARABIC \s 1 ">
        <w:r w:rsidR="0080370C">
          <w:rPr>
            <w:noProof/>
          </w:rPr>
          <w:t>45</w:t>
        </w:r>
      </w:fldSimple>
      <w:bookmarkEnd w:id="60"/>
      <w:r w:rsidRPr="008A0190">
        <w:t xml:space="preserve"> Inițierea precoce (în jurul vârstei de 13 ani) a fumatului </w:t>
      </w:r>
      <w:r>
        <w:t xml:space="preserve">mixt (țigări și țigări electronice) </w:t>
      </w:r>
      <w:r w:rsidRPr="008A0190">
        <w:t>la adolescenții de 15-16 ani, Sursa: ESPAD 2024</w:t>
      </w:r>
    </w:p>
    <w:p w14:paraId="02A04E6C" w14:textId="302F5B7A" w:rsidR="00CD3152" w:rsidRDefault="00CD3152" w:rsidP="00CD3152">
      <w:pPr>
        <w:ind w:firstLine="708"/>
        <w:jc w:val="both"/>
      </w:pPr>
      <w:r>
        <w:t>În ceea ce privește inițierea</w:t>
      </w:r>
      <w:r w:rsidRPr="004E37EA">
        <w:t xml:space="preserve"> consumul</w:t>
      </w:r>
      <w:r>
        <w:t>ui</w:t>
      </w:r>
      <w:r w:rsidRPr="004E37EA">
        <w:t xml:space="preserve"> </w:t>
      </w:r>
      <w:r>
        <w:t xml:space="preserve">mixt </w:t>
      </w:r>
      <w:r w:rsidRPr="004E37EA">
        <w:t>zilnic raportat de elevii care au început să fumeze la o vârstă fragedă (13 ani sau mai devreme)</w:t>
      </w:r>
      <w:r>
        <w:t>, î</w:t>
      </w:r>
      <w:r w:rsidRPr="004E37EA">
        <w:t xml:space="preserve">n România, </w:t>
      </w:r>
      <w:r>
        <w:t>7,71</w:t>
      </w:r>
      <w:r w:rsidRPr="004E37EA">
        <w:t xml:space="preserve">% dintre adolescenții de 15-16 ani intervievați declară că debutul fumatului zilnic a avut loc precoce, la vârsta de 13 ani sau mai devreme, valoare peste media de </w:t>
      </w:r>
      <w:r>
        <w:t>5,97</w:t>
      </w:r>
      <w:r w:rsidRPr="004E37EA">
        <w:t>% în cazul adolescenților ESPAD</w:t>
      </w:r>
      <w:r w:rsidRPr="0059542A">
        <w:t>. Cele mai mari proporții sunt înregistrate în Bulgaria (10,91%), Lituania (10,73%) și Ucraina (10,81%), în timp frecvențe scăzute sunt în Franța (2,46%), Portugalia (2,59%), Muntenegru (2,82%) și Suedia (1,63%)(</w:t>
      </w:r>
      <w:r>
        <w:fldChar w:fldCharType="begin"/>
      </w:r>
      <w:r>
        <w:instrText xml:space="preserve"> REF _Ref211392738 \h </w:instrText>
      </w:r>
      <w:r>
        <w:fldChar w:fldCharType="separate"/>
      </w:r>
      <w:r>
        <w:t xml:space="preserve">Figura </w:t>
      </w:r>
      <w:r>
        <w:rPr>
          <w:noProof/>
        </w:rPr>
        <w:t>I</w:t>
      </w:r>
      <w:r>
        <w:t>.</w:t>
      </w:r>
      <w:r>
        <w:rPr>
          <w:noProof/>
        </w:rPr>
        <w:t>46</w:t>
      </w:r>
      <w:r>
        <w:fldChar w:fldCharType="end"/>
      </w:r>
      <w:r w:rsidRPr="0059542A">
        <w:t>)</w:t>
      </w:r>
      <w:r>
        <w:t>.</w:t>
      </w:r>
      <w:r>
        <w:fldChar w:fldCharType="begin"/>
      </w:r>
      <w:r w:rsidR="00D4526D">
        <w:instrText xml:space="preserve"> ADDIN EN.CITE &lt;EndNote&gt;&lt;Cite&gt;&lt;Author&gt;ESPAD&lt;/Author&gt;&lt;Year&gt;2025&lt;/Year&gt;&lt;RecNum&gt;9168&lt;/RecNum&gt;&lt;DisplayText&gt;&lt;style size="10"&gt;[13]&lt;/style&gt;&lt;/DisplayText&gt;&lt;record&gt;&lt;rec-number&gt;9168&lt;/rec-number&gt;&lt;foreign-keys&gt;&lt;key app="EN" db-id="fw0prtesnvf55cepezbx255wwza5zw0ssatt" timestamp="1754430885" guid="76464576-9d31-4800-8f67-b9399a82e498"&gt;9168&lt;/key&gt;&lt;/foreign-keys&gt;&lt;ref-type name="Online Database"&gt;45&lt;/ref-type&gt;&lt;contributors&gt;&lt;authors&gt;&lt;author&gt;&lt;style face="normal" font="default" charset="238" size="100%"&gt;ESPAD &lt;/style&gt;&lt;/author&gt;&lt;/authors&gt;&lt;/contributors&gt;&lt;titles&gt;&lt;title&gt;&lt;style face="normal" font="default" charset="238" size="100%"&gt;ESPAD Data portal - Tobacco, 2024&lt;/style&gt;&lt;/title&gt;&lt;/titles&gt;&lt;dates&gt;&lt;year&gt;&lt;style face="normal" font="default" charset="238" size="100%"&gt;2025&lt;/style&gt;&lt;/year&gt;&lt;/dates&gt;&lt;urls&gt;&lt;related-urls&gt;&lt;url&gt;https://data.espad.org/search-questions/?field-text=tobacco&lt;/url&gt;&lt;/related-urls&gt;&lt;/urls&gt;&lt;/record&gt;&lt;/Cite&gt;&lt;/EndNote&gt;</w:instrText>
      </w:r>
      <w:r>
        <w:fldChar w:fldCharType="separate"/>
      </w:r>
      <w:r w:rsidR="00D4526D" w:rsidRPr="00D4526D">
        <w:rPr>
          <w:noProof/>
          <w:sz w:val="20"/>
        </w:rPr>
        <w:t>[13]</w:t>
      </w:r>
      <w:r>
        <w:fldChar w:fldCharType="end"/>
      </w:r>
    </w:p>
    <w:p w14:paraId="5AED3291" w14:textId="77777777" w:rsidR="00CD3152" w:rsidRPr="009651FC" w:rsidRDefault="00CD3152" w:rsidP="00CD3152"/>
    <w:p w14:paraId="58B9BA65" w14:textId="77777777" w:rsidR="00CD3152" w:rsidRDefault="00CD3152" w:rsidP="00CD3152">
      <w:pPr>
        <w:keepNext/>
        <w:jc w:val="center"/>
      </w:pPr>
      <w:r>
        <w:rPr>
          <w:noProof/>
        </w:rPr>
        <w:drawing>
          <wp:inline distT="0" distB="0" distL="0" distR="0" wp14:anchorId="38F89931" wp14:editId="3419B495">
            <wp:extent cx="5040000" cy="2520000"/>
            <wp:effectExtent l="0" t="0" r="8255" b="13970"/>
            <wp:docPr id="567796978" name="Chart 1">
              <a:extLst xmlns:a="http://schemas.openxmlformats.org/drawingml/2006/main">
                <a:ext uri="{FF2B5EF4-FFF2-40B4-BE49-F238E27FC236}">
                  <a16:creationId xmlns:a16="http://schemas.microsoft.com/office/drawing/2014/main" id="{C812F199-DB53-44C1-8FF5-DD6CF7B9676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p>
    <w:p w14:paraId="68309DBD" w14:textId="03192670" w:rsidR="00CD3152" w:rsidRDefault="00CD3152" w:rsidP="00CD3152">
      <w:pPr>
        <w:pStyle w:val="Caption"/>
        <w:jc w:val="center"/>
      </w:pPr>
      <w:r>
        <w:t xml:space="preserve">Figura </w:t>
      </w:r>
      <w:fldSimple w:instr=" STYLEREF 1 \s ">
        <w:r w:rsidR="0080370C">
          <w:rPr>
            <w:noProof/>
          </w:rPr>
          <w:t>I</w:t>
        </w:r>
      </w:fldSimple>
      <w:r w:rsidR="0080370C">
        <w:t>.</w:t>
      </w:r>
      <w:fldSimple w:instr=" SEQ Figura \* ARABIC \s 1 ">
        <w:r w:rsidR="0080370C">
          <w:rPr>
            <w:noProof/>
          </w:rPr>
          <w:t>46</w:t>
        </w:r>
      </w:fldSimple>
      <w:r w:rsidRPr="008A0190">
        <w:t xml:space="preserve"> Inițierea precoce (în jurul vârstei de 13 ani) a fumatului mixt (țigări și țigări electronice) la adolescenții de 15-16 ani,</w:t>
      </w:r>
      <w:r>
        <w:t xml:space="preserve"> în funcție de gen,</w:t>
      </w:r>
      <w:r w:rsidRPr="008A0190">
        <w:t xml:space="preserve"> Sursa: ESPAD 2024</w:t>
      </w:r>
    </w:p>
    <w:p w14:paraId="2C204ED4" w14:textId="77777777" w:rsidR="00CD3152" w:rsidRDefault="00CD3152" w:rsidP="00CD3152">
      <w:pPr>
        <w:ind w:firstLine="708"/>
        <w:jc w:val="both"/>
      </w:pPr>
      <w:r>
        <w:t>În perioada 2019 – 2024, frecvența adolescenților de ambele sexe care inițiază fumatul zilnic dublu de țigări/țigări electronice</w:t>
      </w:r>
      <w:r w:rsidRPr="000A6609">
        <w:t xml:space="preserve"> precoce (la vârsta prag de 13 ani)</w:t>
      </w:r>
      <w:r>
        <w:t xml:space="preserve"> în țările ESPAD cunoaște un trend aproape constant la genul masculin, și o creștere accelerată la genul feminin. </w:t>
      </w:r>
    </w:p>
    <w:p w14:paraId="6E7CD575" w14:textId="77777777" w:rsidR="00CD3152" w:rsidRDefault="00CD3152" w:rsidP="00CD3152">
      <w:pPr>
        <w:ind w:firstLine="708"/>
        <w:jc w:val="both"/>
      </w:pPr>
      <w:r>
        <w:t xml:space="preserve">La nivelul țărilor ESPAD, procentul de fumători zilnici cu vârsta de 13 ani sau mai mică a crescut de la primul ESPAD care raportează acest indicator (din 2019) la cel actual, ESPAD 2024 (de la 3,92% la 5,97%), iar în România creșterea a fost mai abruptă (de la 5,82% la 7,71%). La ambele genuri, în România, prevalența fumătorilor zilnici care inițiază consumul de țigări/țigări electronice se află mult peste media țărilor ESPAD. În rândul adolescenților de genul masculin se înregistrează o creștere ușoară (de la 6,41% în 2019 la 6,57% în 2024), peste media țărilor ESPAD (de 4,88% în 1999 și respectiv 5,71% în 2024). </w:t>
      </w:r>
    </w:p>
    <w:p w14:paraId="4615DD6B" w14:textId="77777777" w:rsidR="00CD3152" w:rsidRPr="00F860A8" w:rsidRDefault="00CD3152" w:rsidP="00CD3152">
      <w:pPr>
        <w:ind w:firstLine="708"/>
        <w:jc w:val="both"/>
      </w:pPr>
    </w:p>
    <w:p w14:paraId="4FDC2BB6" w14:textId="77777777" w:rsidR="00CD3152" w:rsidRDefault="00CD3152" w:rsidP="00A62A7C">
      <w:pPr>
        <w:pStyle w:val="Heading4"/>
        <w:numPr>
          <w:ilvl w:val="0"/>
          <w:numId w:val="26"/>
        </w:numPr>
        <w:snapToGrid/>
        <w:spacing w:after="0"/>
        <w:contextualSpacing w:val="0"/>
      </w:pPr>
      <w:r w:rsidRPr="00F860A8">
        <w:t>Consumul</w:t>
      </w:r>
      <w:r>
        <w:t xml:space="preserve"> zilnic</w:t>
      </w:r>
      <w:r w:rsidRPr="00F860A8">
        <w:t xml:space="preserve"> de țigări</w:t>
      </w:r>
      <w:r>
        <w:t>/țigări electronice</w:t>
      </w:r>
      <w:r w:rsidRPr="00F860A8">
        <w:t xml:space="preserve"> la adolescenții de 15-16 ani (ESPAD 2024)</w:t>
      </w:r>
    </w:p>
    <w:p w14:paraId="4C85B6CA" w14:textId="77777777" w:rsidR="00CD3152" w:rsidRDefault="00CD3152" w:rsidP="00CD3152">
      <w:pPr>
        <w:keepNext/>
      </w:pPr>
      <w:r>
        <w:rPr>
          <w:noProof/>
        </w:rPr>
        <w:drawing>
          <wp:inline distT="0" distB="0" distL="0" distR="0" wp14:anchorId="5931926B" wp14:editId="5DCAE7FD">
            <wp:extent cx="5849620" cy="2520000"/>
            <wp:effectExtent l="0" t="0" r="17780" b="13970"/>
            <wp:docPr id="514352877" name="Chart 1">
              <a:extLst xmlns:a="http://schemas.openxmlformats.org/drawingml/2006/main">
                <a:ext uri="{FF2B5EF4-FFF2-40B4-BE49-F238E27FC236}">
                  <a16:creationId xmlns:a16="http://schemas.microsoft.com/office/drawing/2014/main" id="{D0D9024A-557A-4E57-A1E4-82342576D22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14:paraId="40C23CC6" w14:textId="379DBB60" w:rsidR="00CD3152" w:rsidRDefault="00CD3152" w:rsidP="00CD3152">
      <w:pPr>
        <w:pStyle w:val="Caption"/>
      </w:pPr>
      <w:bookmarkStart w:id="61" w:name="_Ref211583263"/>
      <w:r>
        <w:t xml:space="preserve">Figura </w:t>
      </w:r>
      <w:fldSimple w:instr=" STYLEREF 1 \s ">
        <w:r w:rsidR="0080370C">
          <w:rPr>
            <w:noProof/>
          </w:rPr>
          <w:t>I</w:t>
        </w:r>
      </w:fldSimple>
      <w:r w:rsidR="0080370C">
        <w:t>.</w:t>
      </w:r>
      <w:fldSimple w:instr=" SEQ Figura \* ARABIC \s 1 ">
        <w:r w:rsidR="0080370C">
          <w:rPr>
            <w:noProof/>
          </w:rPr>
          <w:t>47</w:t>
        </w:r>
      </w:fldSimple>
      <w:bookmarkEnd w:id="61"/>
      <w:r w:rsidRPr="00A575BC">
        <w:t xml:space="preserve"> Consum zilnic de țigări și țigări electronice la adolescenții de 15-16 ani,  în țările ESPAD, Sursa: ESPAD 2024</w:t>
      </w:r>
    </w:p>
    <w:p w14:paraId="76A24627" w14:textId="77777777" w:rsidR="00CD3152" w:rsidRPr="00250166" w:rsidRDefault="00CD3152" w:rsidP="00CD3152">
      <w:pPr>
        <w:ind w:firstLine="708"/>
        <w:jc w:val="both"/>
      </w:pPr>
      <w:r w:rsidRPr="00250166">
        <w:lastRenderedPageBreak/>
        <w:t xml:space="preserve">Când se ia în considerare consumul zilnic ca dublă utilizare (clasic + alternativ), prevalența crește </w:t>
      </w:r>
      <w:r>
        <w:t xml:space="preserve">față de prevalența pentru fumat </w:t>
      </w:r>
      <w:r w:rsidRPr="00250166">
        <w:t>la 1</w:t>
      </w:r>
      <w:r>
        <w:t>9,96</w:t>
      </w:r>
      <w:r w:rsidRPr="00250166">
        <w:t>%</w:t>
      </w:r>
      <w:r>
        <w:t xml:space="preserve"> în România</w:t>
      </w:r>
      <w:r w:rsidRPr="00250166">
        <w:t xml:space="preserve"> (</w:t>
      </w:r>
      <w:r>
        <w:t>23,06</w:t>
      </w:r>
      <w:r w:rsidRPr="00250166">
        <w:t xml:space="preserve">% în rândul fetelor </w:t>
      </w:r>
      <w:r>
        <w:t xml:space="preserve">și  </w:t>
      </w:r>
      <w:r w:rsidRPr="00250166">
        <w:t>1</w:t>
      </w:r>
      <w:r>
        <w:t>6,64</w:t>
      </w:r>
      <w:r w:rsidRPr="00250166">
        <w:t xml:space="preserve">% în rândul băieților), </w:t>
      </w:r>
      <w:r>
        <w:t>valoare situată peste media țărilor ESPAD de 13,6%. (</w:t>
      </w:r>
      <w:r>
        <w:fldChar w:fldCharType="begin"/>
      </w:r>
      <w:r>
        <w:instrText xml:space="preserve"> REF _Ref211583263 \h </w:instrText>
      </w:r>
      <w:r>
        <w:fldChar w:fldCharType="separate"/>
      </w:r>
      <w:r>
        <w:t xml:space="preserve">Figura </w:t>
      </w:r>
      <w:r>
        <w:rPr>
          <w:noProof/>
        </w:rPr>
        <w:t>I</w:t>
      </w:r>
      <w:r>
        <w:t>.</w:t>
      </w:r>
      <w:r>
        <w:rPr>
          <w:noProof/>
        </w:rPr>
        <w:t>48</w:t>
      </w:r>
      <w:r>
        <w:fldChar w:fldCharType="end"/>
      </w:r>
      <w:r>
        <w:t xml:space="preserve"> și </w:t>
      </w:r>
      <w:r>
        <w:fldChar w:fldCharType="begin"/>
      </w:r>
      <w:r>
        <w:instrText xml:space="preserve"> REF _Ref211583266 \h </w:instrText>
      </w:r>
      <w:r>
        <w:fldChar w:fldCharType="separate"/>
      </w:r>
      <w:r>
        <w:t xml:space="preserve">Figura </w:t>
      </w:r>
      <w:r>
        <w:rPr>
          <w:noProof/>
        </w:rPr>
        <w:t>I</w:t>
      </w:r>
      <w:r>
        <w:t>.</w:t>
      </w:r>
      <w:r>
        <w:rPr>
          <w:noProof/>
        </w:rPr>
        <w:t>49</w:t>
      </w:r>
      <w:r>
        <w:fldChar w:fldCharType="end"/>
      </w:r>
      <w:r>
        <w:t>)</w:t>
      </w:r>
    </w:p>
    <w:p w14:paraId="4A6A3849" w14:textId="77777777" w:rsidR="00CD3152" w:rsidRPr="00250166" w:rsidRDefault="00CD3152" w:rsidP="00CD3152"/>
    <w:p w14:paraId="67FE1492" w14:textId="77777777" w:rsidR="00CD3152" w:rsidRPr="00A575BC" w:rsidRDefault="00CD3152" w:rsidP="00CD3152"/>
    <w:p w14:paraId="19680CE4" w14:textId="77777777" w:rsidR="00CD3152" w:rsidRDefault="00CD3152" w:rsidP="00CD3152">
      <w:pPr>
        <w:keepNext/>
        <w:jc w:val="center"/>
      </w:pPr>
      <w:r>
        <w:rPr>
          <w:noProof/>
        </w:rPr>
        <w:drawing>
          <wp:inline distT="0" distB="0" distL="0" distR="0" wp14:anchorId="4C32BBF0" wp14:editId="5160B6A9">
            <wp:extent cx="5040000" cy="2520000"/>
            <wp:effectExtent l="0" t="0" r="8255" b="13970"/>
            <wp:docPr id="1225069005" name="Chart 1">
              <a:extLst xmlns:a="http://schemas.openxmlformats.org/drawingml/2006/main">
                <a:ext uri="{FF2B5EF4-FFF2-40B4-BE49-F238E27FC236}">
                  <a16:creationId xmlns:a16="http://schemas.microsoft.com/office/drawing/2014/main" id="{D8370789-B0A8-474B-9676-F3C2E703DD4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14:paraId="47C3573A" w14:textId="00FB2A61" w:rsidR="00CD3152" w:rsidRDefault="00CD3152" w:rsidP="00CD3152">
      <w:pPr>
        <w:pStyle w:val="Caption"/>
        <w:jc w:val="center"/>
      </w:pPr>
      <w:bookmarkStart w:id="62" w:name="_Ref211583266"/>
      <w:r>
        <w:t xml:space="preserve">Figura </w:t>
      </w:r>
      <w:fldSimple w:instr=" STYLEREF 1 \s ">
        <w:r w:rsidR="0080370C">
          <w:rPr>
            <w:noProof/>
          </w:rPr>
          <w:t>I</w:t>
        </w:r>
      </w:fldSimple>
      <w:r w:rsidR="0080370C">
        <w:t>.</w:t>
      </w:r>
      <w:fldSimple w:instr=" SEQ Figura \* ARABIC \s 1 ">
        <w:r w:rsidR="0080370C">
          <w:rPr>
            <w:noProof/>
          </w:rPr>
          <w:t>48</w:t>
        </w:r>
      </w:fldSimple>
      <w:bookmarkEnd w:id="62"/>
      <w:r w:rsidRPr="00A575BC">
        <w:t xml:space="preserve"> Consum </w:t>
      </w:r>
      <w:r>
        <w:t>zilnic</w:t>
      </w:r>
      <w:r w:rsidRPr="00A575BC">
        <w:t xml:space="preserve"> de țigări și țigări electronice la adolescenții de 15-16 ani, în funcție de gen</w:t>
      </w:r>
      <w:r>
        <w:t>,</w:t>
      </w:r>
      <w:r w:rsidRPr="00A575BC">
        <w:t xml:space="preserve">  în țările ESPAD, Sursa: ESPAD 2024</w:t>
      </w:r>
    </w:p>
    <w:p w14:paraId="2BF62217" w14:textId="77777777" w:rsidR="00CD3152" w:rsidRPr="00C75A47" w:rsidRDefault="00CD3152" w:rsidP="00CD3152"/>
    <w:p w14:paraId="1C8693EA" w14:textId="77777777" w:rsidR="00CD3152" w:rsidRDefault="00CD3152" w:rsidP="00A62A7C">
      <w:pPr>
        <w:pStyle w:val="Heading4"/>
        <w:numPr>
          <w:ilvl w:val="0"/>
          <w:numId w:val="27"/>
        </w:numPr>
        <w:snapToGrid/>
        <w:spacing w:after="0"/>
        <w:contextualSpacing w:val="0"/>
      </w:pPr>
      <w:r w:rsidRPr="00A575BC">
        <w:t xml:space="preserve">Consumul de țigări </w:t>
      </w:r>
      <w:r>
        <w:t xml:space="preserve">și țigări electronice </w:t>
      </w:r>
      <w:r w:rsidRPr="00A575BC">
        <w:t>de-a lungul vieții la adolescenții 15-16 ani, ESPAD 2024</w:t>
      </w:r>
    </w:p>
    <w:p w14:paraId="71E53D64" w14:textId="77777777" w:rsidR="00CD3152" w:rsidRDefault="00CD3152" w:rsidP="00CD3152">
      <w:pPr>
        <w:keepNext/>
      </w:pPr>
      <w:r>
        <w:rPr>
          <w:noProof/>
        </w:rPr>
        <w:drawing>
          <wp:inline distT="0" distB="0" distL="0" distR="0" wp14:anchorId="064C4E62" wp14:editId="3867C90A">
            <wp:extent cx="5849620" cy="2520000"/>
            <wp:effectExtent l="0" t="0" r="17780" b="13970"/>
            <wp:docPr id="985440035" name="Chart 1">
              <a:extLst xmlns:a="http://schemas.openxmlformats.org/drawingml/2006/main">
                <a:ext uri="{FF2B5EF4-FFF2-40B4-BE49-F238E27FC236}">
                  <a16:creationId xmlns:a16="http://schemas.microsoft.com/office/drawing/2014/main" id="{90D0FFC8-B24E-48FD-8FC3-68BFB8C7CC3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14:paraId="027106D0" w14:textId="44424458" w:rsidR="00CD3152" w:rsidRDefault="00CD3152" w:rsidP="00CD3152">
      <w:pPr>
        <w:pStyle w:val="Caption"/>
      </w:pPr>
      <w:bookmarkStart w:id="63" w:name="_Ref211583482"/>
      <w:r>
        <w:t xml:space="preserve">Figura </w:t>
      </w:r>
      <w:fldSimple w:instr=" STYLEREF 1 \s ">
        <w:r w:rsidR="0080370C">
          <w:rPr>
            <w:noProof/>
          </w:rPr>
          <w:t>I</w:t>
        </w:r>
      </w:fldSimple>
      <w:r w:rsidR="0080370C">
        <w:t>.</w:t>
      </w:r>
      <w:fldSimple w:instr=" SEQ Figura \* ARABIC \s 1 ">
        <w:r w:rsidR="0080370C">
          <w:rPr>
            <w:noProof/>
          </w:rPr>
          <w:t>49</w:t>
        </w:r>
      </w:fldSimple>
      <w:bookmarkEnd w:id="63"/>
      <w:r w:rsidRPr="007371ED">
        <w:t xml:space="preserve"> Consum</w:t>
      </w:r>
      <w:r>
        <w:t>ul de-a lungul vieții</w:t>
      </w:r>
      <w:r w:rsidRPr="007371ED">
        <w:t xml:space="preserve"> de țigări și țigări electronice la adolescenții de 15-16 ani,  în țările ESPAD, Sursa: ESPAD 2024</w:t>
      </w:r>
    </w:p>
    <w:p w14:paraId="451F192D" w14:textId="77777777" w:rsidR="00CD3152" w:rsidRPr="00C75A47" w:rsidRDefault="00CD3152" w:rsidP="00CD3152"/>
    <w:p w14:paraId="5515B55B" w14:textId="77777777" w:rsidR="00CD3152" w:rsidRDefault="00CD3152" w:rsidP="00CD3152">
      <w:pPr>
        <w:keepNext/>
        <w:jc w:val="center"/>
      </w:pPr>
      <w:r>
        <w:rPr>
          <w:noProof/>
        </w:rPr>
        <w:lastRenderedPageBreak/>
        <w:drawing>
          <wp:inline distT="0" distB="0" distL="0" distR="0" wp14:anchorId="00984A65" wp14:editId="6D6ABC49">
            <wp:extent cx="5040000" cy="2520000"/>
            <wp:effectExtent l="0" t="0" r="8255" b="13970"/>
            <wp:docPr id="480486298" name="Chart 1">
              <a:extLst xmlns:a="http://schemas.openxmlformats.org/drawingml/2006/main">
                <a:ext uri="{FF2B5EF4-FFF2-40B4-BE49-F238E27FC236}">
                  <a16:creationId xmlns:a16="http://schemas.microsoft.com/office/drawing/2014/main" id="{2E32A1DB-97A6-4DE2-A051-A4E2A0A9470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14:paraId="3CDB4504" w14:textId="3C6ACA79" w:rsidR="00CD3152" w:rsidRDefault="00CD3152" w:rsidP="00CD3152">
      <w:pPr>
        <w:pStyle w:val="Caption"/>
        <w:jc w:val="center"/>
      </w:pPr>
      <w:bookmarkStart w:id="64" w:name="_Ref211583494"/>
      <w:r>
        <w:t xml:space="preserve">Figura </w:t>
      </w:r>
      <w:fldSimple w:instr=" STYLEREF 1 \s ">
        <w:r w:rsidR="0080370C">
          <w:rPr>
            <w:noProof/>
          </w:rPr>
          <w:t>I</w:t>
        </w:r>
      </w:fldSimple>
      <w:r w:rsidR="0080370C">
        <w:t>.</w:t>
      </w:r>
      <w:fldSimple w:instr=" SEQ Figura \* ARABIC \s 1 ">
        <w:r w:rsidR="0080370C">
          <w:rPr>
            <w:noProof/>
          </w:rPr>
          <w:t>50</w:t>
        </w:r>
      </w:fldSimple>
      <w:bookmarkEnd w:id="64"/>
      <w:r w:rsidRPr="00595080">
        <w:t xml:space="preserve"> Consumul de-a lungul vieții de țigări și țigări electronice la adolescenții de 15-16 ani, </w:t>
      </w:r>
      <w:r>
        <w:t>în funcție de gen,</w:t>
      </w:r>
      <w:r w:rsidRPr="00595080">
        <w:t xml:space="preserve"> în țările ESPAD, Sursa: ESPAD 202</w:t>
      </w:r>
      <w:r>
        <w:t>4</w:t>
      </w:r>
    </w:p>
    <w:p w14:paraId="42F385F1" w14:textId="77777777" w:rsidR="00CD3152" w:rsidRDefault="00CD3152" w:rsidP="00CD3152">
      <w:pPr>
        <w:ind w:firstLine="360"/>
      </w:pPr>
    </w:p>
    <w:p w14:paraId="13664013" w14:textId="77777777" w:rsidR="00CD3152" w:rsidRDefault="00CD3152" w:rsidP="00CD3152">
      <w:pPr>
        <w:ind w:firstLine="360"/>
        <w:jc w:val="both"/>
      </w:pPr>
      <w:r>
        <w:t xml:space="preserve">În cazul dublei utilizări </w:t>
      </w:r>
      <w:r w:rsidRPr="0013750F">
        <w:t xml:space="preserve"> </w:t>
      </w:r>
      <w:r>
        <w:t xml:space="preserve">a produselor de tutun </w:t>
      </w:r>
      <w:r w:rsidRPr="0013750F">
        <w:t>(clasic + alternativ), prevalența</w:t>
      </w:r>
      <w:r>
        <w:t xml:space="preserve"> consumului de-a lungul vieții</w:t>
      </w:r>
      <w:r w:rsidRPr="0013750F">
        <w:t xml:space="preserve"> crește față de prevalența pentru fumat</w:t>
      </w:r>
      <w:r>
        <w:t>, ajungând</w:t>
      </w:r>
      <w:r w:rsidRPr="0013750F">
        <w:t xml:space="preserve"> la </w:t>
      </w:r>
      <w:r>
        <w:t>56</w:t>
      </w:r>
      <w:r w:rsidRPr="0013750F">
        <w:t>,</w:t>
      </w:r>
      <w:r>
        <w:t>42</w:t>
      </w:r>
      <w:r w:rsidRPr="0013750F">
        <w:t>% în România (</w:t>
      </w:r>
      <w:r>
        <w:t>61</w:t>
      </w:r>
      <w:r w:rsidRPr="0013750F">
        <w:t>,</w:t>
      </w:r>
      <w:r>
        <w:t>25</w:t>
      </w:r>
      <w:r w:rsidRPr="0013750F">
        <w:t xml:space="preserve">% </w:t>
      </w:r>
      <w:r>
        <w:t>la fete</w:t>
      </w:r>
      <w:r w:rsidRPr="0013750F">
        <w:t xml:space="preserve"> și </w:t>
      </w:r>
      <w:r>
        <w:t>51,14</w:t>
      </w:r>
      <w:r w:rsidRPr="0013750F">
        <w:t xml:space="preserve">% </w:t>
      </w:r>
      <w:r>
        <w:t>la</w:t>
      </w:r>
      <w:r w:rsidRPr="0013750F">
        <w:t xml:space="preserve"> băieți), valoare situată peste media țărilor ESPAD de </w:t>
      </w:r>
      <w:r>
        <w:t>46</w:t>
      </w:r>
      <w:r w:rsidRPr="0013750F">
        <w:t>,</w:t>
      </w:r>
      <w:r>
        <w:t>5</w:t>
      </w:r>
      <w:r w:rsidRPr="0013750F">
        <w:t>6%. (</w:t>
      </w:r>
      <w:r>
        <w:fldChar w:fldCharType="begin"/>
      </w:r>
      <w:r>
        <w:instrText xml:space="preserve"> REF _Ref211583482 \h </w:instrText>
      </w:r>
      <w:r>
        <w:fldChar w:fldCharType="separate"/>
      </w:r>
      <w:r>
        <w:t xml:space="preserve">Figura </w:t>
      </w:r>
      <w:r>
        <w:rPr>
          <w:noProof/>
        </w:rPr>
        <w:t>I</w:t>
      </w:r>
      <w:r>
        <w:t>.</w:t>
      </w:r>
      <w:r>
        <w:rPr>
          <w:noProof/>
        </w:rPr>
        <w:t>50</w:t>
      </w:r>
      <w:r>
        <w:fldChar w:fldCharType="end"/>
      </w:r>
      <w:r>
        <w:t xml:space="preserve"> și </w:t>
      </w:r>
      <w:r>
        <w:fldChar w:fldCharType="begin"/>
      </w:r>
      <w:r>
        <w:instrText xml:space="preserve"> REF _Ref211583494 \h </w:instrText>
      </w:r>
      <w:r>
        <w:fldChar w:fldCharType="separate"/>
      </w:r>
      <w:r>
        <w:t xml:space="preserve">Figura </w:t>
      </w:r>
      <w:r>
        <w:rPr>
          <w:noProof/>
        </w:rPr>
        <w:t>I</w:t>
      </w:r>
      <w:r>
        <w:t>.</w:t>
      </w:r>
      <w:r>
        <w:rPr>
          <w:noProof/>
        </w:rPr>
        <w:t>51</w:t>
      </w:r>
      <w:r>
        <w:fldChar w:fldCharType="end"/>
      </w:r>
      <w:r>
        <w:t>)</w:t>
      </w:r>
    </w:p>
    <w:p w14:paraId="54B4E45B" w14:textId="77777777" w:rsidR="00CD3152" w:rsidRDefault="00CD3152" w:rsidP="00CD3152"/>
    <w:p w14:paraId="3AA94D87" w14:textId="77777777" w:rsidR="00CD3152" w:rsidRDefault="00CD3152" w:rsidP="00CD3152"/>
    <w:p w14:paraId="0C0FFF0D" w14:textId="77777777" w:rsidR="00CD3152" w:rsidRDefault="00CD3152" w:rsidP="00CD3152"/>
    <w:p w14:paraId="5CB84261" w14:textId="77777777" w:rsidR="00CD3152" w:rsidRDefault="00CD3152" w:rsidP="00A62A7C">
      <w:pPr>
        <w:pStyle w:val="Heading4"/>
        <w:numPr>
          <w:ilvl w:val="0"/>
          <w:numId w:val="25"/>
        </w:numPr>
        <w:snapToGrid/>
        <w:spacing w:after="0"/>
        <w:contextualSpacing w:val="0"/>
      </w:pPr>
      <w:r w:rsidRPr="00F860A8">
        <w:t xml:space="preserve">Consumul </w:t>
      </w:r>
      <w:r>
        <w:t xml:space="preserve">actual </w:t>
      </w:r>
      <w:r w:rsidRPr="00F860A8">
        <w:t xml:space="preserve">de țigări </w:t>
      </w:r>
      <w:r>
        <w:t xml:space="preserve">și țigări electronice </w:t>
      </w:r>
      <w:r w:rsidRPr="00F860A8">
        <w:t>la adolescenții de 15-16 ani (ESPAD 2024)</w:t>
      </w:r>
    </w:p>
    <w:p w14:paraId="23D766F8" w14:textId="77777777" w:rsidR="00CD3152" w:rsidRDefault="00CD3152" w:rsidP="00CD3152">
      <w:pPr>
        <w:keepNext/>
      </w:pPr>
      <w:r>
        <w:rPr>
          <w:noProof/>
        </w:rPr>
        <w:drawing>
          <wp:inline distT="0" distB="0" distL="0" distR="0" wp14:anchorId="32C6342F" wp14:editId="78CCB13C">
            <wp:extent cx="5849620" cy="2520000"/>
            <wp:effectExtent l="0" t="0" r="17780" b="13970"/>
            <wp:docPr id="371850636" name="Chart 1">
              <a:extLst xmlns:a="http://schemas.openxmlformats.org/drawingml/2006/main">
                <a:ext uri="{FF2B5EF4-FFF2-40B4-BE49-F238E27FC236}">
                  <a16:creationId xmlns:a16="http://schemas.microsoft.com/office/drawing/2014/main" id="{49FD6263-5C30-472E-AFF0-37EDD9F9061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14:paraId="199608DE" w14:textId="5614EE88" w:rsidR="00CD3152" w:rsidRDefault="00CD3152" w:rsidP="00CD3152">
      <w:pPr>
        <w:pStyle w:val="Caption"/>
        <w:jc w:val="both"/>
      </w:pPr>
      <w:bookmarkStart w:id="65" w:name="_Ref211583675"/>
      <w:r>
        <w:t xml:space="preserve">Figura </w:t>
      </w:r>
      <w:fldSimple w:instr=" STYLEREF 1 \s ">
        <w:r w:rsidR="0080370C">
          <w:rPr>
            <w:noProof/>
          </w:rPr>
          <w:t>I</w:t>
        </w:r>
      </w:fldSimple>
      <w:r w:rsidR="0080370C">
        <w:t>.</w:t>
      </w:r>
      <w:fldSimple w:instr=" SEQ Figura \* ARABIC \s 1 ">
        <w:r w:rsidR="0080370C">
          <w:rPr>
            <w:noProof/>
          </w:rPr>
          <w:t>51</w:t>
        </w:r>
      </w:fldSimple>
      <w:bookmarkEnd w:id="65"/>
      <w:r>
        <w:t xml:space="preserve"> </w:t>
      </w:r>
      <w:r w:rsidRPr="00FE5209">
        <w:t xml:space="preserve">Consum </w:t>
      </w:r>
      <w:r>
        <w:t xml:space="preserve">actual </w:t>
      </w:r>
      <w:r w:rsidRPr="00FE5209">
        <w:t xml:space="preserve">de țigări </w:t>
      </w:r>
      <w:r>
        <w:t xml:space="preserve">și țigări electronice </w:t>
      </w:r>
      <w:r w:rsidRPr="00FE5209">
        <w:t>la adolescenții de 15-16 ani, în țările ESPAD, Sursa: ESPAD 2024</w:t>
      </w:r>
    </w:p>
    <w:p w14:paraId="2BDEFF25" w14:textId="77777777" w:rsidR="00CD3152" w:rsidRPr="008A0190" w:rsidRDefault="00CD3152" w:rsidP="00CD3152"/>
    <w:p w14:paraId="24EF07C2" w14:textId="77777777" w:rsidR="00CD3152" w:rsidRDefault="00CD3152" w:rsidP="00CD3152">
      <w:pPr>
        <w:keepNext/>
        <w:jc w:val="center"/>
      </w:pPr>
      <w:r>
        <w:rPr>
          <w:noProof/>
        </w:rPr>
        <w:lastRenderedPageBreak/>
        <w:drawing>
          <wp:inline distT="0" distB="0" distL="0" distR="0" wp14:anchorId="5FB8338C" wp14:editId="389E594D">
            <wp:extent cx="5040000" cy="2520000"/>
            <wp:effectExtent l="0" t="0" r="8255" b="13970"/>
            <wp:docPr id="65802747" name="Chart 1">
              <a:extLst xmlns:a="http://schemas.openxmlformats.org/drawingml/2006/main">
                <a:ext uri="{FF2B5EF4-FFF2-40B4-BE49-F238E27FC236}">
                  <a16:creationId xmlns:a16="http://schemas.microsoft.com/office/drawing/2014/main" id="{6101A794-D952-4A0E-ADB2-C2DC2748F0F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p>
    <w:p w14:paraId="010964BD" w14:textId="2B3C2DF1" w:rsidR="00CD3152" w:rsidRDefault="00CD3152" w:rsidP="00CD3152">
      <w:pPr>
        <w:pStyle w:val="Caption"/>
        <w:jc w:val="center"/>
      </w:pPr>
      <w:bookmarkStart w:id="66" w:name="_Ref211583679"/>
      <w:r>
        <w:t xml:space="preserve">Figura </w:t>
      </w:r>
      <w:fldSimple w:instr=" STYLEREF 1 \s ">
        <w:r w:rsidR="0080370C">
          <w:rPr>
            <w:noProof/>
          </w:rPr>
          <w:t>I</w:t>
        </w:r>
      </w:fldSimple>
      <w:r w:rsidR="0080370C">
        <w:t>.</w:t>
      </w:r>
      <w:fldSimple w:instr=" SEQ Figura \* ARABIC \s 1 ">
        <w:r w:rsidR="0080370C">
          <w:rPr>
            <w:noProof/>
          </w:rPr>
          <w:t>52</w:t>
        </w:r>
      </w:fldSimple>
      <w:bookmarkEnd w:id="66"/>
      <w:r w:rsidRPr="00FE5209">
        <w:t xml:space="preserve"> Consum</w:t>
      </w:r>
      <w:r>
        <w:t>ul actual</w:t>
      </w:r>
      <w:r w:rsidRPr="00FE5209">
        <w:t xml:space="preserve"> de țigări și țigări electronice la adolescenții de 15-16 ani,</w:t>
      </w:r>
      <w:r>
        <w:t xml:space="preserve"> în funcție de gen </w:t>
      </w:r>
      <w:r w:rsidRPr="00FE5209">
        <w:t xml:space="preserve"> în țările ESPAD, Sursa: ESPAD 2024</w:t>
      </w:r>
    </w:p>
    <w:p w14:paraId="606A502B" w14:textId="77777777" w:rsidR="00CD3152" w:rsidRDefault="00CD3152" w:rsidP="00CD3152">
      <w:pPr>
        <w:ind w:firstLine="360"/>
        <w:jc w:val="both"/>
      </w:pPr>
      <w:r>
        <w:t>P</w:t>
      </w:r>
      <w:r w:rsidRPr="000603CE">
        <w:t xml:space="preserve">revalența consumului </w:t>
      </w:r>
      <w:r>
        <w:t>actual de țigări și țigări electronice</w:t>
      </w:r>
      <w:r w:rsidRPr="000603CE">
        <w:t xml:space="preserve"> </w:t>
      </w:r>
      <w:r>
        <w:t>este de</w:t>
      </w:r>
      <w:r w:rsidRPr="000603CE">
        <w:t xml:space="preserve"> </w:t>
      </w:r>
      <w:r>
        <w:t>36</w:t>
      </w:r>
      <w:r w:rsidRPr="000603CE">
        <w:t>,</w:t>
      </w:r>
      <w:r>
        <w:t>99</w:t>
      </w:r>
      <w:r w:rsidRPr="000603CE">
        <w:t>% în România (</w:t>
      </w:r>
      <w:r>
        <w:t>42,54</w:t>
      </w:r>
      <w:r w:rsidRPr="000603CE">
        <w:t xml:space="preserve">% la fete și </w:t>
      </w:r>
      <w:r>
        <w:t>31,09</w:t>
      </w:r>
      <w:r w:rsidRPr="000603CE">
        <w:t xml:space="preserve">% la băieți), </w:t>
      </w:r>
      <w:r>
        <w:t>în timp ce</w:t>
      </w:r>
      <w:r w:rsidRPr="000603CE">
        <w:t xml:space="preserve"> media țărilor ESPAD </w:t>
      </w:r>
      <w:r>
        <w:t>este de</w:t>
      </w:r>
      <w:r w:rsidRPr="000603CE">
        <w:t xml:space="preserve"> </w:t>
      </w:r>
      <w:r>
        <w:t>28,41</w:t>
      </w:r>
      <w:r w:rsidRPr="000603CE">
        <w:t>%.</w:t>
      </w:r>
      <w:r>
        <w:t>(</w:t>
      </w:r>
      <w:r>
        <w:fldChar w:fldCharType="begin"/>
      </w:r>
      <w:r>
        <w:instrText xml:space="preserve"> REF _Ref211583675 \h  \* MERGEFORMAT </w:instrText>
      </w:r>
      <w:r>
        <w:fldChar w:fldCharType="separate"/>
      </w:r>
      <w:r>
        <w:t xml:space="preserve">Figura </w:t>
      </w:r>
      <w:r>
        <w:rPr>
          <w:noProof/>
        </w:rPr>
        <w:t>I</w:t>
      </w:r>
      <w:r>
        <w:t>.</w:t>
      </w:r>
      <w:r>
        <w:rPr>
          <w:noProof/>
        </w:rPr>
        <w:t>52</w:t>
      </w:r>
      <w:r>
        <w:fldChar w:fldCharType="end"/>
      </w:r>
      <w:r>
        <w:t xml:space="preserve"> și </w:t>
      </w:r>
      <w:r>
        <w:fldChar w:fldCharType="begin"/>
      </w:r>
      <w:r>
        <w:instrText xml:space="preserve"> REF _Ref211583679 \h  \* MERGEFORMAT </w:instrText>
      </w:r>
      <w:r>
        <w:fldChar w:fldCharType="separate"/>
      </w:r>
      <w:r>
        <w:t xml:space="preserve">Figura </w:t>
      </w:r>
      <w:r>
        <w:rPr>
          <w:noProof/>
        </w:rPr>
        <w:t>I</w:t>
      </w:r>
      <w:r>
        <w:t>.</w:t>
      </w:r>
      <w:r>
        <w:rPr>
          <w:noProof/>
        </w:rPr>
        <w:t>53</w:t>
      </w:r>
      <w:r>
        <w:fldChar w:fldCharType="end"/>
      </w:r>
      <w:r>
        <w:t>)</w:t>
      </w:r>
    </w:p>
    <w:p w14:paraId="69927396" w14:textId="77777777" w:rsidR="00CD3152" w:rsidRPr="00B36745" w:rsidRDefault="00CD3152" w:rsidP="00CD3152"/>
    <w:p w14:paraId="3269315C" w14:textId="77777777" w:rsidR="00CD3152" w:rsidRPr="006E0160" w:rsidRDefault="00CD3152" w:rsidP="00A62A7C">
      <w:pPr>
        <w:pStyle w:val="Heading4"/>
        <w:numPr>
          <w:ilvl w:val="0"/>
          <w:numId w:val="35"/>
        </w:numPr>
      </w:pPr>
      <w:r w:rsidRPr="006E0160">
        <w:t>Evoluția</w:t>
      </w:r>
      <w:r>
        <w:t xml:space="preserve"> consumului de tutun</w:t>
      </w:r>
      <w:r w:rsidRPr="006E0160">
        <w:t xml:space="preserve"> </w:t>
      </w:r>
      <w:r>
        <w:t xml:space="preserve">la nivel global </w:t>
      </w:r>
      <w:r w:rsidRPr="006E0160">
        <w:t>între anii</w:t>
      </w:r>
      <w:r>
        <w:t xml:space="preserve"> 2019-2024</w:t>
      </w:r>
      <w:r w:rsidRPr="006E0160">
        <w:t xml:space="preserve">, </w:t>
      </w:r>
      <w:r>
        <w:t xml:space="preserve">conform </w:t>
      </w:r>
      <w:r w:rsidRPr="006E0160">
        <w:t xml:space="preserve">ESPAD </w:t>
      </w:r>
      <w:r>
        <w:t>2024</w:t>
      </w:r>
    </w:p>
    <w:p w14:paraId="08977788" w14:textId="77777777" w:rsidR="00CD3152" w:rsidRPr="00A46B3F" w:rsidRDefault="00CD3152" w:rsidP="00CD3152">
      <w:pPr>
        <w:ind w:firstLine="708"/>
        <w:jc w:val="both"/>
      </w:pPr>
      <w:r w:rsidRPr="00A46B3F">
        <w:t xml:space="preserve">Între primul și ultimul sondaj ESPAD, </w:t>
      </w:r>
      <w:r w:rsidRPr="00A46B3F">
        <w:rPr>
          <w:b/>
          <w:bCs/>
        </w:rPr>
        <w:t xml:space="preserve">prevalența consumului de țigări pe parcursul vieții </w:t>
      </w:r>
      <w:r w:rsidRPr="00A46B3F">
        <w:t xml:space="preserve">a scăzut constant, înjumătățind de la 68% la 32%, cea mai notabilă scădere având loc între 2019 și 2024 (o scădere de 10 puncte procentuale). În perioada de 30 de ani, scăderea prevalenței a fost mai mare în rândul băieților, de la 70% la 30%. Țările cu cele mai mari reduceri sunt Irlanda, Islanda și Suedia. </w:t>
      </w:r>
    </w:p>
    <w:p w14:paraId="35D15F78" w14:textId="77777777" w:rsidR="00CD3152" w:rsidRPr="00A46B3F" w:rsidRDefault="00CD3152" w:rsidP="00CD3152">
      <w:pPr>
        <w:ind w:firstLine="708"/>
        <w:jc w:val="both"/>
      </w:pPr>
      <w:r w:rsidRPr="00A46B3F">
        <w:t xml:space="preserve">Tendința </w:t>
      </w:r>
      <w:r w:rsidRPr="00A46B3F">
        <w:rPr>
          <w:b/>
          <w:bCs/>
        </w:rPr>
        <w:t>ratei de consum de tutun în ultimele 30 de zile</w:t>
      </w:r>
      <w:r w:rsidRPr="00A46B3F">
        <w:t xml:space="preserve"> arată, de asemenea, o scădere constantă, scăzând de la 33% la 18%, cu tendințe aproape identice între genul masculin și feminin. </w:t>
      </w:r>
    </w:p>
    <w:p w14:paraId="3C4847E0" w14:textId="77777777" w:rsidR="00CD3152" w:rsidRPr="00A46B3F" w:rsidRDefault="00CD3152" w:rsidP="00CD3152">
      <w:pPr>
        <w:ind w:firstLine="708"/>
        <w:jc w:val="both"/>
      </w:pPr>
      <w:r w:rsidRPr="00A46B3F">
        <w:t xml:space="preserve">Un model similar este observat în ceea ce privește </w:t>
      </w:r>
      <w:r w:rsidRPr="00A46B3F">
        <w:rPr>
          <w:b/>
          <w:bCs/>
        </w:rPr>
        <w:t>ratele fumatului zilnic</w:t>
      </w:r>
      <w:r w:rsidRPr="00A46B3F">
        <w:t>, frecvența a scăzut de la 20% la 8%. În timp ce proporția fumătorilor zilnici cu vârsta de 13 ani sau mai mică a scăzut, de asemenea, de-a lungul celor trei decenii (de la 10% în 1995 la 3,6% în 2024), o comparație între datele din 2019 și 2024 arată o ușoară creștere (plus 0,6%). Deoarece prevalența în rândul băieților rămâne neschimbată în ultimele două sondaje, această creștere este determinată de fete, a căror rată crește de la 2,5% la 3,6%, confirmând implicarea lor crescută în aproape toate modelele de fumat observate.</w:t>
      </w:r>
    </w:p>
    <w:p w14:paraId="3BFA2894" w14:textId="77777777" w:rsidR="00CD3152" w:rsidRPr="00A46B3F" w:rsidRDefault="00CD3152" w:rsidP="00CD3152">
      <w:pPr>
        <w:ind w:firstLine="708"/>
        <w:jc w:val="both"/>
      </w:pPr>
      <w:r w:rsidRPr="00A46B3F">
        <w:t>Deși fumatul convențional este cea mai comună formă de consum de tutun, concentrarea exclusiv pe acest subiect subestimează consumul de nicotină din cauza creșterii produselor alternative. Având în vedere atât țigările, cât și țigările electronice, consumul pe parcursul vieții crește de la 32% la 47%, cu creșteri majore înregistrate în Cehia și Estonia, în timp ce consumul curent crește de la 18% la 28%, cu o creștere notabilă în rândul fetelor atât în timpul vieții, cât și în prezent.</w:t>
      </w:r>
    </w:p>
    <w:p w14:paraId="06F38532" w14:textId="77777777" w:rsidR="00CD3152" w:rsidRPr="00A46B3F" w:rsidRDefault="00CD3152" w:rsidP="00CD3152">
      <w:pPr>
        <w:ind w:firstLine="708"/>
        <w:jc w:val="both"/>
      </w:pPr>
      <w:r w:rsidRPr="00A46B3F">
        <w:t>Când se ia în considerare consumul zilnic ca dublă utilizare (clasic + alternativ), prevalența crește de la 7,9% la 14% (15% în rândul fetelor față de 12% în rândul băieților), cu rate mai mari în Bulgaria și Ungaria (25%).</w:t>
      </w:r>
    </w:p>
    <w:p w14:paraId="474970F5" w14:textId="77777777" w:rsidR="00CD3152" w:rsidRPr="00A46B3F" w:rsidRDefault="00CD3152" w:rsidP="00CD3152">
      <w:pPr>
        <w:ind w:firstLine="708"/>
        <w:jc w:val="both"/>
      </w:pPr>
      <w:r w:rsidRPr="00A46B3F">
        <w:t>Consumul zilnic inițiat de la o vârstă fragedă arată, de asemenea, o creștere notabilă atunci când se ia în considerare dubla utilizare, crescând de la 3,9% la 6%. În acest caz, cele mai mari creșteri sunt observate în Lituania și Estonia, fiind din nou mai pronunțate în rândul fetelor.</w:t>
      </w:r>
    </w:p>
    <w:p w14:paraId="677F3DC5" w14:textId="77777777" w:rsidR="00CD3152" w:rsidRPr="00A46B3F" w:rsidRDefault="00CD3152" w:rsidP="00CD3152">
      <w:pPr>
        <w:ind w:firstLine="708"/>
        <w:jc w:val="both"/>
      </w:pPr>
      <w:r w:rsidRPr="00A46B3F">
        <w:lastRenderedPageBreak/>
        <w:t>În medie, 44% dintre elevii din țările ESPAD raportează că au folosit țigări electronice cel puțin o dată în viață, prevalența națională variind de la 22% în Portugalia la 57% în Ungaria.</w:t>
      </w:r>
    </w:p>
    <w:p w14:paraId="17719572" w14:textId="77777777" w:rsidR="00CD3152" w:rsidRPr="00A46B3F" w:rsidRDefault="00CD3152" w:rsidP="00CD3152">
      <w:pPr>
        <w:ind w:firstLine="708"/>
        <w:jc w:val="both"/>
      </w:pPr>
      <w:r w:rsidRPr="00A46B3F">
        <w:t>În 13 din 37 de țări ESPAD, cel puțin jumătate dintre elevi au încercat țigările electronice, în timp ce în doar șase țări (Portugalia, Malta, Islanda, Macedonia de Nord, Muntenegru și Irlanda), mai puțin de o treime dintre elevi raportează că au consumat țigări electronice.</w:t>
      </w:r>
    </w:p>
    <w:p w14:paraId="7B7EF8F2" w14:textId="77777777" w:rsidR="00CD3152" w:rsidRPr="00A46B3F" w:rsidRDefault="00CD3152" w:rsidP="00CD3152">
      <w:pPr>
        <w:ind w:firstLine="708"/>
        <w:jc w:val="both"/>
      </w:pPr>
      <w:r w:rsidRPr="00A46B3F">
        <w:t>În general, fetele (46%) raportează o prevalență mai mare a utilizării țigărilor electronice decât băieții (41%), cu excepții din Kosovo, Georgia, Moldova, Macedonia de Nord, Ucraina și Portugalia. Cele mai mari diferențe de gen se găsesc în Liechtenstein și Malta, unde prevalența în rândul fetelor o depășește pe cea a băieților cu 13 puncte procentuale, și în Kosovo, unde, dimpotrivă, băieții raportează o creștere cu 12 puncte procentuale prevalență decât fetele (51% față de 39%).</w:t>
      </w:r>
    </w:p>
    <w:p w14:paraId="51216781" w14:textId="77777777" w:rsidR="00CD3152" w:rsidRPr="00A46B3F" w:rsidRDefault="00CD3152" w:rsidP="00CD3152">
      <w:pPr>
        <w:ind w:firstLine="708"/>
        <w:jc w:val="both"/>
      </w:pPr>
      <w:r w:rsidRPr="00A46B3F">
        <w:t>În medie, 16% dintre studenți au încercat țigările electronice la vârsta de 13 ani sau mai puțin, cu cele mai mari proporții în Estonia (33%) și Lituania (31%) și cele mai scăzute în Portugalia (5,4%) și Muntenegru (7,4%). Utilizarea timpurie a țigărilor electronice este mai frecventă în rândul fetelor decât al băieților în majoritatea țărilor, cele mai mari diferențe fiind observate în Estonia (37% pentru fete față de 29% pentru băieți), Letonia (34% față de 27%) și Irlanda (18% față de 12%). În schimb, în Kosovo băieții raportează o prevalență cu 12 puncte procentuale mai mare decât fetele (25% față de 13%).</w:t>
      </w:r>
    </w:p>
    <w:p w14:paraId="098CA8FE" w14:textId="77777777" w:rsidR="00CD3152" w:rsidRPr="00A46B3F" w:rsidRDefault="00CD3152" w:rsidP="00CD3152">
      <w:pPr>
        <w:ind w:firstLine="708"/>
        <w:jc w:val="both"/>
      </w:pPr>
      <w:r w:rsidRPr="00A46B3F">
        <w:t>Un procent ridicat de elevi (60%) consideră că obținerea țigărilor electronice este ușoară sau foarte ușoară dacă doresc, cu diferențe mari între țări, variind de la 33% în Kosovo la 82% în Danemarca. În 20 de țări, această percepție este peste medie, cel puțin 60% dintre elevi considerând că țigările electronice sunt ușor accesibile. În medie, băieții și fetele raportează niveluri similare de disponibilitate percepută.</w:t>
      </w:r>
    </w:p>
    <w:p w14:paraId="743BC5AD" w14:textId="77777777" w:rsidR="00CD3152" w:rsidRPr="00A46B3F" w:rsidRDefault="00CD3152" w:rsidP="00CD3152">
      <w:pPr>
        <w:ind w:firstLine="708"/>
        <w:jc w:val="both"/>
      </w:pPr>
      <w:r w:rsidRPr="00A46B3F">
        <w:t>Utilizarea curentă a țigărilor electronice, definită ca utilizarea în ultimele 30 de zile, este raportată de 22% dintre elevi (19% pentru băieți și 25% pentru fete). Cele mai scăzute rate sunt observate în Portugalia (6,4%) și Malta (10%), în timp ce cele mai mari rate de utilizare actuală a țigărilor electronice sunt raportate în Polonia (36%) și Serbia (34%).</w:t>
      </w:r>
    </w:p>
    <w:p w14:paraId="341B80E6" w14:textId="77777777" w:rsidR="00CD3152" w:rsidRPr="00A46B3F" w:rsidRDefault="00CD3152" w:rsidP="00CD3152">
      <w:pPr>
        <w:ind w:firstLine="708"/>
        <w:jc w:val="both"/>
      </w:pPr>
      <w:r w:rsidRPr="00A46B3F">
        <w:t>Utilizarea zilnică a țigărilor electronice variază de la o țară la alta, variind de la 1,5% în Insulele Feroe la 20% în Polonia. În 22 de țări, utilizarea zilnică a țigărilor electronice este notabil mai mare în rândul fetelor, în timp ce în doar două țări, și anume Kosovo (7,7% față de 5,8%) și Georgia (4,2% față de 1,2%), este mai mare în rândul băieților.</w:t>
      </w:r>
    </w:p>
    <w:p w14:paraId="1E2CC58F" w14:textId="77777777" w:rsidR="00CD3152" w:rsidRPr="00A46B3F" w:rsidRDefault="00CD3152" w:rsidP="00CD3152">
      <w:pPr>
        <w:ind w:firstLine="708"/>
        <w:jc w:val="both"/>
      </w:pPr>
      <w:r w:rsidRPr="00A46B3F">
        <w:t>Popularitatea și prevalența utilizării țigărilor electronice au crescut brusc în ultimul deceniu, majoritatea țărilor ESPAD raportând o creștere din 2019.</w:t>
      </w:r>
    </w:p>
    <w:p w14:paraId="36A3B5CC" w14:textId="77777777" w:rsidR="00CD3152" w:rsidRPr="00A46B3F" w:rsidRDefault="00CD3152" w:rsidP="00CD3152">
      <w:pPr>
        <w:ind w:firstLine="708"/>
        <w:jc w:val="both"/>
      </w:pPr>
      <w:r w:rsidRPr="00A46B3F">
        <w:t>Datele din 32 de țări care au colectat informații despre utilizarea țigărilor electronice atât pentru 2019, cât și pentru 2024 arată că consumul pe parcursul vieții a crescut de la 41% la 43%, în timp ce consumul curent a crescut de la 14% la 22% în această perioadă. Dintre aceste 32 de țări, 11 au raportat un procent mai mic de consum pe parcursul vieții, cele mai mari scăderi fiind observate în Monaco (de la 63% la 44%), Ucraina (de la 51% la 37%) și Lituania (de la 65% la 51%). Cele mai mari creșteri ale utilizării țigărilor electronice au fost găsite în Serbia (de la 18% la 51%) și Grecia (de la 35% la 52%).</w:t>
      </w:r>
    </w:p>
    <w:p w14:paraId="41822B73" w14:textId="77777777" w:rsidR="00CD3152" w:rsidRPr="00A46B3F" w:rsidRDefault="00CD3152" w:rsidP="00CD3152">
      <w:pPr>
        <w:ind w:firstLine="708"/>
        <w:jc w:val="both"/>
      </w:pPr>
      <w:r w:rsidRPr="00A46B3F">
        <w:t>Tendințe similare au fost observate pentru utilizarea actuală a țigărilor electronice, care a scăzut în special în Monaco și Lituania, în timp ce creșteri majore au fost înregistrate în Serbia (29 de puncte procentuale) și în Croația (20 de puncte procentuale).</w:t>
      </w:r>
    </w:p>
    <w:p w14:paraId="39C9BA89" w14:textId="43FC84BA" w:rsidR="00CD3152" w:rsidRPr="00A46B3F" w:rsidRDefault="00CD3152" w:rsidP="00CD3152">
      <w:pPr>
        <w:ind w:firstLine="708"/>
        <w:jc w:val="both"/>
      </w:pPr>
      <w:r w:rsidRPr="00A46B3F">
        <w:lastRenderedPageBreak/>
        <w:t>Consumul de țigări clasice urmează o tendință descendentă constantă, pe fondul implementării unor politici publice în domeniul controlului tutunului în ultimele două decenii. Conform datelor agregate din 32 de țări, prevalența consumului de țigări de-a lungul vieții în rândul elevilor s-a redus la mai puțin de jumătate, scăzând de la 68% în 1995 la 32% în 2024. Cea mai pronunțată reducere a fost înregistrată în perioada 2019–2024, cu o scădere de 10 puncte procentuale, semnalând eficiența intervențiilor de sănătate publică și a reglementărilor legislative din ultimii ani.</w:t>
      </w:r>
      <w:r w:rsidRPr="00A46B3F">
        <w:fldChar w:fldCharType="begin"/>
      </w:r>
      <w:r w:rsidR="00D4526D" w:rsidRPr="00A46B3F">
        <w:instrText xml:space="preserve"> ADDIN EN.CITE &lt;EndNote&gt;&lt;Cite&gt;&lt;Author&gt;ESPAD&lt;/Author&gt;&lt;Year&gt;2025&lt;/Year&gt;&lt;RecNum&gt;9167&lt;/RecNum&gt;&lt;DisplayText&gt;&lt;style size="10"&gt;[14]&lt;/style&gt;&lt;/DisplayText&gt;&lt;record&gt;&lt;rec-number&gt;9167&lt;/rec-number&gt;&lt;foreign-keys&gt;&lt;key app="EN" db-id="fw0prtesnvf55cepezbx255wwza5zw0ssatt" timestamp="1754365338" guid="4bb443c0-e91f-442d-926a-09b2ffc93bcf"&gt;9167&lt;/key&gt;&lt;/foreign-keys&gt;&lt;ref-type name="Press Release"&gt;63&lt;/ref-type&gt;&lt;contributors&gt;&lt;authors&gt;&lt;author&gt;ESPAD&lt;/author&gt;&lt;/authors&gt;&lt;secondary-authors&gt;&lt;author&gt;&lt;style face="normal" font="default" charset="238" size="100%"&gt;ESPAD&lt;/style&gt;&lt;/author&gt;&lt;/secondary-authors&gt;&lt;/contributors&gt;&lt;titles&gt;&lt;title&gt;European School Survey Project on Alcohol and Other Drugs (ESPAD): 30 years&lt;/title&gt;&lt;secondary-title&gt;New ESPAD survey results: Teen substance use down, but new risks emerging&lt;/secondary-title&gt;&lt;/titles&gt;&lt;dates&gt;&lt;year&gt;&lt;style face="normal" font="default" charset="238" size="100%"&gt;2025&lt;/style&gt;&lt;/year&gt;&lt;pub-dates&gt;&lt;date&gt;&lt;style face="normal" font="default" charset="238" size="100%"&gt;28th July&lt;/style&gt;&lt;/date&gt;&lt;/pub-dates&gt;&lt;/dates&gt;&lt;pub-location&gt;&lt;style face="normal" font="default" charset="238" size="100%"&gt;online&lt;/style&gt;&lt;/pub-location&gt;&lt;urls&gt;&lt;related-urls&gt;&lt;url&gt;https://www.espad.org/node/1139&lt;/url&gt;&lt;/related-urls&gt;&lt;/urls&gt;&lt;/record&gt;&lt;/Cite&gt;&lt;/EndNote&gt;</w:instrText>
      </w:r>
      <w:r w:rsidRPr="00A46B3F">
        <w:fldChar w:fldCharType="separate"/>
      </w:r>
      <w:r w:rsidR="00D4526D" w:rsidRPr="00A46B3F">
        <w:rPr>
          <w:noProof/>
          <w:sz w:val="20"/>
        </w:rPr>
        <w:t>[14]</w:t>
      </w:r>
      <w:r w:rsidRPr="00A46B3F">
        <w:fldChar w:fldCharType="end"/>
      </w:r>
    </w:p>
    <w:p w14:paraId="0B05F8DB" w14:textId="2FE50390" w:rsidR="00CD3152" w:rsidRPr="00A46B3F" w:rsidRDefault="00CD3152" w:rsidP="00CD3152">
      <w:pPr>
        <w:ind w:firstLine="708"/>
        <w:jc w:val="both"/>
      </w:pPr>
      <w:r w:rsidRPr="00A46B3F">
        <w:t>În contrast, utilizarea țigărilor electronice cunoaște o creștere îngrijorătoare. De la introducerea acestui indicator în cadrul studiului ESPAD, în anul 2019, consumul de e-țigări a înregistrat o tendință ascendentă în majoritatea țărilor. Datele provenite din 32 de state care au colectat informații comparabile în anii 2019 și 2024 arată că utilizarea curentă a crescut de la 14% la 22%, iar consumul de-a lungul vieții a urcat ușor, de la 41% la 43%.</w:t>
      </w:r>
      <w:r w:rsidRPr="00A46B3F">
        <w:fldChar w:fldCharType="begin"/>
      </w:r>
      <w:r w:rsidR="00D4526D" w:rsidRPr="00A46B3F">
        <w:instrText xml:space="preserve"> ADDIN EN.CITE &lt;EndNote&gt;&lt;Cite&gt;&lt;Author&gt;ESPAD&lt;/Author&gt;&lt;Year&gt;2025&lt;/Year&gt;&lt;RecNum&gt;9167&lt;/RecNum&gt;&lt;DisplayText&gt;&lt;style size="10"&gt;[14]&lt;/style&gt;&lt;/DisplayText&gt;&lt;record&gt;&lt;rec-number&gt;9167&lt;/rec-number&gt;&lt;foreign-keys&gt;&lt;key app="EN" db-id="fw0prtesnvf55cepezbx255wwza5zw0ssatt" timestamp="1754365338" guid="4bb443c0-e91f-442d-926a-09b2ffc93bcf"&gt;9167&lt;/key&gt;&lt;/foreign-keys&gt;&lt;ref-type name="Press Release"&gt;63&lt;/ref-type&gt;&lt;contributors&gt;&lt;authors&gt;&lt;author&gt;ESPAD&lt;/author&gt;&lt;/authors&gt;&lt;secondary-authors&gt;&lt;author&gt;&lt;style face="normal" font="default" charset="238" size="100%"&gt;ESPAD&lt;/style&gt;&lt;/author&gt;&lt;/secondary-authors&gt;&lt;/contributors&gt;&lt;titles&gt;&lt;title&gt;European School Survey Project on Alcohol and Other Drugs (ESPAD): 30 years&lt;/title&gt;&lt;secondary-title&gt;New ESPAD survey results: Teen substance use down, but new risks emerging&lt;/secondary-title&gt;&lt;/titles&gt;&lt;dates&gt;&lt;year&gt;&lt;style face="normal" font="default" charset="238" size="100%"&gt;2025&lt;/style&gt;&lt;/year&gt;&lt;pub-dates&gt;&lt;date&gt;&lt;style face="normal" font="default" charset="238" size="100%"&gt;28th July&lt;/style&gt;&lt;/date&gt;&lt;/pub-dates&gt;&lt;/dates&gt;&lt;pub-location&gt;&lt;style face="normal" font="default" charset="238" size="100%"&gt;online&lt;/style&gt;&lt;/pub-location&gt;&lt;urls&gt;&lt;related-urls&gt;&lt;url&gt;https://www.espad.org/node/1139&lt;/url&gt;&lt;/related-urls&gt;&lt;/urls&gt;&lt;/record&gt;&lt;/Cite&gt;&lt;/EndNote&gt;</w:instrText>
      </w:r>
      <w:r w:rsidRPr="00A46B3F">
        <w:fldChar w:fldCharType="separate"/>
      </w:r>
      <w:r w:rsidR="00D4526D" w:rsidRPr="00A46B3F">
        <w:rPr>
          <w:noProof/>
          <w:sz w:val="20"/>
        </w:rPr>
        <w:t>[14]</w:t>
      </w:r>
      <w:r w:rsidRPr="00A46B3F">
        <w:fldChar w:fldCharType="end"/>
      </w:r>
    </w:p>
    <w:p w14:paraId="7F28B04A" w14:textId="5B65F8A8" w:rsidR="00CD3152" w:rsidRDefault="00CD3152" w:rsidP="00CD3152">
      <w:pPr>
        <w:ind w:firstLine="708"/>
        <w:jc w:val="both"/>
      </w:pPr>
      <w:r w:rsidRPr="00A46B3F">
        <w:t>Un aspect remarcabil este diferența de gen în ceea ce privește consumul de țigări electronice: în 30 de țări participante, fetele raportează o prevalență mai mare a consumului de-a lungul vieții (46%) comparativ cu băieții (41%), ceea ce indică o schimbare de dinamică față de tiparul tradițional asociat fumatului convențional. Această evoluție accentuează nevoia unor intervenții specifice de prevenție și informare adaptate diferențiat pe gen.</w:t>
      </w:r>
      <w:r w:rsidRPr="00A46B3F">
        <w:fldChar w:fldCharType="begin"/>
      </w:r>
      <w:r w:rsidR="00D4526D" w:rsidRPr="00A46B3F">
        <w:instrText xml:space="preserve"> ADDIN EN.CITE &lt;EndNote&gt;&lt;Cite&gt;&lt;Author&gt;ESPAD&lt;/Author&gt;&lt;Year&gt;2025&lt;/Year&gt;&lt;RecNum&gt;9167&lt;/RecNum&gt;&lt;DisplayText&gt;&lt;style size="10"&gt;[14]&lt;/style&gt;&lt;/DisplayText&gt;&lt;record&gt;&lt;rec-number&gt;9167&lt;/rec-number&gt;&lt;foreign-keys&gt;&lt;key app="EN" db-id="fw0prtesnvf55cepezbx255wwza5zw0ssatt" timestamp="1754365338" guid="4bb443c0-e91f-442d-926a-09b2ffc93bcf"&gt;9167&lt;/key&gt;&lt;/foreign-keys&gt;&lt;ref-type name="Press Release"&gt;63&lt;/ref-type&gt;&lt;contributors&gt;&lt;authors&gt;&lt;author&gt;ESPAD&lt;/author&gt;&lt;/authors&gt;&lt;secondary-authors&gt;&lt;author&gt;&lt;style face="normal" font="default" charset="238" size="100%"&gt;ESPAD&lt;/style&gt;&lt;/author&gt;&lt;/secondary-authors&gt;&lt;/contributors&gt;&lt;titles&gt;&lt;title&gt;European School Survey Project on Alcohol and Other Drugs (ESPAD): 30 years&lt;/title&gt;&lt;secondary-title&gt;New ESPAD survey results: Teen substance use down, but new risks emerging&lt;/secondary-title&gt;&lt;/titles&gt;&lt;dates&gt;&lt;year&gt;&lt;style face="normal" font="default" charset="238" size="100%"&gt;2025&lt;/style&gt;&lt;/year&gt;&lt;pub-dates&gt;&lt;date&gt;&lt;style face="normal" font="default" charset="238" size="100%"&gt;28th July&lt;/style&gt;&lt;/date&gt;&lt;/pub-dates&gt;&lt;/dates&gt;&lt;pub-location&gt;&lt;style face="normal" font="default" charset="238" size="100%"&gt;online&lt;/style&gt;&lt;/pub-location&gt;&lt;urls&gt;&lt;related-urls&gt;&lt;url&gt;https://www.espad.org/node/1139&lt;/url&gt;&lt;/related-urls&gt;&lt;/urls&gt;&lt;/record&gt;&lt;/Cite&gt;&lt;/EndNote&gt;</w:instrText>
      </w:r>
      <w:r w:rsidRPr="00A46B3F">
        <w:fldChar w:fldCharType="separate"/>
      </w:r>
      <w:r w:rsidR="00D4526D" w:rsidRPr="00A46B3F">
        <w:rPr>
          <w:noProof/>
          <w:sz w:val="20"/>
        </w:rPr>
        <w:t>[14]</w:t>
      </w:r>
      <w:r w:rsidRPr="00A46B3F">
        <w:fldChar w:fldCharType="end"/>
      </w:r>
      <w:r>
        <w:t xml:space="preserve"> </w:t>
      </w:r>
    </w:p>
    <w:p w14:paraId="3487EEF4" w14:textId="3A5D9A64" w:rsidR="00A46B3F" w:rsidRDefault="00A46B3F" w:rsidP="00A46B3F">
      <w:pPr>
        <w:pStyle w:val="Heading3"/>
      </w:pPr>
      <w:bookmarkStart w:id="67" w:name="_Toc232660565"/>
      <w:r>
        <w:t>Concluzii privind prevalența con</w:t>
      </w:r>
      <w:r w:rsidR="00AD5333">
        <w:t>s</w:t>
      </w:r>
      <w:r>
        <w:t>umului de produse de tutun la adolescenți</w:t>
      </w:r>
      <w:bookmarkEnd w:id="67"/>
    </w:p>
    <w:p w14:paraId="47BD363C" w14:textId="4B72B76D" w:rsidR="00581D4B" w:rsidRDefault="00A46B3F" w:rsidP="00581D4B">
      <w:pPr>
        <w:pStyle w:val="ListParagraph"/>
        <w:numPr>
          <w:ilvl w:val="0"/>
          <w:numId w:val="45"/>
        </w:numPr>
        <w:jc w:val="both"/>
      </w:pPr>
      <w:r>
        <w:t>Adolescența reprezintă o perioadă de experimentare, prevalența fumatului și a utilizării țigărilor electronice având un nivel ridicat  între 11 și 15 ani. Utilizarea țigărilor electronice în rândul adolescenților din grupa de vârstă  13- 15 ani are o tendință ascendentă în majoritatea țărilor europene.</w:t>
      </w:r>
      <w:r w:rsidR="00581D4B">
        <w:t xml:space="preserve"> </w:t>
      </w:r>
      <w:r>
        <w:t>Până la vârsta de 13 ani, diferențele de gen scad sau chiar dispar în multe țări și regiuni, la 15 ani fetele raportând un consum de substanțe mai frecvent decât băieții, iar țigările electronice au devenit preferate în rândul adolescenților.</w:t>
      </w:r>
    </w:p>
    <w:p w14:paraId="0B4AD12B" w14:textId="77777777" w:rsidR="00581D4B" w:rsidRDefault="00A46B3F" w:rsidP="00581D4B">
      <w:pPr>
        <w:pStyle w:val="ListParagraph"/>
        <w:numPr>
          <w:ilvl w:val="0"/>
          <w:numId w:val="45"/>
        </w:numPr>
        <w:jc w:val="both"/>
      </w:pPr>
      <w:r>
        <w:t>România se evidențiază printr-o prevalență a fumatului produse convenționale de tutun  superioară mediei europene. La 15 ani, în România, fetele raportează niveluri ușor mai mari decât băieții atât pentru fumatul convențional, cât și pentru vaping. România ocupă locul 5 în ierarhia țărilor HBSC în cazul adolescenților de 13 ani care au fumat de-a lungul vieții.</w:t>
      </w:r>
    </w:p>
    <w:p w14:paraId="1712AA30" w14:textId="15341D0A" w:rsidR="00A46B3F" w:rsidRPr="00A46B3F" w:rsidRDefault="00A46B3F" w:rsidP="00581D4B">
      <w:pPr>
        <w:pStyle w:val="ListParagraph"/>
        <w:numPr>
          <w:ilvl w:val="0"/>
          <w:numId w:val="45"/>
        </w:numPr>
        <w:jc w:val="both"/>
      </w:pPr>
      <w:r>
        <w:t>Conform datelor studiului HBSC 2021/2022, prevalența consumului de tutun convențional și  utilizării țigărilor electronice în rândul adolescenților români cu vârste cuprinse între 11 și 15 ani crește odată cu vârsta. Aceste rezultate sugerează o răspândire importantă a comportamentelor de consum de nicotină în rândul adolescenților și evidențiază o prevalență mai ridicată în rândul fetelor la vârsta de 15 ani. Dacă modelele actuale de consum de tutun persistă, se estimează că 5,6 milioane dintre tinerii de astăzi sub 18 ani vor muri prematur din cauza unei boli legate de fumat.</w:t>
      </w:r>
    </w:p>
    <w:p w14:paraId="71113F90" w14:textId="77777777" w:rsidR="00A46B3F" w:rsidRPr="00A46B3F" w:rsidRDefault="00A46B3F" w:rsidP="00A46B3F"/>
    <w:p w14:paraId="56FFF2B4" w14:textId="77777777" w:rsidR="00CD3152" w:rsidRPr="006E0160" w:rsidRDefault="00CD3152" w:rsidP="00CD3152">
      <w:pPr>
        <w:pStyle w:val="Heading1"/>
        <w:tabs>
          <w:tab w:val="clear" w:pos="142"/>
        </w:tabs>
        <w:spacing w:line="240" w:lineRule="auto"/>
      </w:pPr>
      <w:bookmarkStart w:id="68" w:name="_Toc232660566"/>
      <w:r w:rsidRPr="006E0160">
        <w:lastRenderedPageBreak/>
        <w:t>Impactul consumului de tutun asupra stării de sănătate la nivel individual</w:t>
      </w:r>
      <w:bookmarkEnd w:id="68"/>
    </w:p>
    <w:p w14:paraId="47179FD3" w14:textId="77777777" w:rsidR="00956BB2" w:rsidRDefault="00956BB2" w:rsidP="00CD3152">
      <w:pPr>
        <w:ind w:firstLine="708"/>
        <w:jc w:val="both"/>
      </w:pPr>
      <w:r w:rsidRPr="00956BB2">
        <w:t>Dovezile epidemiologice și clinice disponibile demonstrează în mod consecvent că utilizarea produselor din tutun, indiferent de forma de consum, produce efecte nocive asupra majorității organelor și sistemelor organismului și se asociază cu reducerea speranței de viață, precum și cu deteriorarea calității vieții. În acest context, prevenirea inițierii consumului și reducerea prevalenței fumatului constituie obiective prioritare de sănătate publică</w:t>
      </w:r>
      <w:r>
        <w:t>.</w:t>
      </w:r>
    </w:p>
    <w:p w14:paraId="36B1B8C2" w14:textId="5BEF9EC4" w:rsidR="00CD3152" w:rsidRPr="006E0160" w:rsidRDefault="00CD3152" w:rsidP="00CD3152">
      <w:pPr>
        <w:ind w:firstLine="708"/>
        <w:jc w:val="both"/>
      </w:pPr>
      <w:r w:rsidRPr="006E0160">
        <w:t xml:space="preserve">Consumul de tutun rămâne una dintre cele mai importante cauze evitabile de morbiditate și mortalitate la nivel global. </w:t>
      </w:r>
      <w:r w:rsidRPr="009222F0">
        <w:t>Potrivit OMS, tutunului cauzează anual peste 7 milioane de decese, dintre care peste 1,</w:t>
      </w:r>
      <w:r w:rsidR="00956BB2">
        <w:t>6</w:t>
      </w:r>
      <w:r w:rsidRPr="009222F0">
        <w:t xml:space="preserve"> milioane sunt atribuite expunerii la fumat pasiv.</w:t>
      </w:r>
      <w:r w:rsidRPr="009222F0">
        <w:fldChar w:fldCharType="begin"/>
      </w:r>
      <w:r w:rsidR="00D4526D">
        <w:instrText xml:space="preserve"> ADDIN EN.CITE &lt;EndNote&gt;&lt;Cite&gt;&lt;Author&gt;WHO&lt;/Author&gt;&lt;Year&gt;2025&lt;/Year&gt;&lt;RecNum&gt;9164&lt;/RecNum&gt;&lt;DisplayText&gt;&lt;style size="10"&gt;[1,15]&lt;/style&gt;&lt;/DisplayText&gt;&lt;record&gt;&lt;rec-number&gt;9164&lt;/rec-number&gt;&lt;foreign-keys&gt;&lt;key app="EN" db-id="fw0prtesnvf55cepezbx255wwza5zw0ssatt" timestamp="1754337538" guid="9259fa9f-663f-4ed9-933e-21e2993be56b"&gt;9164&lt;/key&gt;&lt;/foreign-keys&gt;&lt;ref-type name="Web Page"&gt;12&lt;/ref-type&gt;&lt;contributors&gt;&lt;authors&gt;&lt;author&gt;WHO&lt;/author&gt;&lt;/authors&gt;&lt;/contributors&gt;&lt;titles&gt;&lt;title&gt;Regional Office for Europe - Status of tobacco use in the Region&lt;/title&gt;&lt;/titles&gt;&lt;volume&gt;2025&lt;/volume&gt;&lt;number&gt;28th July&lt;/number&gt;&lt;dates&gt;&lt;year&gt;2025&lt;/year&gt;&lt;/dates&gt;&lt;urls&gt;&lt;related-urls&gt;&lt;url&gt;https://www.who.int/europe/news-room/fact-sheets/item/tobacco&lt;/url&gt;&lt;/related-urls&gt;&lt;/urls&gt;&lt;/record&gt;&lt;/Cite&gt;&lt;Cite&gt;&lt;Author&gt;IHME&lt;/Author&gt;&lt;Year&gt;2025&lt;/Year&gt;&lt;RecNum&gt;9764&lt;/RecNum&gt;&lt;record&gt;&lt;rec-number&gt;9764&lt;/rec-number&gt;&lt;foreign-keys&gt;&lt;key app="EN" db-id="fw0prtesnvf55cepezbx255wwza5zw0ssatt" timestamp="1781675119"&gt;9764&lt;/key&gt;&lt;/foreign-keys&gt;&lt;ref-type name="Web Page"&gt;12&lt;/ref-type&gt;&lt;contributors&gt;&lt;authors&gt;&lt;author&gt;&lt;style face="normal" font="default" charset="238" size="100%"&gt;IHME&lt;/style&gt;&lt;/author&gt;&lt;/authors&gt;&lt;/contributors&gt;&lt;titles&gt;&lt;title&gt;Global Burden of Disease Study 2023&lt;/title&gt;&lt;/titles&gt;&lt;dates&gt;&lt;year&gt;&lt;style face="normal" font="default" charset="238" size="100%"&gt;2025&lt;/style&gt;&lt;/year&gt;&lt;/dates&gt;&lt;urls&gt;&lt;related-urls&gt;&lt;url&gt;https://vizhub.healthdata.org/gbd-results/&lt;/url&gt;&lt;/related-urls&gt;&lt;/urls&gt;&lt;/record&gt;&lt;/Cite&gt;&lt;/EndNote&gt;</w:instrText>
      </w:r>
      <w:r w:rsidRPr="009222F0">
        <w:fldChar w:fldCharType="separate"/>
      </w:r>
      <w:r w:rsidR="00D4526D" w:rsidRPr="00D4526D">
        <w:rPr>
          <w:noProof/>
          <w:sz w:val="20"/>
        </w:rPr>
        <w:t>[1,15]</w:t>
      </w:r>
      <w:r w:rsidRPr="009222F0">
        <w:fldChar w:fldCharType="end"/>
      </w:r>
      <w:r w:rsidRPr="006E0160">
        <w:t xml:space="preserve"> </w:t>
      </w:r>
    </w:p>
    <w:p w14:paraId="5B09C1C4" w14:textId="77777777" w:rsidR="00CD3152" w:rsidRPr="006E0160" w:rsidRDefault="00CD3152" w:rsidP="00CD3152">
      <w:pPr>
        <w:ind w:firstLine="708"/>
        <w:jc w:val="both"/>
      </w:pPr>
      <w:r w:rsidRPr="006E0160">
        <w:t xml:space="preserve">Toate formele de consum de tutun sunt dăunătoare: țigările clasice, pipele de apă. produsele fără fum, precum și țigările electronice și produsele din tutun încălzit. Nu există un nivel sigur de expunere. </w:t>
      </w:r>
    </w:p>
    <w:p w14:paraId="205B6D7F" w14:textId="45777B2E" w:rsidR="00CD3152" w:rsidRPr="006E0160" w:rsidRDefault="00CD3152" w:rsidP="00CD3152">
      <w:pPr>
        <w:ind w:firstLine="708"/>
        <w:jc w:val="both"/>
      </w:pPr>
      <w:r w:rsidRPr="006E0160">
        <w:t>Produsele din tutun fumat, inclusiv pipele de apă (narghilea, shisha, hoohah), conțin peste 7000 de substanțe chimice, inclusiv cel puțin 250 de substanțe chimice cunoscute ca fiind toxice sau agenți cancerigeni. Utilizarea produselor din tutun fără fum poate duce la probleme de sănătate grave, uneori fatale. Fumătorii de tutun pe tot parcursul vieții pierd în medie cel puțin 10 ani de viață. Consumul de tutun sau expunerea la fumat afectează aproape toate organele corpului uman și are un impact negativ asupra sănătății de-a lungul vieții.</w:t>
      </w:r>
      <w:r w:rsidRPr="006E0160">
        <w:fldChar w:fldCharType="begin">
          <w:fldData xml:space="preserve">PEVuZE5vdGU+PENpdGU+PEF1dGhvcj5XSE88L0F1dGhvcj48WWVhcj4yMDI1PC9ZZWFyPjxSZWNO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==
</w:fldData>
        </w:fldChar>
      </w:r>
      <w:r w:rsidR="00D4526D">
        <w:instrText xml:space="preserve"> ADDIN EN.CITE </w:instrText>
      </w:r>
      <w:r w:rsidR="00D4526D">
        <w:fldChar w:fldCharType="begin">
          <w:fldData xml:space="preserve">PEVuZE5vdGU+PENpdGU+PEF1dGhvcj5XSE88L0F1dGhvcj48WWVhcj4yMDI1PC9ZZWFyPjxSZWNO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==
</w:fldData>
        </w:fldChar>
      </w:r>
      <w:r w:rsidR="00D4526D">
        <w:instrText xml:space="preserve"> ADDIN EN.CITE.DATA </w:instrText>
      </w:r>
      <w:r w:rsidR="00D4526D">
        <w:fldChar w:fldCharType="end"/>
      </w:r>
      <w:r w:rsidRPr="006E0160">
        <w:fldChar w:fldCharType="separate"/>
      </w:r>
      <w:r w:rsidR="00D4526D" w:rsidRPr="00D4526D">
        <w:rPr>
          <w:noProof/>
          <w:sz w:val="20"/>
        </w:rPr>
        <w:t>[16,17]</w:t>
      </w:r>
      <w:r w:rsidRPr="006E0160">
        <w:fldChar w:fldCharType="end"/>
      </w:r>
    </w:p>
    <w:p w14:paraId="6E846D30" w14:textId="3C361BD0" w:rsidR="00CD3152" w:rsidRPr="006E0160" w:rsidRDefault="00CD3152" w:rsidP="00CD3152">
      <w:pPr>
        <w:ind w:firstLine="708"/>
        <w:jc w:val="both"/>
      </w:pPr>
      <w:r w:rsidRPr="006E0160">
        <w:t xml:space="preserve">În mod sugestiv, OMS a sintetizat efectele asupra sănătății într-un infografic intitulat „The Tobacco Body” care reprezintă o listă detaliată a efectelor negative ale tutunului asupra organismului uman, de la boli cardiovasculare la afecțiuni ale pielii, ochilor și fertilității. </w:t>
      </w:r>
      <w:r w:rsidRPr="006E0160">
        <w:fldChar w:fldCharType="begin"/>
      </w:r>
      <w:r w:rsidR="00D4526D">
        <w:instrText xml:space="preserve"> ADDIN EN.CITE &lt;EndNote&gt;&lt;Cite&gt;&lt;Author&gt;WHO&lt;/Author&gt;&lt;Year&gt;2019&lt;/Year&gt;&lt;RecNum&gt;9213&lt;/RecNum&gt;&lt;DisplayText&gt;&lt;style size="10"&gt;[17]&lt;/style&gt;&lt;/DisplayText&gt;&lt;record&gt;&lt;rec-number&gt;9213&lt;/rec-number&gt;&lt;foreign-keys&gt;&lt;key app="EN" db-id="fw0prtesnvf55cepezbx255wwza5zw0ssatt" timestamp="1754851949" guid="68b1a9e3-a727-4198-96ad-c89d9e0d525e"&gt;9213&lt;/key&gt;&lt;/foreign-keys&gt;&lt;ref-type name="Web Page"&gt;12&lt;/ref-type&gt;&lt;contributors&gt;&lt;authors&gt;&lt;author&gt;&lt;style face="normal" font="default" charset="238" size="100%"&gt;WHO&lt;/style&gt;&lt;/author&gt;&lt;/authors&gt;&lt;secondary-authors&gt;&lt;author&gt;&lt;style face="normal" font="default" charset="238" size="100%"&gt;WHO&lt;/style&gt;&lt;/author&gt;&lt;/secondary-authors&gt;&lt;/contributors&gt;&lt;titles&gt;&lt;title&gt;The tobacco body&lt;/title&gt;&lt;/titles&gt;&lt;volume&gt;&lt;style face="normal" font="default" charset="238" size="100%"&gt;2025&lt;/style&gt;&lt;/volume&gt;&lt;number&gt;&lt;style face="normal" font="default" charset="238" size="100%"&gt;10th July&lt;/style&gt;&lt;/number&gt;&lt;dates&gt;&lt;year&gt;&lt;style face="normal" font="default" charset="238" size="100%"&gt;2019&lt;/style&gt;&lt;/year&gt;&lt;/dates&gt;&lt;pub-location&gt;&lt;style face="normal" font="default" charset="238" size="100%"&gt;online&lt;/style&gt;&lt;/pub-location&gt;&lt;urls&gt;&lt;related-urls&gt;&lt;url&gt;https://www.who.int/publications/i/item/WHO-NMH-PND-19.1&lt;/url&gt;&lt;/related-urls&gt;&lt;/urls&gt;&lt;/record&gt;&lt;/Cite&gt;&lt;/EndNote&gt;</w:instrText>
      </w:r>
      <w:r w:rsidRPr="006E0160">
        <w:fldChar w:fldCharType="separate"/>
      </w:r>
      <w:r w:rsidR="00D4526D" w:rsidRPr="00D4526D">
        <w:rPr>
          <w:noProof/>
          <w:sz w:val="20"/>
        </w:rPr>
        <w:t>[17]</w:t>
      </w:r>
      <w:r w:rsidRPr="006E0160">
        <w:fldChar w:fldCharType="end"/>
      </w:r>
    </w:p>
    <w:p w14:paraId="0D2952B0" w14:textId="77777777" w:rsidR="00CD3152" w:rsidRPr="006E0160" w:rsidRDefault="00CD3152" w:rsidP="001A1C0B">
      <w:pPr>
        <w:pStyle w:val="Heading2"/>
      </w:pPr>
      <w:bookmarkStart w:id="69" w:name="_Toc232660567"/>
      <w:r w:rsidRPr="006E0160">
        <w:t>Impactul asupra sănătății al consumului convențional de tutun</w:t>
      </w:r>
      <w:bookmarkEnd w:id="69"/>
      <w:r w:rsidRPr="006E0160">
        <w:t xml:space="preserve"> </w:t>
      </w:r>
    </w:p>
    <w:p w14:paraId="0555F013" w14:textId="77777777" w:rsidR="00CD3152" w:rsidRPr="006E0160" w:rsidRDefault="00CD3152" w:rsidP="00CD3152">
      <w:pPr>
        <w:ind w:firstLine="708"/>
        <w:jc w:val="both"/>
        <w:rPr>
          <w:b/>
          <w:bCs/>
          <w:i/>
          <w:iCs/>
        </w:rPr>
      </w:pPr>
      <w:r w:rsidRPr="006E0160">
        <w:rPr>
          <w:b/>
          <w:bCs/>
          <w:i/>
          <w:iCs/>
        </w:rPr>
        <w:t>Efecte asupra aparatului respirator</w:t>
      </w:r>
    </w:p>
    <w:p w14:paraId="4CE7BCFA" w14:textId="77777777" w:rsidR="00CD3152" w:rsidRPr="006E0160" w:rsidRDefault="00CD3152" w:rsidP="00CD3152">
      <w:pPr>
        <w:ind w:firstLine="708"/>
        <w:jc w:val="both"/>
      </w:pPr>
      <w:r w:rsidRPr="006E0160">
        <w:t>Fumatul este principalul factor de risc pentru boli pulmonare cronice precum bronhopneumopatia obstructivă cronică (BPOC) și cancerul pulmonar. Particulele toxice inhalate în timpul fumatului distrug progresiv țesutul pulmonar și reduc capacitatea de oxigenare a organismului. Potrivit Agenției Internaționale pentru Cercetare în Domeniul Cancerului (IARC), peste 80% din decesele prin cancer pulmonar sunt asociate fumatului activ</w:t>
      </w:r>
      <w:r>
        <w:t>.</w:t>
      </w:r>
    </w:p>
    <w:p w14:paraId="7149A5DF" w14:textId="6B8BCC23" w:rsidR="00CD3152" w:rsidRPr="006E0160" w:rsidRDefault="00CD3152" w:rsidP="00CD3152">
      <w:pPr>
        <w:ind w:firstLine="708"/>
        <w:jc w:val="both"/>
      </w:pPr>
      <w:r w:rsidRPr="006E0160">
        <w:t xml:space="preserve">Un fumător din cinci va dezvolta bronhopneumopatie cronică </w:t>
      </w:r>
      <w:r w:rsidRPr="00C52887">
        <w:t xml:space="preserve">obstructivă </w:t>
      </w:r>
      <w:r w:rsidRPr="006E0160">
        <w:t>(BPOC) pe parcursul vieții, în special cei care încep să fumeze în copilărie sau în adolescență, deoarece fumul de tutun încetinește semnificativ creșterea și dezvoltarea plămânilor. Per total, fumătorii sunt de 3–4 ori mai predispuși să dezvolte BPOC decât nefumătorii. Fumatul cauzează inflamarea și ruperea alveolelor pulmonare, ceea ce reduce capacitatea plămânilor de a prelua oxigen și de a elimina dioxidul de carbon. De asemenea, duce la acumularea de mucus purulent, rezultând o tuse dureroasă și dificultăți agonizante de respirație. Adulții care au fost expuși la fumat pasiv în copilărie – și, ca urmare, au suferit infecții respiratorii inferioare frecvente – prezintă risc de a dezvolta BPOC.</w:t>
      </w:r>
      <w:r w:rsidRPr="006E0160">
        <w:fldChar w:fldCharType="begin">
          <w:fldData xml:space="preserve">PEVuZE5vdGU+PENpdGU+PEF1dGhvcj5XSE88L0F1dGhvcj48WWVhcj4yMDI1PC9ZZWFyPjxSZWNO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==
</w:fldData>
        </w:fldChar>
      </w:r>
      <w:r w:rsidR="00D4526D">
        <w:instrText xml:space="preserve"> ADDIN EN.CITE </w:instrText>
      </w:r>
      <w:r w:rsidR="00D4526D">
        <w:fldChar w:fldCharType="begin">
          <w:fldData xml:space="preserve">PEVuZE5vdGU+PENpdGU+PEF1dGhvcj5XSE88L0F1dGhvcj48WWVhcj4yMDI1PC9ZZWFyPjxSZWNO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==
</w:fldData>
        </w:fldChar>
      </w:r>
      <w:r w:rsidR="00D4526D">
        <w:instrText xml:space="preserve"> ADDIN EN.CITE.DATA </w:instrText>
      </w:r>
      <w:r w:rsidR="00D4526D">
        <w:fldChar w:fldCharType="end"/>
      </w:r>
      <w:r w:rsidRPr="006E0160">
        <w:fldChar w:fldCharType="separate"/>
      </w:r>
      <w:r w:rsidR="00D4526D" w:rsidRPr="00D4526D">
        <w:rPr>
          <w:noProof/>
          <w:sz w:val="20"/>
        </w:rPr>
        <w:t>[16,17]</w:t>
      </w:r>
      <w:r w:rsidRPr="006E0160">
        <w:fldChar w:fldCharType="end"/>
      </w:r>
    </w:p>
    <w:p w14:paraId="316D6129" w14:textId="222AC212" w:rsidR="00CD3152" w:rsidRPr="006E0160" w:rsidRDefault="00CD3152" w:rsidP="00CD3152">
      <w:pPr>
        <w:ind w:firstLine="708"/>
        <w:jc w:val="both"/>
      </w:pPr>
      <w:r w:rsidRPr="006E0160">
        <w:lastRenderedPageBreak/>
        <w:t>Fumatul este cunoscut pentru faptul că agravează astmul bronșic la adulți, limitându-le activitatea, contribuind la incapacitate și crescând riscul de crize severe de astm care necesită îngrijiri medicale de urgență. Copiii de vârstă școlară ai părinților fumători sunt expuși efectelor nocive ale fumatului pasiv și prezintă risc de debut și de exacerbare a astmului, prin inflamarea căilor respiratorii.</w:t>
      </w:r>
      <w:r w:rsidRPr="006E0160">
        <w:fldChar w:fldCharType="begin"/>
      </w:r>
      <w:r w:rsidR="00D4526D">
        <w:instrText xml:space="preserve"> ADDIN EN.CITE &lt;EndNote&gt;&lt;Cite&gt;&lt;Author&gt;WHO&lt;/Author&gt;&lt;Year&gt;2019&lt;/Year&gt;&lt;RecNum&gt;9213&lt;/RecNum&gt;&lt;DisplayText&gt;&lt;style size="10"&gt;[17]&lt;/style&gt;&lt;/DisplayText&gt;&lt;record&gt;&lt;rec-number&gt;9213&lt;/rec-number&gt;&lt;foreign-keys&gt;&lt;key app="EN" db-id="fw0prtesnvf55cepezbx255wwza5zw0ssatt" timestamp="1754851949" guid="68b1a9e3-a727-4198-96ad-c89d9e0d525e"&gt;9213&lt;/key&gt;&lt;/foreign-keys&gt;&lt;ref-type name="Web Page"&gt;12&lt;/ref-type&gt;&lt;contributors&gt;&lt;authors&gt;&lt;author&gt;&lt;style face="normal" font="default" charset="238" size="100%"&gt;WHO&lt;/style&gt;&lt;/author&gt;&lt;/authors&gt;&lt;secondary-authors&gt;&lt;author&gt;&lt;style face="normal" font="default" charset="238" size="100%"&gt;WHO&lt;/style&gt;&lt;/author&gt;&lt;/secondary-authors&gt;&lt;/contributors&gt;&lt;titles&gt;&lt;title&gt;The tobacco body&lt;/title&gt;&lt;/titles&gt;&lt;volume&gt;&lt;style face="normal" font="default" charset="238" size="100%"&gt;2025&lt;/style&gt;&lt;/volume&gt;&lt;number&gt;&lt;style face="normal" font="default" charset="238" size="100%"&gt;10th July&lt;/style&gt;&lt;/number&gt;&lt;dates&gt;&lt;year&gt;&lt;style face="normal" font="default" charset="238" size="100%"&gt;2019&lt;/style&gt;&lt;/year&gt;&lt;/dates&gt;&lt;pub-location&gt;&lt;style face="normal" font="default" charset="238" size="100%"&gt;online&lt;/style&gt;&lt;/pub-location&gt;&lt;urls&gt;&lt;related-urls&gt;&lt;url&gt;https://www.who.int/publications/i/item/WHO-NMH-PND-19.1&lt;/url&gt;&lt;/related-urls&gt;&lt;/urls&gt;&lt;/record&gt;&lt;/Cite&gt;&lt;/EndNote&gt;</w:instrText>
      </w:r>
      <w:r w:rsidRPr="006E0160">
        <w:fldChar w:fldCharType="separate"/>
      </w:r>
      <w:r w:rsidR="00D4526D" w:rsidRPr="00D4526D">
        <w:rPr>
          <w:noProof/>
          <w:sz w:val="20"/>
        </w:rPr>
        <w:t>[17]</w:t>
      </w:r>
      <w:r w:rsidRPr="006E0160">
        <w:fldChar w:fldCharType="end"/>
      </w:r>
    </w:p>
    <w:p w14:paraId="4C353331" w14:textId="5D80C80E" w:rsidR="00CD3152" w:rsidRPr="006E0160" w:rsidRDefault="00CD3152" w:rsidP="00CD3152">
      <w:pPr>
        <w:ind w:firstLine="708"/>
        <w:jc w:val="both"/>
      </w:pPr>
      <w:r>
        <w:t>Consumul de produse convenționale de tutun</w:t>
      </w:r>
      <w:r w:rsidRPr="006E0160">
        <w:t xml:space="preserve"> cauzează pneumonie și toate simptomele respiratorii majore, inclusiv tuse, respirație șuierătoare și expectorație specifică. La fumători, dezvoltarea și funcția plămânilor sunt mult mai probabil afectate. Copiii ai căror părinți fumează prezintă simptome respiratorii similare și au o funcție pulmonară mai scăzută pe parcursul copilăriei. Sugarii născuți din mame care au fumat în timpul sarcinii sunt deosebit de vulnerabili, fiind expuși substanțelor chimice din tutun în stadii critice de dezvoltare intrauterină.</w:t>
      </w:r>
      <w:r w:rsidRPr="006E0160">
        <w:fldChar w:fldCharType="begin"/>
      </w:r>
      <w:r w:rsidR="00D4526D">
        <w:instrText xml:space="preserve"> ADDIN EN.CITE &lt;EndNote&gt;&lt;Cite&gt;&lt;Author&gt;WHO&lt;/Author&gt;&lt;Year&gt;2019&lt;/Year&gt;&lt;RecNum&gt;9213&lt;/RecNum&gt;&lt;DisplayText&gt;&lt;style size="10"&gt;[17]&lt;/style&gt;&lt;/DisplayText&gt;&lt;record&gt;&lt;rec-number&gt;9213&lt;/rec-number&gt;&lt;foreign-keys&gt;&lt;key app="EN" db-id="fw0prtesnvf55cepezbx255wwza5zw0ssatt" timestamp="1754851949" guid="68b1a9e3-a727-4198-96ad-c89d9e0d525e"&gt;9213&lt;/key&gt;&lt;/foreign-keys&gt;&lt;ref-type name="Web Page"&gt;12&lt;/ref-type&gt;&lt;contributors&gt;&lt;authors&gt;&lt;author&gt;&lt;style face="normal" font="default" charset="238" size="100%"&gt;WHO&lt;/style&gt;&lt;/author&gt;&lt;/authors&gt;&lt;secondary-authors&gt;&lt;author&gt;&lt;style face="normal" font="default" charset="238" size="100%"&gt;WHO&lt;/style&gt;&lt;/author&gt;&lt;/secondary-authors&gt;&lt;/contributors&gt;&lt;titles&gt;&lt;title&gt;The tobacco body&lt;/title&gt;&lt;/titles&gt;&lt;volume&gt;&lt;style face="normal" font="default" charset="238" size="100%"&gt;2025&lt;/style&gt;&lt;/volume&gt;&lt;number&gt;&lt;style face="normal" font="default" charset="238" size="100%"&gt;10th July&lt;/style&gt;&lt;/number&gt;&lt;dates&gt;&lt;year&gt;&lt;style face="normal" font="default" charset="238" size="100%"&gt;2019&lt;/style&gt;&lt;/year&gt;&lt;/dates&gt;&lt;pub-location&gt;&lt;style face="normal" font="default" charset="238" size="100%"&gt;online&lt;/style&gt;&lt;/pub-location&gt;&lt;urls&gt;&lt;related-urls&gt;&lt;url&gt;https://www.who.int/publications/i/item/WHO-NMH-PND-19.1&lt;/url&gt;&lt;/related-urls&gt;&lt;/urls&gt;&lt;/record&gt;&lt;/Cite&gt;&lt;/EndNote&gt;</w:instrText>
      </w:r>
      <w:r w:rsidRPr="006E0160">
        <w:fldChar w:fldCharType="separate"/>
      </w:r>
      <w:r w:rsidR="00D4526D" w:rsidRPr="00D4526D">
        <w:rPr>
          <w:noProof/>
          <w:sz w:val="20"/>
        </w:rPr>
        <w:t>[17]</w:t>
      </w:r>
      <w:r w:rsidRPr="006E0160">
        <w:fldChar w:fldCharType="end"/>
      </w:r>
    </w:p>
    <w:p w14:paraId="2FF9BBB7" w14:textId="19892C84" w:rsidR="00CD3152" w:rsidRPr="006E0160" w:rsidRDefault="00CD3152" w:rsidP="00CD3152">
      <w:pPr>
        <w:ind w:firstLine="708"/>
        <w:jc w:val="both"/>
      </w:pPr>
      <w:r w:rsidRPr="006E0160">
        <w:t>Aproximativ un sfert din populația lumii are tuberculoză latentă, ceea ce îi expune riscului de a dezvolta forma activă a bolii. Fumatul  dublează riscul ca tuberculoza latentă (destul de frecventă în populație) să progreseze către boala activă și, de asemenea, agravează evoluția naturală a bolii. Tuberculoza afectează plămânii, amplificând reducerea funcției pulmonare cauzată de fumat și crescând riscul de dizabilitate severă și deces prin insuficiență respiratorie.</w:t>
      </w:r>
      <w:r w:rsidRPr="006E0160">
        <w:fldChar w:fldCharType="begin"/>
      </w:r>
      <w:r w:rsidR="00D4526D">
        <w:instrText xml:space="preserve"> ADDIN EN.CITE &lt;EndNote&gt;&lt;Cite&gt;&lt;Author&gt;WHO&lt;/Author&gt;&lt;Year&gt;2019&lt;/Year&gt;&lt;RecNum&gt;9213&lt;/RecNum&gt;&lt;DisplayText&gt;&lt;style size="10"&gt;[17]&lt;/style&gt;&lt;/DisplayText&gt;&lt;record&gt;&lt;rec-number&gt;9213&lt;/rec-number&gt;&lt;foreign-keys&gt;&lt;key app="EN" db-id="fw0prtesnvf55cepezbx255wwza5zw0ssatt" timestamp="1754851949" guid="68b1a9e3-a727-4198-96ad-c89d9e0d525e"&gt;9213&lt;/key&gt;&lt;/foreign-keys&gt;&lt;ref-type name="Web Page"&gt;12&lt;/ref-type&gt;&lt;contributors&gt;&lt;authors&gt;&lt;author&gt;&lt;style face="normal" font="default" charset="238" size="100%"&gt;WHO&lt;/style&gt;&lt;/author&gt;&lt;/authors&gt;&lt;secondary-authors&gt;&lt;author&gt;&lt;style face="normal" font="default" charset="238" size="100%"&gt;WHO&lt;/style&gt;&lt;/author&gt;&lt;/secondary-authors&gt;&lt;/contributors&gt;&lt;titles&gt;&lt;title&gt;The tobacco body&lt;/title&gt;&lt;/titles&gt;&lt;volume&gt;&lt;style face="normal" font="default" charset="238" size="100%"&gt;2025&lt;/style&gt;&lt;/volume&gt;&lt;number&gt;&lt;style face="normal" font="default" charset="238" size="100%"&gt;10th July&lt;/style&gt;&lt;/number&gt;&lt;dates&gt;&lt;year&gt;&lt;style face="normal" font="default" charset="238" size="100%"&gt;2019&lt;/style&gt;&lt;/year&gt;&lt;/dates&gt;&lt;pub-location&gt;&lt;style face="normal" font="default" charset="238" size="100%"&gt;online&lt;/style&gt;&lt;/pub-location&gt;&lt;urls&gt;&lt;related-urls&gt;&lt;url&gt;https://www.who.int/publications/i/item/WHO-NMH-PND-19.1&lt;/url&gt;&lt;/related-urls&gt;&lt;/urls&gt;&lt;/record&gt;&lt;/Cite&gt;&lt;/EndNote&gt;</w:instrText>
      </w:r>
      <w:r w:rsidRPr="006E0160">
        <w:fldChar w:fldCharType="separate"/>
      </w:r>
      <w:r w:rsidR="00D4526D" w:rsidRPr="00D4526D">
        <w:rPr>
          <w:noProof/>
          <w:sz w:val="20"/>
        </w:rPr>
        <w:t>[17]</w:t>
      </w:r>
      <w:r w:rsidRPr="006E0160">
        <w:fldChar w:fldCharType="end"/>
      </w:r>
    </w:p>
    <w:p w14:paraId="1AA317F3" w14:textId="77777777" w:rsidR="00CD3152" w:rsidRPr="006E0160" w:rsidRDefault="00CD3152" w:rsidP="00CD3152">
      <w:pPr>
        <w:ind w:firstLine="708"/>
        <w:jc w:val="both"/>
        <w:rPr>
          <w:b/>
          <w:bCs/>
          <w:i/>
          <w:iCs/>
        </w:rPr>
      </w:pPr>
      <w:r w:rsidRPr="006E0160">
        <w:rPr>
          <w:b/>
          <w:bCs/>
          <w:i/>
          <w:iCs/>
        </w:rPr>
        <w:t>Impact cardiovascular</w:t>
      </w:r>
    </w:p>
    <w:p w14:paraId="7DDA8F27" w14:textId="0C840AD3" w:rsidR="00CD3152" w:rsidRPr="006E0160" w:rsidRDefault="00CD3152" w:rsidP="00CD3152">
      <w:pPr>
        <w:ind w:firstLine="708"/>
        <w:jc w:val="both"/>
      </w:pPr>
      <w:r w:rsidRPr="006E0160">
        <w:t>Consumul de tutun contribuie semnificativ la bolile cardiovasculare, inclusiv infarctul miocardic și accidentul vascular cerebral. Nicotina și alte substanțe din fumul de tutun determină creșterea tensiunii arteriale, rigidizarea vaselor și formarea plăcilor ateromatoase, crescând riscul evenimentelor fatale</w:t>
      </w:r>
      <w:r>
        <w:fldChar w:fldCharType="begin"/>
      </w:r>
      <w:r w:rsidR="00D4526D">
        <w:instrText xml:space="preserve"> ADDIN EN.CITE &lt;EndNote&gt;&lt;Cite&gt;&lt;Author&gt;WHO&lt;/Author&gt;&lt;Year&gt;2019&lt;/Year&gt;&lt;RecNum&gt;9213&lt;/RecNum&gt;&lt;DisplayText&gt;&lt;style size="10"&gt;[17]&lt;/style&gt;&lt;/DisplayText&gt;&lt;record&gt;&lt;rec-number&gt;9213&lt;/rec-number&gt;&lt;foreign-keys&gt;&lt;key app="EN" db-id="fw0prtesnvf55cepezbx255wwza5zw0ssatt" timestamp="1754851949" guid="68b1a9e3-a727-4198-96ad-c89d9e0d525e"&gt;9213&lt;/key&gt;&lt;/foreign-keys&gt;&lt;ref-type name="Web Page"&gt;12&lt;/ref-type&gt;&lt;contributors&gt;&lt;authors&gt;&lt;author&gt;&lt;style face="normal" font="default" charset="238" size="100%"&gt;WHO&lt;/style&gt;&lt;/author&gt;&lt;/authors&gt;&lt;secondary-authors&gt;&lt;author&gt;&lt;style face="normal" font="default" charset="238" size="100%"&gt;WHO&lt;/style&gt;&lt;/author&gt;&lt;/secondary-authors&gt;&lt;/contributors&gt;&lt;titles&gt;&lt;title&gt;The tobacco body&lt;/title&gt;&lt;/titles&gt;&lt;volume&gt;&lt;style face="normal" font="default" charset="238" size="100%"&gt;2025&lt;/style&gt;&lt;/volume&gt;&lt;number&gt;&lt;style face="normal" font="default" charset="238" size="100%"&gt;10th July&lt;/style&gt;&lt;/number&gt;&lt;dates&gt;&lt;year&gt;&lt;style face="normal" font="default" charset="238" size="100%"&gt;2019&lt;/style&gt;&lt;/year&gt;&lt;/dates&gt;&lt;pub-location&gt;&lt;style face="normal" font="default" charset="238" size="100%"&gt;online&lt;/style&gt;&lt;/pub-location&gt;&lt;urls&gt;&lt;related-urls&gt;&lt;url&gt;https://www.who.int/publications/i/item/WHO-NMH-PND-19.1&lt;/url&gt;&lt;/related-urls&gt;&lt;/urls&gt;&lt;/record&gt;&lt;/Cite&gt;&lt;/EndNote&gt;</w:instrText>
      </w:r>
      <w:r>
        <w:fldChar w:fldCharType="separate"/>
      </w:r>
      <w:r w:rsidR="00D4526D" w:rsidRPr="00D4526D">
        <w:rPr>
          <w:noProof/>
          <w:sz w:val="20"/>
        </w:rPr>
        <w:t>[17]</w:t>
      </w:r>
      <w:r>
        <w:fldChar w:fldCharType="end"/>
      </w:r>
      <w:r w:rsidRPr="006E0160">
        <w:t>.</w:t>
      </w:r>
    </w:p>
    <w:p w14:paraId="44B2CF1E" w14:textId="08B59D42" w:rsidR="00CD3152" w:rsidRPr="006E0160" w:rsidRDefault="00CD3152" w:rsidP="00CD3152">
      <w:pPr>
        <w:ind w:firstLine="708"/>
        <w:jc w:val="both"/>
      </w:pPr>
      <w:r w:rsidRPr="006E0160">
        <w:t xml:space="preserve">Unul din trei decese la nivel mondial este atribuit bolilor cardiovasculare. Consumul de tutun și expunerea la fumul de tutun sunt factori majori care contribuie la aceste decese, provocând aproximativ 3 milioane de decese prin boli cardiovasculare la nivel global în fiecare an. Fumătorii au un risc de până la două ori mai mare de accident vascular cerebral și de patru ori mai mare de boală cardiacă în comparație cu nefumătorii. Fumul de tutun deteriorează arterele mari, cauzând formarea de placi aterosclerotice și formarea de cheaguri de sânge, restricționând astfel fluxul sanguin și ducând în final la infarcte miocardice și accidente vasculare cerebrale. Îngustarea vaselor de sânge, dacă nu este tratată, poate provoca cangrenă locală și poate necesita amputația zonelor afectate. </w:t>
      </w:r>
      <w:r>
        <w:fldChar w:fldCharType="begin"/>
      </w:r>
      <w:r w:rsidR="00D4526D">
        <w:instrText xml:space="preserve"> ADDIN EN.CITE &lt;EndNote&gt;&lt;Cite&gt;&lt;Author&gt;WHO&lt;/Author&gt;&lt;Year&gt;2019&lt;/Year&gt;&lt;RecNum&gt;9213&lt;/RecNum&gt;&lt;DisplayText&gt;&lt;style size="10"&gt;[17]&lt;/style&gt;&lt;/DisplayText&gt;&lt;record&gt;&lt;rec-number&gt;9213&lt;/rec-number&gt;&lt;foreign-keys&gt;&lt;key app="EN" db-id="fw0prtesnvf55cepezbx255wwza5zw0ssatt" timestamp="1754851949" guid="68b1a9e3-a727-4198-96ad-c89d9e0d525e"&gt;9213&lt;/key&gt;&lt;/foreign-keys&gt;&lt;ref-type name="Web Page"&gt;12&lt;/ref-type&gt;&lt;contributors&gt;&lt;authors&gt;&lt;author&gt;&lt;style face="normal" font="default" charset="238" size="100%"&gt;WHO&lt;/style&gt;&lt;/author&gt;&lt;/authors&gt;&lt;secondary-authors&gt;&lt;author&gt;&lt;style face="normal" font="default" charset="238" size="100%"&gt;WHO&lt;/style&gt;&lt;/author&gt;&lt;/secondary-authors&gt;&lt;/contributors&gt;&lt;titles&gt;&lt;title&gt;The tobacco body&lt;/title&gt;&lt;/titles&gt;&lt;volume&gt;&lt;style face="normal" font="default" charset="238" size="100%"&gt;2025&lt;/style&gt;&lt;/volume&gt;&lt;number&gt;&lt;style face="normal" font="default" charset="238" size="100%"&gt;10th July&lt;/style&gt;&lt;/number&gt;&lt;dates&gt;&lt;year&gt;&lt;style face="normal" font="default" charset="238" size="100%"&gt;2019&lt;/style&gt;&lt;/year&gt;&lt;/dates&gt;&lt;pub-location&gt;&lt;style face="normal" font="default" charset="238" size="100%"&gt;online&lt;/style&gt;&lt;/pub-location&gt;&lt;urls&gt;&lt;related-urls&gt;&lt;url&gt;https://www.who.int/publications/i/item/WHO-NMH-PND-19.1&lt;/url&gt;&lt;/related-urls&gt;&lt;/urls&gt;&lt;/record&gt;&lt;/Cite&gt;&lt;/EndNote&gt;</w:instrText>
      </w:r>
      <w:r>
        <w:fldChar w:fldCharType="separate"/>
      </w:r>
      <w:r w:rsidR="00D4526D" w:rsidRPr="00D4526D">
        <w:rPr>
          <w:noProof/>
          <w:sz w:val="20"/>
        </w:rPr>
        <w:t>[17]</w:t>
      </w:r>
      <w:r>
        <w:fldChar w:fldCharType="end"/>
      </w:r>
    </w:p>
    <w:p w14:paraId="1AC086CB" w14:textId="77777777" w:rsidR="00CD3152" w:rsidRDefault="00CD3152" w:rsidP="00CD3152">
      <w:pPr>
        <w:ind w:firstLine="708"/>
        <w:jc w:val="both"/>
      </w:pPr>
      <w:r w:rsidRPr="006E0160">
        <w:t>Accidentul vascular cerebral, la fel ca boala cardiacă, prezintă un risc mare de deces, iar supraviețuitorii unui AVC pot suferi dizabilități grave, cum ar fi paralizia sau pierderea vederii ori a vorbirii. Consumul de tutun este nociv, indiferent de cantitate. Cei care fumează doar o țigară pe zi un risc incipient de a dezvolta boli cardiovasculare și accident vascular cerebral care reprezintă jumătate din riscul celor care fumează 20 de țigări pe zi. Cu toate acestea, nu doar fumatul activ și expunerea la fumul de tutun cresc riscul de boli cardiovasculare. Utilizarea produselor din tutun fără fum crește și ea riscul de deces prin infarct sau accident vascular cerebral.</w:t>
      </w:r>
    </w:p>
    <w:p w14:paraId="0308807D" w14:textId="77777777" w:rsidR="00CD3152" w:rsidRPr="006E0160" w:rsidRDefault="00CD3152" w:rsidP="00CD3152">
      <w:pPr>
        <w:ind w:firstLine="708"/>
        <w:jc w:val="both"/>
        <w:rPr>
          <w:b/>
          <w:bCs/>
          <w:i/>
          <w:iCs/>
        </w:rPr>
      </w:pPr>
      <w:r w:rsidRPr="006E0160">
        <w:rPr>
          <w:b/>
          <w:bCs/>
          <w:i/>
          <w:iCs/>
        </w:rPr>
        <w:t>Riscuri oncologice multiple</w:t>
      </w:r>
    </w:p>
    <w:p w14:paraId="7835F0E8" w14:textId="77777777" w:rsidR="00CD3152" w:rsidRPr="006E0160" w:rsidRDefault="00CD3152" w:rsidP="00CD3152">
      <w:pPr>
        <w:ind w:firstLine="708"/>
        <w:jc w:val="both"/>
      </w:pPr>
      <w:r w:rsidRPr="006E0160">
        <w:t xml:space="preserve">Tutunul, indiferent de forma de utilizare, este considerat cel mai important factor de risc pentru cancer, fiindu-i atribuite cca. 20% din decesele prin cancer la nivel mondial și aproximativ 70% din decesele prin cancer pulmonar. Fumatul contribuie la apariția a cel puțin 14 cancere, la nivel de: căi </w:t>
      </w:r>
      <w:r w:rsidRPr="006E0160">
        <w:lastRenderedPageBreak/>
        <w:t>respiratorii superioare și inferioare, întreg tractul gastro-intestinal, ficat, vezică urinară, col uterin, rinichi, leucemie, ovare.</w:t>
      </w:r>
    </w:p>
    <w:p w14:paraId="4867E8A6" w14:textId="77777777" w:rsidR="00CD3152" w:rsidRPr="006E0160" w:rsidRDefault="00CD3152" w:rsidP="00CD3152">
      <w:pPr>
        <w:ind w:firstLine="708"/>
        <w:jc w:val="both"/>
      </w:pPr>
      <w:r w:rsidRPr="006E0160">
        <w:t>Fumatul acționează asupra ADN-ului afectând gene cu rol cheie în protecția față de cancer. Țigările conțin agenți chimici care afectează ADN-ul cum sunt: benzen, poloniu-210, benzopirene și nitrozamine. Alți agenți potențează acțiunea carcinogenilor (de ex. crom) în timp ce alții interferă cu căile de reparare a ADNului alterat (de ex. arsenic și nichel)</w:t>
      </w:r>
    </w:p>
    <w:p w14:paraId="5554F627" w14:textId="56D8F899" w:rsidR="00CD3152" w:rsidRPr="006E0160" w:rsidRDefault="00CD3152" w:rsidP="00CD3152">
      <w:pPr>
        <w:ind w:firstLine="708"/>
        <w:jc w:val="both"/>
      </w:pPr>
      <w:r w:rsidRPr="006E0160">
        <w:t>OMS a clasificat toate formele de consum de tutun drept carcinogeni de grup 1, cu dovezi clare de cauzalitate.</w:t>
      </w:r>
      <w:r>
        <w:t xml:space="preserve"> </w:t>
      </w:r>
      <w:r w:rsidRPr="006E0160">
        <w:t>Fumătorii au un risc de până la 22 de ori mai mare de a dezvolta cancer pulmonar de-a lungul vieții decât nefumătorii. Fumatul este cauza principală a cancerului pulmonar, fiind responsabil de peste două treimi din decesele prin cancer pulmonar la nivel global și provocând aproximativ 1,2 milioane de decese în fiecare an. Nefumătorii expuși la fumul de țigară acasă sau la locul de muncă prezintă, de asemenea, risc crescut de a dezvolta cancer pulmonar.</w:t>
      </w:r>
      <w:r w:rsidRPr="006E0160">
        <w:fldChar w:fldCharType="begin">
          <w:fldData xml:space="preserve">PEVuZE5vdGU+PENpdGU+PEF1dGhvcj5XSE88L0F1dGhvcj48WWVhcj4yMDI1PC9ZZWFyPjxSZWNO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==
</w:fldData>
        </w:fldChar>
      </w:r>
      <w:r w:rsidR="00D4526D">
        <w:instrText xml:space="preserve"> ADDIN EN.CITE </w:instrText>
      </w:r>
      <w:r w:rsidR="00D4526D">
        <w:fldChar w:fldCharType="begin">
          <w:fldData xml:space="preserve">PEVuZE5vdGU+PENpdGU+PEF1dGhvcj5XSE88L0F1dGhvcj48WWVhcj4yMDI1PC9ZZWFyPjxSZWNO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==
</w:fldData>
        </w:fldChar>
      </w:r>
      <w:r w:rsidR="00D4526D">
        <w:instrText xml:space="preserve"> ADDIN EN.CITE.DATA </w:instrText>
      </w:r>
      <w:r w:rsidR="00D4526D">
        <w:fldChar w:fldCharType="end"/>
      </w:r>
      <w:r w:rsidRPr="006E0160">
        <w:fldChar w:fldCharType="separate"/>
      </w:r>
      <w:r w:rsidR="00D4526D" w:rsidRPr="00D4526D">
        <w:rPr>
          <w:noProof/>
          <w:sz w:val="20"/>
        </w:rPr>
        <w:t>[16,17]</w:t>
      </w:r>
      <w:r w:rsidRPr="006E0160">
        <w:fldChar w:fldCharType="end"/>
      </w:r>
    </w:p>
    <w:p w14:paraId="37742BCE" w14:textId="0460A590" w:rsidR="00CD3152" w:rsidRPr="006E0160" w:rsidRDefault="00CD3152" w:rsidP="00CD3152">
      <w:pPr>
        <w:ind w:firstLine="708"/>
        <w:jc w:val="both"/>
      </w:pPr>
      <w:r w:rsidRPr="006E0160">
        <w:t>Consumului de tutun (atât prin ardere, cât și fără fum) i se datorează o parte semnificativă a poverii afecțiunilor cavității bucale. Ambele forme de tutun sunt cunoscute pentru că provoacă cancer oral. În multe țări, șansele de supraviețuire de peste cinci ani după un diagnostic de cancer oral sunt reduse. Cei care supraviețuiesc cancerului oral se confruntă adesea cu desfigurare facială considerabilă și pierderea capacității de a vorbi, a înghiți sau a mesteca. De asemenea, consumul de tutun crește riscul de boală parodontală, o boală inflamatorie cronică ce distruge treptat gingiile și osul maxilar, ducând la pierderea dinților. Fumatul și utilizarea produselor din tutun fără fum perturbă chimia cavității bucale, favorizând acumularea excesivă de placă bacteriană și îngălbenind dinții, cauzând totodată halenă (respirație urât mirositoare).</w:t>
      </w:r>
      <w:r w:rsidRPr="006E0160">
        <w:fldChar w:fldCharType="begin"/>
      </w:r>
      <w:r w:rsidR="00D4526D">
        <w:instrText xml:space="preserve"> ADDIN EN.CITE &lt;EndNote&gt;&lt;Cite&gt;&lt;Author&gt;WHO&lt;/Author&gt;&lt;Year&gt;2019&lt;/Year&gt;&lt;RecNum&gt;9213&lt;/RecNum&gt;&lt;DisplayText&gt;&lt;style size="10"&gt;[17]&lt;/style&gt;&lt;/DisplayText&gt;&lt;record&gt;&lt;rec-number&gt;9213&lt;/rec-number&gt;&lt;foreign-keys&gt;&lt;key app="EN" db-id="fw0prtesnvf55cepezbx255wwza5zw0ssatt" timestamp="1754851949" guid="68b1a9e3-a727-4198-96ad-c89d9e0d525e"&gt;9213&lt;/key&gt;&lt;/foreign-keys&gt;&lt;ref-type name="Web Page"&gt;12&lt;/ref-type&gt;&lt;contributors&gt;&lt;authors&gt;&lt;author&gt;&lt;style face="normal" font="default" charset="238" size="100%"&gt;WHO&lt;/style&gt;&lt;/author&gt;&lt;/authors&gt;&lt;secondary-authors&gt;&lt;author&gt;&lt;style face="normal" font="default" charset="238" size="100%"&gt;WHO&lt;/style&gt;&lt;/author&gt;&lt;/secondary-authors&gt;&lt;/contributors&gt;&lt;titles&gt;&lt;title&gt;The tobacco body&lt;/title&gt;&lt;/titles&gt;&lt;volume&gt;&lt;style face="normal" font="default" charset="238" size="100%"&gt;2025&lt;/style&gt;&lt;/volume&gt;&lt;number&gt;&lt;style face="normal" font="default" charset="238" size="100%"&gt;10th July&lt;/style&gt;&lt;/number&gt;&lt;dates&gt;&lt;year&gt;&lt;style face="normal" font="default" charset="238" size="100%"&gt;2019&lt;/style&gt;&lt;/year&gt;&lt;/dates&gt;&lt;pub-location&gt;&lt;style face="normal" font="default" charset="238" size="100%"&gt;online&lt;/style&gt;&lt;/pub-location&gt;&lt;urls&gt;&lt;related-urls&gt;&lt;url&gt;https://www.who.int/publications/i/item/WHO-NMH-PND-19.1&lt;/url&gt;&lt;/related-urls&gt;&lt;/urls&gt;&lt;/record&gt;&lt;/Cite&gt;&lt;/EndNote&gt;</w:instrText>
      </w:r>
      <w:r w:rsidRPr="006E0160">
        <w:fldChar w:fldCharType="separate"/>
      </w:r>
      <w:r w:rsidR="00D4526D" w:rsidRPr="00D4526D">
        <w:rPr>
          <w:noProof/>
          <w:sz w:val="20"/>
        </w:rPr>
        <w:t>[17]</w:t>
      </w:r>
      <w:r w:rsidRPr="006E0160">
        <w:fldChar w:fldCharType="end"/>
      </w:r>
    </w:p>
    <w:p w14:paraId="7EC15E6A" w14:textId="3896F1C5" w:rsidR="00CD3152" w:rsidRPr="006E0160" w:rsidRDefault="00CD3152" w:rsidP="00CD3152">
      <w:pPr>
        <w:ind w:firstLine="708"/>
        <w:jc w:val="both"/>
      </w:pPr>
      <w:r w:rsidRPr="006E0160">
        <w:t>Atât fumatul cât și consumul produselor de tutun fără fum cresc riscul de cancere ale capului și gâtului, inclusiv cancere ale buzelor, faringelui, laringelui și esofagului. Îndepărtarea chirurgicală a laringelui afectat de cancer poate duce la necesitatea realizării unei traheostomii. Radioterapia și chimioterapia pentru cancerul de gât au efecte extrem de nocive și debilitante, incluzând pierderea gustului, diminuarea secreției de salivă și creșterea mucusului în gât, ceea ce face alimentația dureroasă și uneori imposibilă.</w:t>
      </w:r>
      <w:r w:rsidRPr="006E0160">
        <w:fldChar w:fldCharType="begin"/>
      </w:r>
      <w:r w:rsidR="00D4526D">
        <w:instrText xml:space="preserve"> ADDIN EN.CITE &lt;EndNote&gt;&lt;Cite&gt;&lt;Author&gt;WHO&lt;/Author&gt;&lt;Year&gt;2019&lt;/Year&gt;&lt;RecNum&gt;9213&lt;/RecNum&gt;&lt;DisplayText&gt;&lt;style size="10"&gt;[17]&lt;/style&gt;&lt;/DisplayText&gt;&lt;record&gt;&lt;rec-number&gt;9213&lt;/rec-number&gt;&lt;foreign-keys&gt;&lt;key app="EN" db-id="fw0prtesnvf55cepezbx255wwza5zw0ssatt" timestamp="1754851949" guid="68b1a9e3-a727-4198-96ad-c89d9e0d525e"&gt;9213&lt;/key&gt;&lt;/foreign-keys&gt;&lt;ref-type name="Web Page"&gt;12&lt;/ref-type&gt;&lt;contributors&gt;&lt;authors&gt;&lt;author&gt;&lt;style face="normal" font="default" charset="238" size="100%"&gt;WHO&lt;/style&gt;&lt;/author&gt;&lt;/authors&gt;&lt;secondary-authors&gt;&lt;author&gt;&lt;style face="normal" font="default" charset="238" size="100%"&gt;WHO&lt;/style&gt;&lt;/author&gt;&lt;/secondary-authors&gt;&lt;/contributors&gt;&lt;titles&gt;&lt;title&gt;The tobacco body&lt;/title&gt;&lt;/titles&gt;&lt;volume&gt;&lt;style face="normal" font="default" charset="238" size="100%"&gt;2025&lt;/style&gt;&lt;/volume&gt;&lt;number&gt;&lt;style face="normal" font="default" charset="238" size="100%"&gt;10th July&lt;/style&gt;&lt;/number&gt;&lt;dates&gt;&lt;year&gt;&lt;style face="normal" font="default" charset="238" size="100%"&gt;2019&lt;/style&gt;&lt;/year&gt;&lt;/dates&gt;&lt;pub-location&gt;&lt;style face="normal" font="default" charset="238" size="100%"&gt;online&lt;/style&gt;&lt;/pub-location&gt;&lt;urls&gt;&lt;related-urls&gt;&lt;url&gt;https://www.who.int/publications/i/item/WHO-NMH-PND-19.1&lt;/url&gt;&lt;/related-urls&gt;&lt;/urls&gt;&lt;/record&gt;&lt;/Cite&gt;&lt;/EndNote&gt;</w:instrText>
      </w:r>
      <w:r w:rsidRPr="006E0160">
        <w:fldChar w:fldCharType="separate"/>
      </w:r>
      <w:r w:rsidR="00D4526D" w:rsidRPr="00D4526D">
        <w:rPr>
          <w:noProof/>
          <w:sz w:val="20"/>
        </w:rPr>
        <w:t>[17]</w:t>
      </w:r>
      <w:r w:rsidRPr="006E0160">
        <w:fldChar w:fldCharType="end"/>
      </w:r>
    </w:p>
    <w:p w14:paraId="5B500DE1" w14:textId="0DB50F21" w:rsidR="00CD3152" w:rsidRPr="006E0160" w:rsidRDefault="00CD3152" w:rsidP="00CD3152">
      <w:pPr>
        <w:ind w:firstLine="708"/>
        <w:jc w:val="both"/>
      </w:pPr>
      <w:r w:rsidRPr="006E0160">
        <w:t>Consumul de tutun este, de asemenea, cunoscut ca fiind cauza a peste 10 alte tipuri de cancer. La fiecare fum de țigară, toxinele și substanțele carcinogene pătrund în organism. Dintre numeroasele substanțe chimice din fumul de tutun, cel puțin 70 sunt recunoscute ca fiind cancerigene. Fumătorii prezintă un risc semnificativ mai mare de a dezvolta leucemie mieloidă acută; cancer al cavităților nazale și al sinusurilor paranazale; cancer colorectal, renal, hepatic, pancreatic, gastric sau ovarian; precum și cancer al tractului urinar inferior (inclusiv vezica urinară, ureterele și bazinetul renal). Studii recente au demonstrat o legătură între fumat și un risc crescut de cancer mamar, în special în rândul fumătorilor înrăiți și al femeilor care încep să fumeze înainte de prima sarcină. Este cunoscut, de asemenea, faptul că fumatul crește riscul de cancer de col uterin la femeile infectate cu virusul papilloma uman (HPV).</w:t>
      </w:r>
      <w:r w:rsidRPr="006E0160">
        <w:fldChar w:fldCharType="begin"/>
      </w:r>
      <w:r w:rsidR="00D4526D">
        <w:instrText xml:space="preserve"> ADDIN EN.CITE &lt;EndNote&gt;&lt;Cite&gt;&lt;Author&gt;WHO&lt;/Author&gt;&lt;Year&gt;2019&lt;/Year&gt;&lt;RecNum&gt;9213&lt;/RecNum&gt;&lt;DisplayText&gt;&lt;style size="10"&gt;[17]&lt;/style&gt;&lt;/DisplayText&gt;&lt;record&gt;&lt;rec-number&gt;9213&lt;/rec-number&gt;&lt;foreign-keys&gt;&lt;key app="EN" db-id="fw0prtesnvf55cepezbx255wwza5zw0ssatt" timestamp="1754851949" guid="68b1a9e3-a727-4198-96ad-c89d9e0d525e"&gt;9213&lt;/key&gt;&lt;/foreign-keys&gt;&lt;ref-type name="Web Page"&gt;12&lt;/ref-type&gt;&lt;contributors&gt;&lt;authors&gt;&lt;author&gt;&lt;style face="normal" font="default" charset="238" size="100%"&gt;WHO&lt;/style&gt;&lt;/author&gt;&lt;/authors&gt;&lt;secondary-authors&gt;&lt;author&gt;&lt;style face="normal" font="default" charset="238" size="100%"&gt;WHO&lt;/style&gt;&lt;/author&gt;&lt;/secondary-authors&gt;&lt;/contributors&gt;&lt;titles&gt;&lt;title&gt;The tobacco body&lt;/title&gt;&lt;/titles&gt;&lt;volume&gt;&lt;style face="normal" font="default" charset="238" size="100%"&gt;2025&lt;/style&gt;&lt;/volume&gt;&lt;number&gt;&lt;style face="normal" font="default" charset="238" size="100%"&gt;10th July&lt;/style&gt;&lt;/number&gt;&lt;dates&gt;&lt;year&gt;&lt;style face="normal" font="default" charset="238" size="100%"&gt;2019&lt;/style&gt;&lt;/year&gt;&lt;/dates&gt;&lt;pub-location&gt;&lt;style face="normal" font="default" charset="238" size="100%"&gt;online&lt;/style&gt;&lt;/pub-location&gt;&lt;urls&gt;&lt;related-urls&gt;&lt;url&gt;https://www.who.int/publications/i/item/WHO-NMH-PND-19.1&lt;/url&gt;&lt;/related-urls&gt;&lt;/urls&gt;&lt;/record&gt;&lt;/Cite&gt;&lt;/EndNote&gt;</w:instrText>
      </w:r>
      <w:r w:rsidRPr="006E0160">
        <w:fldChar w:fldCharType="separate"/>
      </w:r>
      <w:r w:rsidR="00D4526D" w:rsidRPr="00D4526D">
        <w:rPr>
          <w:noProof/>
          <w:sz w:val="20"/>
        </w:rPr>
        <w:t>[17]</w:t>
      </w:r>
      <w:r w:rsidRPr="006E0160">
        <w:fldChar w:fldCharType="end"/>
      </w:r>
    </w:p>
    <w:p w14:paraId="293156DE" w14:textId="77777777" w:rsidR="00CD3152" w:rsidRPr="006E0160" w:rsidRDefault="00CD3152" w:rsidP="00CD3152">
      <w:pPr>
        <w:ind w:firstLine="708"/>
        <w:jc w:val="both"/>
      </w:pPr>
      <w:r w:rsidRPr="006E0160">
        <w:t xml:space="preserve">Riscul acestor cancere crește în mod obișnuit odată cu intensitatea și durata fumatului, din cauza expunerii continue la toxine și agenți cancerigeni. </w:t>
      </w:r>
    </w:p>
    <w:p w14:paraId="64DE4C3A" w14:textId="61C0A146" w:rsidR="00CD3152" w:rsidRPr="006E0160" w:rsidRDefault="00CD3152" w:rsidP="00CD3152">
      <w:pPr>
        <w:ind w:firstLine="708"/>
        <w:jc w:val="both"/>
      </w:pPr>
      <w:r w:rsidRPr="006E0160">
        <w:t xml:space="preserve">Produsele de tutun fără fum conțin 28 de substanțe carcinogene, care </w:t>
      </w:r>
      <w:r>
        <w:t xml:space="preserve">pot </w:t>
      </w:r>
      <w:r w:rsidRPr="006E0160">
        <w:t>provo</w:t>
      </w:r>
      <w:r>
        <w:t>ca</w:t>
      </w:r>
      <w:r w:rsidRPr="006E0160">
        <w:t xml:space="preserve"> cancer al cavității bucale, al esofagului și al pancreasului. </w:t>
      </w:r>
      <w:r w:rsidRPr="006E0160">
        <w:fldChar w:fldCharType="begin"/>
      </w:r>
      <w:r w:rsidR="00D4526D">
        <w:instrText xml:space="preserve"> ADDIN EN.CITE &lt;EndNote&gt;&lt;Cite&gt;&lt;Author&gt;WHO&lt;/Author&gt;&lt;Year&gt;2019&lt;/Year&gt;&lt;RecNum&gt;9213&lt;/RecNum&gt;&lt;DisplayText&gt;&lt;style size="10"&gt;[17]&lt;/style&gt;&lt;/DisplayText&gt;&lt;record&gt;&lt;rec-number&gt;9213&lt;/rec-number&gt;&lt;foreign-keys&gt;&lt;key app="EN" db-id="fw0prtesnvf55cepezbx255wwza5zw0ssatt" timestamp="1754851949" guid="68b1a9e3-a727-4198-96ad-c89d9e0d525e"&gt;9213&lt;/key&gt;&lt;/foreign-keys&gt;&lt;ref-type name="Web Page"&gt;12&lt;/ref-type&gt;&lt;contributors&gt;&lt;authors&gt;&lt;author&gt;&lt;style face="normal" font="default" charset="238" size="100%"&gt;WHO&lt;/style&gt;&lt;/author&gt;&lt;/authors&gt;&lt;secondary-authors&gt;&lt;author&gt;&lt;style face="normal" font="default" charset="238" size="100%"&gt;WHO&lt;/style&gt;&lt;/author&gt;&lt;/secondary-authors&gt;&lt;/contributors&gt;&lt;titles&gt;&lt;title&gt;The tobacco body&lt;/title&gt;&lt;/titles&gt;&lt;volume&gt;&lt;style face="normal" font="default" charset="238" size="100%"&gt;2025&lt;/style&gt;&lt;/volume&gt;&lt;number&gt;&lt;style face="normal" font="default" charset="238" size="100%"&gt;10th July&lt;/style&gt;&lt;/number&gt;&lt;dates&gt;&lt;year&gt;&lt;style face="normal" font="default" charset="238" size="100%"&gt;2019&lt;/style&gt;&lt;/year&gt;&lt;/dates&gt;&lt;pub-location&gt;&lt;style face="normal" font="default" charset="238" size="100%"&gt;online&lt;/style&gt;&lt;/pub-location&gt;&lt;urls&gt;&lt;related-urls&gt;&lt;url&gt;https://www.who.int/publications/i/item/WHO-NMH-PND-19.1&lt;/url&gt;&lt;/related-urls&gt;&lt;/urls&gt;&lt;/record&gt;&lt;/Cite&gt;&lt;/EndNote&gt;</w:instrText>
      </w:r>
      <w:r w:rsidRPr="006E0160">
        <w:fldChar w:fldCharType="separate"/>
      </w:r>
      <w:r w:rsidR="00D4526D" w:rsidRPr="00D4526D">
        <w:rPr>
          <w:noProof/>
          <w:sz w:val="20"/>
        </w:rPr>
        <w:t>[17]</w:t>
      </w:r>
      <w:r w:rsidRPr="006E0160">
        <w:fldChar w:fldCharType="end"/>
      </w:r>
    </w:p>
    <w:p w14:paraId="3F1F3525" w14:textId="57B1B4F4" w:rsidR="00CD3152" w:rsidRPr="006E0160" w:rsidRDefault="00CD3152" w:rsidP="00CD3152">
      <w:pPr>
        <w:ind w:firstLine="708"/>
        <w:jc w:val="both"/>
      </w:pPr>
      <w:r w:rsidRPr="006E0160">
        <w:lastRenderedPageBreak/>
        <w:t>Continuarea consumului de tutun după un diagnostic de cancer agravează prognosticul bolii, deoarece toxinele din fumul de tutun pot modifica biologia celulară (ceea ce poate duce la recidiva tumorii), pot interfera cu acțiunea medicamentelor antineoplazice și pot crește complicațiile asociate tratamentului.</w:t>
      </w:r>
      <w:r w:rsidRPr="006E0160">
        <w:fldChar w:fldCharType="begin"/>
      </w:r>
      <w:r w:rsidR="00D4526D">
        <w:instrText xml:space="preserve"> ADDIN EN.CITE &lt;EndNote&gt;&lt;Cite&gt;&lt;Author&gt;WHO&lt;/Author&gt;&lt;Year&gt;2019&lt;/Year&gt;&lt;RecNum&gt;9213&lt;/RecNum&gt;&lt;DisplayText&gt;&lt;style size="10"&gt;[17]&lt;/style&gt;&lt;/DisplayText&gt;&lt;record&gt;&lt;rec-number&gt;9213&lt;/rec-number&gt;&lt;foreign-keys&gt;&lt;key app="EN" db-id="fw0prtesnvf55cepezbx255wwza5zw0ssatt" timestamp="1754851949" guid="68b1a9e3-a727-4198-96ad-c89d9e0d525e"&gt;9213&lt;/key&gt;&lt;/foreign-keys&gt;&lt;ref-type name="Web Page"&gt;12&lt;/ref-type&gt;&lt;contributors&gt;&lt;authors&gt;&lt;author&gt;&lt;style face="normal" font="default" charset="238" size="100%"&gt;WHO&lt;/style&gt;&lt;/author&gt;&lt;/authors&gt;&lt;secondary-authors&gt;&lt;author&gt;&lt;style face="normal" font="default" charset="238" size="100%"&gt;WHO&lt;/style&gt;&lt;/author&gt;&lt;/secondary-authors&gt;&lt;/contributors&gt;&lt;titles&gt;&lt;title&gt;The tobacco body&lt;/title&gt;&lt;/titles&gt;&lt;volume&gt;&lt;style face="normal" font="default" charset="238" size="100%"&gt;2025&lt;/style&gt;&lt;/volume&gt;&lt;number&gt;&lt;style face="normal" font="default" charset="238" size="100%"&gt;10th July&lt;/style&gt;&lt;/number&gt;&lt;dates&gt;&lt;year&gt;&lt;style face="normal" font="default" charset="238" size="100%"&gt;2019&lt;/style&gt;&lt;/year&gt;&lt;/dates&gt;&lt;pub-location&gt;&lt;style face="normal" font="default" charset="238" size="100%"&gt;online&lt;/style&gt;&lt;/pub-location&gt;&lt;urls&gt;&lt;related-urls&gt;&lt;url&gt;https://www.who.int/publications/i/item/WHO-NMH-PND-19.1&lt;/url&gt;&lt;/related-urls&gt;&lt;/urls&gt;&lt;/record&gt;&lt;/Cite&gt;&lt;/EndNote&gt;</w:instrText>
      </w:r>
      <w:r w:rsidRPr="006E0160">
        <w:fldChar w:fldCharType="separate"/>
      </w:r>
      <w:r w:rsidR="00D4526D" w:rsidRPr="00D4526D">
        <w:rPr>
          <w:noProof/>
          <w:sz w:val="20"/>
        </w:rPr>
        <w:t>[17]</w:t>
      </w:r>
      <w:r w:rsidRPr="006E0160">
        <w:fldChar w:fldCharType="end"/>
      </w:r>
    </w:p>
    <w:p w14:paraId="2B46B1BF" w14:textId="77777777" w:rsidR="00CD3152" w:rsidRPr="006E0160" w:rsidRDefault="00CD3152" w:rsidP="00CD3152">
      <w:pPr>
        <w:ind w:firstLine="708"/>
        <w:jc w:val="both"/>
        <w:rPr>
          <w:b/>
          <w:bCs/>
          <w:i/>
          <w:iCs/>
        </w:rPr>
      </w:pPr>
      <w:r w:rsidRPr="006E0160">
        <w:rPr>
          <w:b/>
          <w:bCs/>
          <w:i/>
          <w:iCs/>
        </w:rPr>
        <w:t>Efecte asupra aparatului digestiv</w:t>
      </w:r>
    </w:p>
    <w:p w14:paraId="521DB60A" w14:textId="5319983A" w:rsidR="00CD3152" w:rsidRPr="006E0160" w:rsidRDefault="00CD3152" w:rsidP="00CD3152">
      <w:pPr>
        <w:ind w:firstLine="708"/>
        <w:jc w:val="both"/>
      </w:pPr>
      <w:r w:rsidRPr="006E0160">
        <w:t>Fumătorii sunt predispuși la tulburări gastrointestinale, precum ulcer gastric, boli inflamatorii intestinale (de exemplu, boala Crohn) și cancere ale tractului gastrointestinal. Boala inflamatorie intestinală este frecvent asociată cu crampe abdominale, diaree persistentă, febră și sângerări rectale.</w:t>
      </w:r>
      <w:r w:rsidRPr="006E0160">
        <w:fldChar w:fldCharType="begin"/>
      </w:r>
      <w:r w:rsidR="00D4526D">
        <w:instrText xml:space="preserve"> ADDIN EN.CITE &lt;EndNote&gt;&lt;Cite&gt;&lt;Author&gt;WHO&lt;/Author&gt;&lt;Year&gt;2019&lt;/Year&gt;&lt;RecNum&gt;9213&lt;/RecNum&gt;&lt;DisplayText&gt;&lt;style size="10"&gt;[17]&lt;/style&gt;&lt;/DisplayText&gt;&lt;record&gt;&lt;rec-number&gt;9213&lt;/rec-number&gt;&lt;foreign-keys&gt;&lt;key app="EN" db-id="fw0prtesnvf55cepezbx255wwza5zw0ssatt" timestamp="1754851949" guid="68b1a9e3-a727-4198-96ad-c89d9e0d525e"&gt;9213&lt;/key&gt;&lt;/foreign-keys&gt;&lt;ref-type name="Web Page"&gt;12&lt;/ref-type&gt;&lt;contributors&gt;&lt;authors&gt;&lt;author&gt;&lt;style face="normal" font="default" charset="238" size="100%"&gt;WHO&lt;/style&gt;&lt;/author&gt;&lt;/authors&gt;&lt;secondary-authors&gt;&lt;author&gt;&lt;style face="normal" font="default" charset="238" size="100%"&gt;WHO&lt;/style&gt;&lt;/author&gt;&lt;/secondary-authors&gt;&lt;/contributors&gt;&lt;titles&gt;&lt;title&gt;The tobacco body&lt;/title&gt;&lt;/titles&gt;&lt;volume&gt;&lt;style face="normal" font="default" charset="238" size="100%"&gt;2025&lt;/style&gt;&lt;/volume&gt;&lt;number&gt;&lt;style face="normal" font="default" charset="238" size="100%"&gt;10th July&lt;/style&gt;&lt;/number&gt;&lt;dates&gt;&lt;year&gt;&lt;style face="normal" font="default" charset="238" size="100%"&gt;2019&lt;/style&gt;&lt;/year&gt;&lt;/dates&gt;&lt;pub-location&gt;&lt;style face="normal" font="default" charset="238" size="100%"&gt;online&lt;/style&gt;&lt;/pub-location&gt;&lt;urls&gt;&lt;related-urls&gt;&lt;url&gt;https://www.who.int/publications/i/item/WHO-NMH-PND-19.1&lt;/url&gt;&lt;/related-urls&gt;&lt;/urls&gt;&lt;/record&gt;&lt;/Cite&gt;&lt;/EndNote&gt;</w:instrText>
      </w:r>
      <w:r w:rsidRPr="006E0160">
        <w:fldChar w:fldCharType="separate"/>
      </w:r>
      <w:r w:rsidR="00D4526D" w:rsidRPr="00D4526D">
        <w:rPr>
          <w:noProof/>
          <w:sz w:val="20"/>
        </w:rPr>
        <w:t>[17]</w:t>
      </w:r>
      <w:r w:rsidRPr="006E0160">
        <w:fldChar w:fldCharType="end"/>
      </w:r>
    </w:p>
    <w:p w14:paraId="58DD8CAD" w14:textId="77777777" w:rsidR="00CD3152" w:rsidRPr="006E0160" w:rsidRDefault="00CD3152" w:rsidP="00CD3152">
      <w:pPr>
        <w:ind w:firstLine="708"/>
        <w:jc w:val="both"/>
        <w:rPr>
          <w:b/>
          <w:bCs/>
          <w:i/>
          <w:iCs/>
        </w:rPr>
      </w:pPr>
      <w:r w:rsidRPr="006E0160">
        <w:rPr>
          <w:b/>
          <w:bCs/>
          <w:i/>
          <w:iCs/>
        </w:rPr>
        <w:t>Efecte asupra sistemului imunitar</w:t>
      </w:r>
    </w:p>
    <w:p w14:paraId="466AAA08" w14:textId="7021A0DA" w:rsidR="00CD3152" w:rsidRPr="006E0160" w:rsidRDefault="00CD3152" w:rsidP="00CD3152">
      <w:pPr>
        <w:ind w:firstLine="708"/>
        <w:jc w:val="both"/>
      </w:pPr>
      <w:r w:rsidRPr="006E0160">
        <w:t>Substanțele conținute în fumul de tutun slăbesc sistemul imunitar, expunând fumătorii la un risc sporit de infecții pulmonare. În plus, fumătorii cu o predispoziție genetică la afecțiuni autoimune prezintă un risc crescut pentru mai multe boli, inclusiv poliartrită reumatoidă, boala Crohn, meningită bacteriană, infecții post-operatorii și cancere. Fumatul îi expune, de asemenea, pe indivizii imunocompromiși – cum ar fi cei care suferă de fibroză chistică, scleroză multiplă sau cancer – la un risc mai mare de complicații ale bolii de bază și de deces prematur. Efectele imunosupresoare ale tutunului cresc riscul persoanelor care trăiesc cu HIV de a dezvolta SIDA. În rândul fumătorilor seropozitivi HIV, speranța de viață este redusă în medie cu 12,3 ani, adică de peste două ori mai mult decât scăderea speranței de viață la persoanele seropozitive care nu fumează.</w:t>
      </w:r>
      <w:r w:rsidRPr="006E0160">
        <w:fldChar w:fldCharType="begin"/>
      </w:r>
      <w:r w:rsidR="00D4526D">
        <w:instrText xml:space="preserve"> ADDIN EN.CITE &lt;EndNote&gt;&lt;Cite&gt;&lt;Author&gt;WHO&lt;/Author&gt;&lt;Year&gt;2019&lt;/Year&gt;&lt;RecNum&gt;9213&lt;/RecNum&gt;&lt;DisplayText&gt;&lt;style size="10"&gt;[17]&lt;/style&gt;&lt;/DisplayText&gt;&lt;record&gt;&lt;rec-number&gt;9213&lt;/rec-number&gt;&lt;foreign-keys&gt;&lt;key app="EN" db-id="fw0prtesnvf55cepezbx255wwza5zw0ssatt" timestamp="1754851949" guid="68b1a9e3-a727-4198-96ad-c89d9e0d525e"&gt;9213&lt;/key&gt;&lt;/foreign-keys&gt;&lt;ref-type name="Web Page"&gt;12&lt;/ref-type&gt;&lt;contributors&gt;&lt;authors&gt;&lt;author&gt;&lt;style face="normal" font="default" charset="238" size="100%"&gt;WHO&lt;/style&gt;&lt;/author&gt;&lt;/authors&gt;&lt;secondary-authors&gt;&lt;author&gt;&lt;style face="normal" font="default" charset="238" size="100%"&gt;WHO&lt;/style&gt;&lt;/author&gt;&lt;/secondary-authors&gt;&lt;/contributors&gt;&lt;titles&gt;&lt;title&gt;The tobacco body&lt;/title&gt;&lt;/titles&gt;&lt;volume&gt;&lt;style face="normal" font="default" charset="238" size="100%"&gt;2025&lt;/style&gt;&lt;/volume&gt;&lt;number&gt;&lt;style face="normal" font="default" charset="238" size="100%"&gt;10th July&lt;/style&gt;&lt;/number&gt;&lt;dates&gt;&lt;year&gt;&lt;style face="normal" font="default" charset="238" size="100%"&gt;2019&lt;/style&gt;&lt;/year&gt;&lt;/dates&gt;&lt;pub-location&gt;&lt;style face="normal" font="default" charset="238" size="100%"&gt;online&lt;/style&gt;&lt;/pub-location&gt;&lt;urls&gt;&lt;related-urls&gt;&lt;url&gt;https://www.who.int/publications/i/item/WHO-NMH-PND-19.1&lt;/url&gt;&lt;/related-urls&gt;&lt;/urls&gt;&lt;/record&gt;&lt;/Cite&gt;&lt;/EndNote&gt;</w:instrText>
      </w:r>
      <w:r w:rsidRPr="006E0160">
        <w:fldChar w:fldCharType="separate"/>
      </w:r>
      <w:r w:rsidR="00D4526D" w:rsidRPr="00D4526D">
        <w:rPr>
          <w:noProof/>
          <w:sz w:val="20"/>
        </w:rPr>
        <w:t>[17]</w:t>
      </w:r>
      <w:r w:rsidRPr="006E0160">
        <w:fldChar w:fldCharType="end"/>
      </w:r>
    </w:p>
    <w:p w14:paraId="0509BEF0" w14:textId="77777777" w:rsidR="00CD3152" w:rsidRPr="006E0160" w:rsidRDefault="00CD3152" w:rsidP="00CD3152">
      <w:pPr>
        <w:ind w:firstLine="708"/>
        <w:jc w:val="both"/>
        <w:rPr>
          <w:b/>
          <w:bCs/>
          <w:i/>
          <w:iCs/>
        </w:rPr>
      </w:pPr>
      <w:r w:rsidRPr="006E0160">
        <w:rPr>
          <w:b/>
          <w:bCs/>
          <w:i/>
          <w:iCs/>
        </w:rPr>
        <w:t>Risc crescut pentru Diabet zaharat tip 2</w:t>
      </w:r>
    </w:p>
    <w:p w14:paraId="61EEC258" w14:textId="70A50E05" w:rsidR="00CD3152" w:rsidRPr="006E0160" w:rsidRDefault="00CD3152" w:rsidP="00CD3152">
      <w:pPr>
        <w:ind w:firstLine="708"/>
        <w:jc w:val="both"/>
      </w:pPr>
      <w:r w:rsidRPr="006E0160">
        <w:t>Riscul de a dezvolta diabet de tip 2 este mai ridicat la fumători, risc care crește odată cu numărul de țigări fumate pe zi. Expunerea la fumul de țigară (fumatul pasiv) este asociată, de asemenea, cu un risc crescut de diabet de tip 2</w:t>
      </w:r>
      <w:r>
        <w:fldChar w:fldCharType="begin"/>
      </w:r>
      <w:r w:rsidR="00D4526D">
        <w:instrText xml:space="preserve"> ADDIN EN.CITE &lt;EndNote&gt;&lt;Cite&gt;&lt;Author&gt;WHO&lt;/Author&gt;&lt;Year&gt;2019&lt;/Year&gt;&lt;RecNum&gt;9213&lt;/RecNum&gt;&lt;DisplayText&gt;&lt;style size="10"&gt;[17]&lt;/style&gt;&lt;/DisplayText&gt;&lt;record&gt;&lt;rec-number&gt;9213&lt;/rec-number&gt;&lt;foreign-keys&gt;&lt;key app="EN" db-id="fw0prtesnvf55cepezbx255wwza5zw0ssatt" timestamp="1754851949" guid="68b1a9e3-a727-4198-96ad-c89d9e0d525e"&gt;9213&lt;/key&gt;&lt;/foreign-keys&gt;&lt;ref-type name="Web Page"&gt;12&lt;/ref-type&gt;&lt;contributors&gt;&lt;authors&gt;&lt;author&gt;&lt;style face="normal" font="default" charset="238" size="100%"&gt;WHO&lt;/style&gt;&lt;/author&gt;&lt;/authors&gt;&lt;secondary-authors&gt;&lt;author&gt;&lt;style face="normal" font="default" charset="238" size="100%"&gt;WHO&lt;/style&gt;&lt;/author&gt;&lt;/secondary-authors&gt;&lt;/contributors&gt;&lt;titles&gt;&lt;title&gt;The tobacco body&lt;/title&gt;&lt;/titles&gt;&lt;volume&gt;&lt;style face="normal" font="default" charset="238" size="100%"&gt;2025&lt;/style&gt;&lt;/volume&gt;&lt;number&gt;&lt;style face="normal" font="default" charset="238" size="100%"&gt;10th July&lt;/style&gt;&lt;/number&gt;&lt;dates&gt;&lt;year&gt;&lt;style face="normal" font="default" charset="238" size="100%"&gt;2019&lt;/style&gt;&lt;/year&gt;&lt;/dates&gt;&lt;pub-location&gt;&lt;style face="normal" font="default" charset="238" size="100%"&gt;online&lt;/style&gt;&lt;/pub-location&gt;&lt;urls&gt;&lt;related-urls&gt;&lt;url&gt;https://www.who.int/publications/i/item/WHO-NMH-PND-19.1&lt;/url&gt;&lt;/related-urls&gt;&lt;/urls&gt;&lt;/record&gt;&lt;/Cite&gt;&lt;/EndNote&gt;</w:instrText>
      </w:r>
      <w:r>
        <w:fldChar w:fldCharType="separate"/>
      </w:r>
      <w:r w:rsidR="00D4526D" w:rsidRPr="00D4526D">
        <w:rPr>
          <w:noProof/>
          <w:sz w:val="20"/>
        </w:rPr>
        <w:t>[17]</w:t>
      </w:r>
      <w:r>
        <w:fldChar w:fldCharType="end"/>
      </w:r>
      <w:r w:rsidRPr="006E0160">
        <w:t>.</w:t>
      </w:r>
    </w:p>
    <w:p w14:paraId="1FA29CE9" w14:textId="77777777" w:rsidR="00CD3152" w:rsidRPr="006E0160" w:rsidRDefault="00CD3152" w:rsidP="00CD3152">
      <w:pPr>
        <w:ind w:firstLine="708"/>
        <w:jc w:val="both"/>
        <w:rPr>
          <w:b/>
          <w:bCs/>
          <w:i/>
          <w:iCs/>
        </w:rPr>
      </w:pPr>
      <w:r w:rsidRPr="006E0160">
        <w:rPr>
          <w:b/>
          <w:bCs/>
          <w:i/>
          <w:iCs/>
        </w:rPr>
        <w:t>Risc crescut pentru demență</w:t>
      </w:r>
    </w:p>
    <w:p w14:paraId="3C6A628C" w14:textId="5BB3C231" w:rsidR="00CD3152" w:rsidRPr="006E0160" w:rsidRDefault="00CD3152" w:rsidP="00CD3152">
      <w:pPr>
        <w:ind w:firstLine="708"/>
        <w:jc w:val="both"/>
      </w:pPr>
      <w:r w:rsidRPr="006E0160">
        <w:t>Fumatul este un factor de risc pentru demențe, un grup de tulburări care duc la declin mintal și pentru care în prezent nu există tratament eficient sau remediu. Boala Alzheimer este cea mai comună formă de demență</w:t>
      </w:r>
      <w:r>
        <w:t xml:space="preserve"> și se </w:t>
      </w:r>
      <w:r w:rsidRPr="006E0160">
        <w:t>estimează că 14% din cazurile de Alzheimer la nivel global pot fi atribuite fumatului</w:t>
      </w:r>
      <w:r>
        <w:fldChar w:fldCharType="begin"/>
      </w:r>
      <w:r w:rsidR="00D4526D">
        <w:instrText xml:space="preserve"> ADDIN EN.CITE &lt;EndNote&gt;&lt;Cite&gt;&lt;Author&gt;WHO&lt;/Author&gt;&lt;Year&gt;2019&lt;/Year&gt;&lt;RecNum&gt;9213&lt;/RecNum&gt;&lt;DisplayText&gt;&lt;style size="10"&gt;[17]&lt;/style&gt;&lt;/DisplayText&gt;&lt;record&gt;&lt;rec-number&gt;9213&lt;/rec-number&gt;&lt;foreign-keys&gt;&lt;key app="EN" db-id="fw0prtesnvf55cepezbx255wwza5zw0ssatt" timestamp="1754851949" guid="68b1a9e3-a727-4198-96ad-c89d9e0d525e"&gt;9213&lt;/key&gt;&lt;/foreign-keys&gt;&lt;ref-type name="Web Page"&gt;12&lt;/ref-type&gt;&lt;contributors&gt;&lt;authors&gt;&lt;author&gt;&lt;style face="normal" font="default" charset="238" size="100%"&gt;WHO&lt;/style&gt;&lt;/author&gt;&lt;/authors&gt;&lt;secondary-authors&gt;&lt;author&gt;&lt;style face="normal" font="default" charset="238" size="100%"&gt;WHO&lt;/style&gt;&lt;/author&gt;&lt;/secondary-authors&gt;&lt;/contributors&gt;&lt;titles&gt;&lt;title&gt;The tobacco body&lt;/title&gt;&lt;/titles&gt;&lt;volume&gt;&lt;style face="normal" font="default" charset="238" size="100%"&gt;2025&lt;/style&gt;&lt;/volume&gt;&lt;number&gt;&lt;style face="normal" font="default" charset="238" size="100%"&gt;10th July&lt;/style&gt;&lt;/number&gt;&lt;dates&gt;&lt;year&gt;&lt;style face="normal" font="default" charset="238" size="100%"&gt;2019&lt;/style&gt;&lt;/year&gt;&lt;/dates&gt;&lt;pub-location&gt;&lt;style face="normal" font="default" charset="238" size="100%"&gt;online&lt;/style&gt;&lt;/pub-location&gt;&lt;urls&gt;&lt;related-urls&gt;&lt;url&gt;https://www.who.int/publications/i/item/WHO-NMH-PND-19.1&lt;/url&gt;&lt;/related-urls&gt;&lt;/urls&gt;&lt;/record&gt;&lt;/Cite&gt;&lt;/EndNote&gt;</w:instrText>
      </w:r>
      <w:r>
        <w:fldChar w:fldCharType="separate"/>
      </w:r>
      <w:r w:rsidR="00D4526D" w:rsidRPr="00D4526D">
        <w:rPr>
          <w:noProof/>
          <w:sz w:val="20"/>
        </w:rPr>
        <w:t>[17]</w:t>
      </w:r>
      <w:r>
        <w:fldChar w:fldCharType="end"/>
      </w:r>
      <w:r w:rsidRPr="006E0160">
        <w:t>.</w:t>
      </w:r>
    </w:p>
    <w:p w14:paraId="58536EC6" w14:textId="77777777" w:rsidR="00CD3152" w:rsidRPr="006E0160" w:rsidRDefault="00CD3152" w:rsidP="00CD3152">
      <w:pPr>
        <w:ind w:firstLine="708"/>
        <w:jc w:val="both"/>
        <w:rPr>
          <w:b/>
          <w:bCs/>
          <w:i/>
          <w:iCs/>
        </w:rPr>
      </w:pPr>
      <w:r w:rsidRPr="006E0160">
        <w:rPr>
          <w:b/>
          <w:bCs/>
          <w:i/>
          <w:iCs/>
        </w:rPr>
        <w:t>Sănătatea reproductivă și prenatală</w:t>
      </w:r>
    </w:p>
    <w:p w14:paraId="13CD7A93" w14:textId="77777777" w:rsidR="00CD3152" w:rsidRPr="006E0160" w:rsidRDefault="00CD3152" w:rsidP="00CD3152">
      <w:pPr>
        <w:ind w:firstLine="708"/>
        <w:jc w:val="both"/>
      </w:pPr>
      <w:r w:rsidRPr="006E0160">
        <w:t xml:space="preserve">Orice formă de consum de tutun sau expunere la tutun în timpul sarcinii poate fi dăunătoare dezvoltării copilului. </w:t>
      </w:r>
    </w:p>
    <w:p w14:paraId="4CE4084F" w14:textId="77777777" w:rsidR="00CD3152" w:rsidRPr="006E0160" w:rsidRDefault="00CD3152" w:rsidP="00CD3152">
      <w:pPr>
        <w:ind w:firstLine="708"/>
        <w:jc w:val="both"/>
      </w:pPr>
      <w:r w:rsidRPr="006E0160">
        <w:t xml:space="preserve">Bebelușii născuți din femei care fumează, care folosesc tutun fără fum sau care sunt expuse la fumul de țigară în timpul sarcinii prezintă un risc mai mare de naștere prematură și de greutate mică la naștere. </w:t>
      </w:r>
    </w:p>
    <w:p w14:paraId="631F8D4C" w14:textId="2E0B6144" w:rsidR="00CD3152" w:rsidRPr="006E0160" w:rsidRDefault="00CD3152" w:rsidP="00CD3152">
      <w:pPr>
        <w:ind w:firstLine="708"/>
        <w:jc w:val="both"/>
      </w:pPr>
      <w:r w:rsidRPr="006E0160">
        <w:t>Fumatul în timpul sarcinii este asociat cu greutate mică la naștere, naștere prematură, deces fetal neonatal și creșterea riscului de sindrom de moarte subită a sugarului. Copiii născuți prematur și cu greutate mică pot suferi complicații de sănătate pe parcursul întregii vieți, inclusiv un risc crescut de a dezvolta boli cronice la vârsta adultă.</w:t>
      </w:r>
      <w:r w:rsidRPr="006E0160">
        <w:fldChar w:fldCharType="begin"/>
      </w:r>
      <w:r w:rsidR="00D4526D">
        <w:instrText xml:space="preserve"> ADDIN EN.CITE &lt;EndNote&gt;&lt;Cite&gt;&lt;Author&gt;WHO&lt;/Author&gt;&lt;Year&gt;2019&lt;/Year&gt;&lt;RecNum&gt;9213&lt;/RecNum&gt;&lt;DisplayText&gt;&lt;style size="10"&gt;[17]&lt;/style&gt;&lt;/DisplayText&gt;&lt;record&gt;&lt;rec-number&gt;9213&lt;/rec-number&gt;&lt;foreign-keys&gt;&lt;key app="EN" db-id="fw0prtesnvf55cepezbx255wwza5zw0ssatt" timestamp="1754851949" guid="68b1a9e3-a727-4198-96ad-c89d9e0d525e"&gt;9213&lt;/key&gt;&lt;/foreign-keys&gt;&lt;ref-type name="Web Page"&gt;12&lt;/ref-type&gt;&lt;contributors&gt;&lt;authors&gt;&lt;author&gt;&lt;style face="normal" font="default" charset="238" size="100%"&gt;WHO&lt;/style&gt;&lt;/author&gt;&lt;/authors&gt;&lt;secondary-authors&gt;&lt;author&gt;&lt;style face="normal" font="default" charset="238" size="100%"&gt;WHO&lt;/style&gt;&lt;/author&gt;&lt;/secondary-authors&gt;&lt;/contributors&gt;&lt;titles&gt;&lt;title&gt;The tobacco body&lt;/title&gt;&lt;/titles&gt;&lt;volume&gt;&lt;style face="normal" font="default" charset="238" size="100%"&gt;2025&lt;/style&gt;&lt;/volume&gt;&lt;number&gt;&lt;style face="normal" font="default" charset="238" size="100%"&gt;10th July&lt;/style&gt;&lt;/number&gt;&lt;dates&gt;&lt;year&gt;&lt;style face="normal" font="default" charset="238" size="100%"&gt;2019&lt;/style&gt;&lt;/year&gt;&lt;/dates&gt;&lt;pub-location&gt;&lt;style face="normal" font="default" charset="238" size="100%"&gt;online&lt;/style&gt;&lt;/pub-location&gt;&lt;urls&gt;&lt;related-urls&gt;&lt;url&gt;https://www.who.int/publications/i/item/WHO-NMH-PND-19.1&lt;/url&gt;&lt;/related-urls&gt;&lt;/urls&gt;&lt;/record&gt;&lt;/Cite&gt;&lt;/EndNote&gt;</w:instrText>
      </w:r>
      <w:r w:rsidRPr="006E0160">
        <w:fldChar w:fldCharType="separate"/>
      </w:r>
      <w:r w:rsidR="00D4526D" w:rsidRPr="00D4526D">
        <w:rPr>
          <w:noProof/>
          <w:sz w:val="20"/>
        </w:rPr>
        <w:t>[17]</w:t>
      </w:r>
      <w:r w:rsidRPr="006E0160">
        <w:fldChar w:fldCharType="end"/>
      </w:r>
    </w:p>
    <w:p w14:paraId="4C7C8B34" w14:textId="538DB30F" w:rsidR="00CD3152" w:rsidRPr="006E0160" w:rsidRDefault="00CD3152" w:rsidP="00CD3152">
      <w:pPr>
        <w:ind w:firstLine="708"/>
        <w:jc w:val="both"/>
      </w:pPr>
      <w:r w:rsidRPr="006E0160">
        <w:t xml:space="preserve">Femeile care fumează sau care sunt expuse la fumul de tutun în timpul sarcinii prezintă un risc crescut de avort spontan. Nașterile de făt mort sunt, de asemenea, mai frecvente, din cauza privării de oxigen a fătului și a anomaliilor placentare cauzate de monoxidul de carbon din fumul de tutun și de </w:t>
      </w:r>
      <w:r w:rsidRPr="006E0160">
        <w:lastRenderedPageBreak/>
        <w:t>nicotina din tutunul fumat și fără fum. Fumătoarele prezintă și un risc mai ridicat de sarcină extrauterină ectopică. Prin urmare, renunțarea la fumat și protejarea împotriva expunerii la fumul de țigară sunt deosebit de importante pentru femeile de vârstă reproductivă care își doresc copii, atât înainte, cât și pe durata sarcinii.</w:t>
      </w:r>
      <w:r w:rsidRPr="006E0160">
        <w:fldChar w:fldCharType="begin"/>
      </w:r>
      <w:r w:rsidR="00D4526D">
        <w:instrText xml:space="preserve"> ADDIN EN.CITE &lt;EndNote&gt;&lt;Cite&gt;&lt;Author&gt;WHO&lt;/Author&gt;&lt;Year&gt;2019&lt;/Year&gt;&lt;RecNum&gt;9213&lt;/RecNum&gt;&lt;DisplayText&gt;&lt;style size="10"&gt;[17]&lt;/style&gt;&lt;/DisplayText&gt;&lt;record&gt;&lt;rec-number&gt;9213&lt;/rec-number&gt;&lt;foreign-keys&gt;&lt;key app="EN" db-id="fw0prtesnvf55cepezbx255wwza5zw0ssatt" timestamp="1754851949" guid="68b1a9e3-a727-4198-96ad-c89d9e0d525e"&gt;9213&lt;/key&gt;&lt;/foreign-keys&gt;&lt;ref-type name="Web Page"&gt;12&lt;/ref-type&gt;&lt;contributors&gt;&lt;authors&gt;&lt;author&gt;&lt;style face="normal" font="default" charset="238" size="100%"&gt;WHO&lt;/style&gt;&lt;/author&gt;&lt;/authors&gt;&lt;secondary-authors&gt;&lt;author&gt;&lt;style face="normal" font="default" charset="238" size="100%"&gt;WHO&lt;/style&gt;&lt;/author&gt;&lt;/secondary-authors&gt;&lt;/contributors&gt;&lt;titles&gt;&lt;title&gt;The tobacco body&lt;/title&gt;&lt;/titles&gt;&lt;volume&gt;&lt;style face="normal" font="default" charset="238" size="100%"&gt;2025&lt;/style&gt;&lt;/volume&gt;&lt;number&gt;&lt;style face="normal" font="default" charset="238" size="100%"&gt;10th July&lt;/style&gt;&lt;/number&gt;&lt;dates&gt;&lt;year&gt;&lt;style face="normal" font="default" charset="238" size="100%"&gt;2019&lt;/style&gt;&lt;/year&gt;&lt;/dates&gt;&lt;pub-location&gt;&lt;style face="normal" font="default" charset="238" size="100%"&gt;online&lt;/style&gt;&lt;/pub-location&gt;&lt;urls&gt;&lt;related-urls&gt;&lt;url&gt;https://www.who.int/publications/i/item/WHO-NMH-PND-19.1&lt;/url&gt;&lt;/related-urls&gt;&lt;/urls&gt;&lt;/record&gt;&lt;/Cite&gt;&lt;/EndNote&gt;</w:instrText>
      </w:r>
      <w:r w:rsidRPr="006E0160">
        <w:fldChar w:fldCharType="separate"/>
      </w:r>
      <w:r w:rsidR="00D4526D" w:rsidRPr="00D4526D">
        <w:rPr>
          <w:noProof/>
          <w:sz w:val="20"/>
        </w:rPr>
        <w:t>[17]</w:t>
      </w:r>
      <w:r w:rsidRPr="006E0160">
        <w:fldChar w:fldCharType="end"/>
      </w:r>
    </w:p>
    <w:p w14:paraId="60F527A0" w14:textId="66D76867" w:rsidR="00CD3152" w:rsidRPr="006E0160" w:rsidRDefault="00CD3152" w:rsidP="00CD3152">
      <w:pPr>
        <w:ind w:firstLine="708"/>
        <w:jc w:val="both"/>
      </w:pPr>
      <w:r w:rsidRPr="006E0160">
        <w:t xml:space="preserve">Fumatul în timpul sarcinii este cunoscut ca factor care crește riscul de </w:t>
      </w:r>
      <w:r w:rsidRPr="00407468">
        <w:t>sindrom de moarte subită a sugarului</w:t>
      </w:r>
      <w:r w:rsidRPr="006E0160">
        <w:t>, iar acest risc este și mai mare la copiii ai căror părinți continuă să fumeze după nașterea lor.</w:t>
      </w:r>
      <w:r w:rsidRPr="006E0160">
        <w:fldChar w:fldCharType="begin"/>
      </w:r>
      <w:r w:rsidR="00D4526D">
        <w:instrText xml:space="preserve"> ADDIN EN.CITE &lt;EndNote&gt;&lt;Cite&gt;&lt;Author&gt;WHO&lt;/Author&gt;&lt;Year&gt;2019&lt;/Year&gt;&lt;RecNum&gt;9213&lt;/RecNum&gt;&lt;DisplayText&gt;&lt;style size="10"&gt;[17]&lt;/style&gt;&lt;/DisplayText&gt;&lt;record&gt;&lt;rec-number&gt;9213&lt;/rec-number&gt;&lt;foreign-keys&gt;&lt;key app="EN" db-id="fw0prtesnvf55cepezbx255wwza5zw0ssatt" timestamp="1754851949" guid="68b1a9e3-a727-4198-96ad-c89d9e0d525e"&gt;9213&lt;/key&gt;&lt;/foreign-keys&gt;&lt;ref-type name="Web Page"&gt;12&lt;/ref-type&gt;&lt;contributors&gt;&lt;authors&gt;&lt;author&gt;&lt;style face="normal" font="default" charset="238" size="100%"&gt;WHO&lt;/style&gt;&lt;/author&gt;&lt;/authors&gt;&lt;secondary-authors&gt;&lt;author&gt;&lt;style face="normal" font="default" charset="238" size="100%"&gt;WHO&lt;/style&gt;&lt;/author&gt;&lt;/secondary-authors&gt;&lt;/contributors&gt;&lt;titles&gt;&lt;title&gt;The tobacco body&lt;/title&gt;&lt;/titles&gt;&lt;volume&gt;&lt;style face="normal" font="default" charset="238" size="100%"&gt;2025&lt;/style&gt;&lt;/volume&gt;&lt;number&gt;&lt;style face="normal" font="default" charset="238" size="100%"&gt;10th July&lt;/style&gt;&lt;/number&gt;&lt;dates&gt;&lt;year&gt;&lt;style face="normal" font="default" charset="238" size="100%"&gt;2019&lt;/style&gt;&lt;/year&gt;&lt;/dates&gt;&lt;pub-location&gt;&lt;style face="normal" font="default" charset="238" size="100%"&gt;online&lt;/style&gt;&lt;/pub-location&gt;&lt;urls&gt;&lt;related-urls&gt;&lt;url&gt;https://www.who.int/publications/i/item/WHO-NMH-PND-19.1&lt;/url&gt;&lt;/related-urls&gt;&lt;/urls&gt;&lt;/record&gt;&lt;/Cite&gt;&lt;/EndNote&gt;</w:instrText>
      </w:r>
      <w:r w:rsidRPr="006E0160">
        <w:fldChar w:fldCharType="separate"/>
      </w:r>
      <w:r w:rsidR="00D4526D" w:rsidRPr="00D4526D">
        <w:rPr>
          <w:noProof/>
          <w:sz w:val="20"/>
        </w:rPr>
        <w:t>[17]</w:t>
      </w:r>
      <w:r w:rsidRPr="006E0160">
        <w:fldChar w:fldCharType="end"/>
      </w:r>
    </w:p>
    <w:p w14:paraId="37FE07E2" w14:textId="77777777" w:rsidR="00CD3152" w:rsidRPr="006E0160" w:rsidRDefault="00CD3152" w:rsidP="00CD3152">
      <w:pPr>
        <w:ind w:firstLine="708"/>
        <w:jc w:val="both"/>
      </w:pPr>
      <w:r w:rsidRPr="006E0160">
        <w:t>La femei, consumul de tutun afectează fertilitatea și contribuie la dereglări hormonale</w:t>
      </w:r>
      <w:r>
        <w:t>.</w:t>
      </w:r>
      <w:r w:rsidRPr="006E0160">
        <w:t xml:space="preserve"> </w:t>
      </w:r>
    </w:p>
    <w:p w14:paraId="27812C04" w14:textId="77777777" w:rsidR="00CD3152" w:rsidRPr="006E0160" w:rsidRDefault="00CD3152" w:rsidP="00CD3152">
      <w:pPr>
        <w:ind w:firstLine="708"/>
        <w:jc w:val="both"/>
      </w:pPr>
      <w:r w:rsidRPr="006E0160">
        <w:t>Femeile care fumează sunt mai predispuse să aibă menstruații dureroase și simptome  mai severe la menopauză. Menopauza survine cu 1–4 ani mai devreme la femeile fumătoare, deoarece fumatul reduce producția de ovule în ovare, ceea ce duce la pierderea mai timpurie a funcției de reproducere și, implicit, la niveluri scăzute de estrogen.</w:t>
      </w:r>
    </w:p>
    <w:p w14:paraId="218250CC" w14:textId="5561F457" w:rsidR="00CD3152" w:rsidRPr="006E0160" w:rsidRDefault="00CD3152" w:rsidP="00CD3152">
      <w:pPr>
        <w:ind w:firstLine="708"/>
        <w:jc w:val="both"/>
      </w:pPr>
      <w:r w:rsidRPr="006E0160">
        <w:t>Fumatul poate deforma spermatozoizii și le poate deteriora ADN-ul, cauzând malformații congenitale. Unele studii au constatat că bărbații care fumează prezintă un risc crescut de a concepe un copil care va dezvolta cancer. Fumatul matern în stadiile incipiente ale sarcinii crește șansele ca bebelușul să se nască cu cheilopalatoschizis.</w:t>
      </w:r>
      <w:r w:rsidRPr="006E0160">
        <w:fldChar w:fldCharType="begin"/>
      </w:r>
      <w:r w:rsidR="00D4526D">
        <w:instrText xml:space="preserve"> ADDIN EN.CITE &lt;EndNote&gt;&lt;Cite&gt;&lt;Author&gt;WHO&lt;/Author&gt;&lt;Year&gt;2019&lt;/Year&gt;&lt;RecNum&gt;9213&lt;/RecNum&gt;&lt;DisplayText&gt;&lt;style size="10"&gt;[17]&lt;/style&gt;&lt;/DisplayText&gt;&lt;record&gt;&lt;rec-number&gt;9213&lt;/rec-number&gt;&lt;foreign-keys&gt;&lt;key app="EN" db-id="fw0prtesnvf55cepezbx255wwza5zw0ssatt" timestamp="1754851949" guid="68b1a9e3-a727-4198-96ad-c89d9e0d525e"&gt;9213&lt;/key&gt;&lt;/foreign-keys&gt;&lt;ref-type name="Web Page"&gt;12&lt;/ref-type&gt;&lt;contributors&gt;&lt;authors&gt;&lt;author&gt;&lt;style face="normal" font="default" charset="238" size="100%"&gt;WHO&lt;/style&gt;&lt;/author&gt;&lt;/authors&gt;&lt;secondary-authors&gt;&lt;author&gt;&lt;style face="normal" font="default" charset="238" size="100%"&gt;WHO&lt;/style&gt;&lt;/author&gt;&lt;/secondary-authors&gt;&lt;/contributors&gt;&lt;titles&gt;&lt;title&gt;The tobacco body&lt;/title&gt;&lt;/titles&gt;&lt;volume&gt;&lt;style face="normal" font="default" charset="238" size="100%"&gt;2025&lt;/style&gt;&lt;/volume&gt;&lt;number&gt;&lt;style face="normal" font="default" charset="238" size="100%"&gt;10th July&lt;/style&gt;&lt;/number&gt;&lt;dates&gt;&lt;year&gt;&lt;style face="normal" font="default" charset="238" size="100%"&gt;2019&lt;/style&gt;&lt;/year&gt;&lt;/dates&gt;&lt;pub-location&gt;&lt;style face="normal" font="default" charset="238" size="100%"&gt;online&lt;/style&gt;&lt;/pub-location&gt;&lt;urls&gt;&lt;related-urls&gt;&lt;url&gt;https://www.who.int/publications/i/item/WHO-NMH-PND-19.1&lt;/url&gt;&lt;/related-urls&gt;&lt;/urls&gt;&lt;/record&gt;&lt;/Cite&gt;&lt;/EndNote&gt;</w:instrText>
      </w:r>
      <w:r w:rsidRPr="006E0160">
        <w:fldChar w:fldCharType="separate"/>
      </w:r>
      <w:r w:rsidR="00D4526D" w:rsidRPr="00D4526D">
        <w:rPr>
          <w:noProof/>
          <w:sz w:val="20"/>
        </w:rPr>
        <w:t>[17]</w:t>
      </w:r>
      <w:r w:rsidRPr="006E0160">
        <w:fldChar w:fldCharType="end"/>
      </w:r>
    </w:p>
    <w:p w14:paraId="1F62768E" w14:textId="77777777" w:rsidR="00CD3152" w:rsidRPr="006E0160" w:rsidRDefault="00CD3152" w:rsidP="00CD3152">
      <w:pPr>
        <w:ind w:firstLine="708"/>
        <w:jc w:val="both"/>
        <w:rPr>
          <w:b/>
          <w:bCs/>
          <w:i/>
          <w:iCs/>
        </w:rPr>
      </w:pPr>
      <w:r w:rsidRPr="006E0160">
        <w:rPr>
          <w:b/>
          <w:bCs/>
          <w:i/>
          <w:iCs/>
        </w:rPr>
        <w:t>Efecte asupra fertilității</w:t>
      </w:r>
    </w:p>
    <w:p w14:paraId="1F6AF443" w14:textId="77777777" w:rsidR="00CD3152" w:rsidRPr="006E0160" w:rsidRDefault="00CD3152" w:rsidP="00CD3152">
      <w:pPr>
        <w:ind w:firstLine="708"/>
        <w:jc w:val="both"/>
      </w:pPr>
      <w:r w:rsidRPr="006E0160">
        <w:t xml:space="preserve">Fumătorii au o probabilitate mai mare de a se confrunta cu infertilitate. Femeile care fumează sunt mai predispuse decât nefumătoarele să aibă dificultăți în a rămâne însărcinate, o perioadă mai lungă până la concepție și un risc crescut de avort spontan. </w:t>
      </w:r>
    </w:p>
    <w:p w14:paraId="65297D89" w14:textId="2A3B7D57" w:rsidR="00CD3152" w:rsidRPr="006E0160" w:rsidRDefault="00CD3152" w:rsidP="00CD3152">
      <w:pPr>
        <w:ind w:firstLine="708"/>
        <w:jc w:val="both"/>
      </w:pPr>
      <w:r w:rsidRPr="006E0160">
        <w:t>La bărbați, fumatul diminuează numărul, motilitatea și morfologia spermatozoizilor. Fumătorii care încearcă să conceapă un copil prin tehnici de reproducere asistată au rate de succes mult mai mici – uneori fiind necesar de două ori mai multe cicluri de fertilizare in vitro pentru a obține o sarcină – comparativ cu nefumătorii. S-a observat, de asemenea, că bărbații ale căror mame au fumat în timpul sarcinii au avut o concentrație mai mică a spermatozoizilor decât cei ale căror mame nu au fumat niciodată.</w:t>
      </w:r>
      <w:r w:rsidRPr="006E0160">
        <w:fldChar w:fldCharType="begin"/>
      </w:r>
      <w:r w:rsidR="00D4526D">
        <w:instrText xml:space="preserve"> ADDIN EN.CITE &lt;EndNote&gt;&lt;Cite&gt;&lt;Author&gt;WHO&lt;/Author&gt;&lt;Year&gt;2019&lt;/Year&gt;&lt;RecNum&gt;9213&lt;/RecNum&gt;&lt;DisplayText&gt;&lt;style size="10"&gt;[17]&lt;/style&gt;&lt;/DisplayText&gt;&lt;record&gt;&lt;rec-number&gt;9213&lt;/rec-number&gt;&lt;foreign-keys&gt;&lt;key app="EN" db-id="fw0prtesnvf55cepezbx255wwza5zw0ssatt" timestamp="1754851949" guid="68b1a9e3-a727-4198-96ad-c89d9e0d525e"&gt;9213&lt;/key&gt;&lt;/foreign-keys&gt;&lt;ref-type name="Web Page"&gt;12&lt;/ref-type&gt;&lt;contributors&gt;&lt;authors&gt;&lt;author&gt;&lt;style face="normal" font="default" charset="238" size="100%"&gt;WHO&lt;/style&gt;&lt;/author&gt;&lt;/authors&gt;&lt;secondary-authors&gt;&lt;author&gt;&lt;style face="normal" font="default" charset="238" size="100%"&gt;WHO&lt;/style&gt;&lt;/author&gt;&lt;/secondary-authors&gt;&lt;/contributors&gt;&lt;titles&gt;&lt;title&gt;The tobacco body&lt;/title&gt;&lt;/titles&gt;&lt;volume&gt;&lt;style face="normal" font="default" charset="238" size="100%"&gt;2025&lt;/style&gt;&lt;/volume&gt;&lt;number&gt;&lt;style face="normal" font="default" charset="238" size="100%"&gt;10th July&lt;/style&gt;&lt;/number&gt;&lt;dates&gt;&lt;year&gt;&lt;style face="normal" font="default" charset="238" size="100%"&gt;2019&lt;/style&gt;&lt;/year&gt;&lt;/dates&gt;&lt;pub-location&gt;&lt;style face="normal" font="default" charset="238" size="100%"&gt;online&lt;/style&gt;&lt;/pub-location&gt;&lt;urls&gt;&lt;related-urls&gt;&lt;url&gt;https://www.who.int/publications/i/item/WHO-NMH-PND-19.1&lt;/url&gt;&lt;/related-urls&gt;&lt;/urls&gt;&lt;/record&gt;&lt;/Cite&gt;&lt;/EndNote&gt;</w:instrText>
      </w:r>
      <w:r w:rsidRPr="006E0160">
        <w:fldChar w:fldCharType="separate"/>
      </w:r>
      <w:r w:rsidR="00D4526D" w:rsidRPr="00D4526D">
        <w:rPr>
          <w:noProof/>
          <w:sz w:val="20"/>
        </w:rPr>
        <w:t>[17]</w:t>
      </w:r>
      <w:r w:rsidRPr="006E0160">
        <w:fldChar w:fldCharType="end"/>
      </w:r>
    </w:p>
    <w:p w14:paraId="03C1F0C0" w14:textId="72015171" w:rsidR="00CD3152" w:rsidRPr="006E0160" w:rsidRDefault="00CD3152" w:rsidP="00CD3152">
      <w:pPr>
        <w:ind w:firstLine="708"/>
        <w:jc w:val="both"/>
      </w:pPr>
      <w:r w:rsidRPr="006E0160">
        <w:t>Fumatul restricționează fluxul de sânge către penis, ceea ce poate provoca impotență. Disfuncția erectilă este mai frecventă la fumători și este foarte probabil să persiste sau să devină permanentă, cu excepția cazului în care bărbatul renunță la fumat din timp (la o vârstă tânără).</w:t>
      </w:r>
      <w:r w:rsidRPr="006E0160">
        <w:fldChar w:fldCharType="begin"/>
      </w:r>
      <w:r w:rsidR="00D4526D">
        <w:instrText xml:space="preserve"> ADDIN EN.CITE &lt;EndNote&gt;&lt;Cite&gt;&lt;Author&gt;WHO&lt;/Author&gt;&lt;Year&gt;2019&lt;/Year&gt;&lt;RecNum&gt;9213&lt;/RecNum&gt;&lt;DisplayText&gt;&lt;style size="10"&gt;[17]&lt;/style&gt;&lt;/DisplayText&gt;&lt;record&gt;&lt;rec-number&gt;9213&lt;/rec-number&gt;&lt;foreign-keys&gt;&lt;key app="EN" db-id="fw0prtesnvf55cepezbx255wwza5zw0ssatt" timestamp="1754851949" guid="68b1a9e3-a727-4198-96ad-c89d9e0d525e"&gt;9213&lt;/key&gt;&lt;/foreign-keys&gt;&lt;ref-type name="Web Page"&gt;12&lt;/ref-type&gt;&lt;contributors&gt;&lt;authors&gt;&lt;author&gt;&lt;style face="normal" font="default" charset="238" size="100%"&gt;WHO&lt;/style&gt;&lt;/author&gt;&lt;/authors&gt;&lt;secondary-authors&gt;&lt;author&gt;&lt;style face="normal" font="default" charset="238" size="100%"&gt;WHO&lt;/style&gt;&lt;/author&gt;&lt;/secondary-authors&gt;&lt;/contributors&gt;&lt;titles&gt;&lt;title&gt;The tobacco body&lt;/title&gt;&lt;/titles&gt;&lt;volume&gt;&lt;style face="normal" font="default" charset="238" size="100%"&gt;2025&lt;/style&gt;&lt;/volume&gt;&lt;number&gt;&lt;style face="normal" font="default" charset="238" size="100%"&gt;10th July&lt;/style&gt;&lt;/number&gt;&lt;dates&gt;&lt;year&gt;&lt;style face="normal" font="default" charset="238" size="100%"&gt;2019&lt;/style&gt;&lt;/year&gt;&lt;/dates&gt;&lt;pub-location&gt;&lt;style face="normal" font="default" charset="238" size="100%"&gt;online&lt;/style&gt;&lt;/pub-location&gt;&lt;urls&gt;&lt;related-urls&gt;&lt;url&gt;https://www.who.int/publications/i/item/WHO-NMH-PND-19.1&lt;/url&gt;&lt;/related-urls&gt;&lt;/urls&gt;&lt;/record&gt;&lt;/Cite&gt;&lt;/EndNote&gt;</w:instrText>
      </w:r>
      <w:r w:rsidRPr="006E0160">
        <w:fldChar w:fldCharType="separate"/>
      </w:r>
      <w:r w:rsidR="00D4526D" w:rsidRPr="00D4526D">
        <w:rPr>
          <w:noProof/>
          <w:sz w:val="20"/>
        </w:rPr>
        <w:t>[17]</w:t>
      </w:r>
      <w:r w:rsidRPr="006E0160">
        <w:fldChar w:fldCharType="end"/>
      </w:r>
    </w:p>
    <w:p w14:paraId="423DB284" w14:textId="77777777" w:rsidR="00CD3152" w:rsidRPr="006E0160" w:rsidRDefault="00CD3152" w:rsidP="00CD3152">
      <w:pPr>
        <w:ind w:firstLine="708"/>
        <w:jc w:val="both"/>
        <w:rPr>
          <w:b/>
          <w:bCs/>
          <w:i/>
          <w:iCs/>
        </w:rPr>
      </w:pPr>
      <w:r w:rsidRPr="006E0160">
        <w:rPr>
          <w:b/>
          <w:bCs/>
          <w:i/>
          <w:iCs/>
        </w:rPr>
        <w:t>Efecte asupra pielii și organelor de simț</w:t>
      </w:r>
    </w:p>
    <w:p w14:paraId="53F657B4" w14:textId="492C70D8" w:rsidR="00CD3152" w:rsidRPr="006E0160" w:rsidRDefault="00CD3152" w:rsidP="00CD3152">
      <w:pPr>
        <w:ind w:firstLine="708"/>
        <w:jc w:val="both"/>
      </w:pPr>
      <w:r w:rsidRPr="006E0160">
        <w:t>Fumatul îmbătrânește prematur pielea, distrugând proteinele care îi conferă elasticitate, epuizând vitamina A și reducând circulația sângelui la nivelul pielii. Fumătorii sunt mai predispuși să dezvolte o piele uscată, aspră și ridată, în special în jurul buzelor și al ochilor. Fumatul crește riscul de a dezvolta psoriazis.</w:t>
      </w:r>
      <w:r w:rsidRPr="006E0160">
        <w:fldChar w:fldCharType="begin"/>
      </w:r>
      <w:r w:rsidR="00D4526D">
        <w:instrText xml:space="preserve"> ADDIN EN.CITE &lt;EndNote&gt;&lt;Cite&gt;&lt;Author&gt;WHO&lt;/Author&gt;&lt;Year&gt;2019&lt;/Year&gt;&lt;RecNum&gt;9213&lt;/RecNum&gt;&lt;DisplayText&gt;&lt;style size="10"&gt;[17]&lt;/style&gt;&lt;/DisplayText&gt;&lt;record&gt;&lt;rec-number&gt;9213&lt;/rec-number&gt;&lt;foreign-keys&gt;&lt;key app="EN" db-id="fw0prtesnvf55cepezbx255wwza5zw0ssatt" timestamp="1754851949" guid="68b1a9e3-a727-4198-96ad-c89d9e0d525e"&gt;9213&lt;/key&gt;&lt;/foreign-keys&gt;&lt;ref-type name="Web Page"&gt;12&lt;/ref-type&gt;&lt;contributors&gt;&lt;authors&gt;&lt;author&gt;&lt;style face="normal" font="default" charset="238" size="100%"&gt;WHO&lt;/style&gt;&lt;/author&gt;&lt;/authors&gt;&lt;secondary-authors&gt;&lt;author&gt;&lt;style face="normal" font="default" charset="238" size="100%"&gt;WHO&lt;/style&gt;&lt;/author&gt;&lt;/secondary-authors&gt;&lt;/contributors&gt;&lt;titles&gt;&lt;title&gt;The tobacco body&lt;/title&gt;&lt;/titles&gt;&lt;volume&gt;&lt;style face="normal" font="default" charset="238" size="100%"&gt;2025&lt;/style&gt;&lt;/volume&gt;&lt;number&gt;&lt;style face="normal" font="default" charset="238" size="100%"&gt;10th July&lt;/style&gt;&lt;/number&gt;&lt;dates&gt;&lt;year&gt;&lt;style face="normal" font="default" charset="238" size="100%"&gt;2019&lt;/style&gt;&lt;/year&gt;&lt;/dates&gt;&lt;pub-location&gt;&lt;style face="normal" font="default" charset="238" size="100%"&gt;online&lt;/style&gt;&lt;/pub-location&gt;&lt;urls&gt;&lt;related-urls&gt;&lt;url&gt;https://www.who.int/publications/i/item/WHO-NMH-PND-19.1&lt;/url&gt;&lt;/related-urls&gt;&lt;/urls&gt;&lt;/record&gt;&lt;/Cite&gt;&lt;/EndNote&gt;</w:instrText>
      </w:r>
      <w:r w:rsidRPr="006E0160">
        <w:fldChar w:fldCharType="separate"/>
      </w:r>
      <w:r w:rsidR="00D4526D" w:rsidRPr="00D4526D">
        <w:rPr>
          <w:noProof/>
          <w:sz w:val="20"/>
        </w:rPr>
        <w:t>[17]</w:t>
      </w:r>
      <w:r w:rsidRPr="006E0160">
        <w:fldChar w:fldCharType="end"/>
      </w:r>
    </w:p>
    <w:p w14:paraId="2C8F87DB" w14:textId="64522693" w:rsidR="00CD3152" w:rsidRPr="006E0160" w:rsidRDefault="00CD3152" w:rsidP="00CD3152">
      <w:pPr>
        <w:ind w:firstLine="708"/>
        <w:jc w:val="both"/>
      </w:pPr>
      <w:r w:rsidRPr="006E0160">
        <w:t xml:space="preserve">Fumatul cauzează multe boli oculare care, netratate, pot duce la pierderea permanentă a vederii. Fumătorii sunt mai predispuși decât nefumătorii să dezvolte degenerescență maculară legată de vârstă, o afecțiune care provoacă pierderea ireversibilă a vederii. De asemenea, fumătorii au un risc mai mare de cataractă, iar dovezi recente sugerează că fumatul cauzează și glaucom. Fumul de tutun irită ochii și agravează </w:t>
      </w:r>
      <w:r w:rsidRPr="006E0160">
        <w:rPr>
          <w:i/>
          <w:iCs/>
        </w:rPr>
        <w:t>sindromul de ochi uscat</w:t>
      </w:r>
      <w:r w:rsidRPr="006E0160">
        <w:t xml:space="preserve"> atât la fumători, cât și la persoanele expuse pasiv la fum, în special la cei care poartă lentile de contact.</w:t>
      </w:r>
      <w:r w:rsidRPr="006E0160">
        <w:fldChar w:fldCharType="begin"/>
      </w:r>
      <w:r w:rsidR="00D4526D">
        <w:instrText xml:space="preserve"> ADDIN EN.CITE &lt;EndNote&gt;&lt;Cite&gt;&lt;Author&gt;WHO&lt;/Author&gt;&lt;Year&gt;2019&lt;/Year&gt;&lt;RecNum&gt;9213&lt;/RecNum&gt;&lt;DisplayText&gt;&lt;style size="10"&gt;[17]&lt;/style&gt;&lt;/DisplayText&gt;&lt;record&gt;&lt;rec-number&gt;9213&lt;/rec-number&gt;&lt;foreign-keys&gt;&lt;key app="EN" db-id="fw0prtesnvf55cepezbx255wwza5zw0ssatt" timestamp="1754851949" guid="68b1a9e3-a727-4198-96ad-c89d9e0d525e"&gt;9213&lt;/key&gt;&lt;/foreign-keys&gt;&lt;ref-type name="Web Page"&gt;12&lt;/ref-type&gt;&lt;contributors&gt;&lt;authors&gt;&lt;author&gt;&lt;style face="normal" font="default" charset="238" size="100%"&gt;WHO&lt;/style&gt;&lt;/author&gt;&lt;/authors&gt;&lt;secondary-authors&gt;&lt;author&gt;&lt;style face="normal" font="default" charset="238" size="100%"&gt;WHO&lt;/style&gt;&lt;/author&gt;&lt;/secondary-authors&gt;&lt;/contributors&gt;&lt;titles&gt;&lt;title&gt;The tobacco body&lt;/title&gt;&lt;/titles&gt;&lt;volume&gt;&lt;style face="normal" font="default" charset="238" size="100%"&gt;2025&lt;/style&gt;&lt;/volume&gt;&lt;number&gt;&lt;style face="normal" font="default" charset="238" size="100%"&gt;10th July&lt;/style&gt;&lt;/number&gt;&lt;dates&gt;&lt;year&gt;&lt;style face="normal" font="default" charset="238" size="100%"&gt;2019&lt;/style&gt;&lt;/year&gt;&lt;/dates&gt;&lt;pub-location&gt;&lt;style face="normal" font="default" charset="238" size="100%"&gt;online&lt;/style&gt;&lt;/pub-location&gt;&lt;urls&gt;&lt;related-urls&gt;&lt;url&gt;https://www.who.int/publications/i/item/WHO-NMH-PND-19.1&lt;/url&gt;&lt;/related-urls&gt;&lt;/urls&gt;&lt;/record&gt;&lt;/Cite&gt;&lt;/EndNote&gt;</w:instrText>
      </w:r>
      <w:r w:rsidRPr="006E0160">
        <w:fldChar w:fldCharType="separate"/>
      </w:r>
      <w:r w:rsidR="00D4526D" w:rsidRPr="00D4526D">
        <w:rPr>
          <w:noProof/>
          <w:sz w:val="20"/>
        </w:rPr>
        <w:t>[17]</w:t>
      </w:r>
      <w:r w:rsidRPr="006E0160">
        <w:fldChar w:fldCharType="end"/>
      </w:r>
    </w:p>
    <w:p w14:paraId="195BB2E1" w14:textId="784418E7" w:rsidR="00CD3152" w:rsidRPr="006E0160" w:rsidRDefault="00CD3152" w:rsidP="00CD3152">
      <w:pPr>
        <w:ind w:firstLine="708"/>
        <w:jc w:val="both"/>
      </w:pPr>
      <w:r w:rsidRPr="006E0160">
        <w:lastRenderedPageBreak/>
        <w:t xml:space="preserve">Fumatul practicat de părinți este cunoscut ca fiind o cauză a otitei medii la copiii sub 2 ani expuși la fumul de țigară acasă, otita medie cronică la copii fiind o cauză comună de pierdere dobândită a auzului și de surditate. Adulții fumători sunt mai predispuși să sufere pierderea auzului din cauza efectelor pe termen lung ale fumatului asupra alimentării cu sânge a cohleei. </w:t>
      </w:r>
      <w:r w:rsidRPr="006E0160">
        <w:fldChar w:fldCharType="begin"/>
      </w:r>
      <w:r w:rsidR="00D4526D">
        <w:instrText xml:space="preserve"> ADDIN EN.CITE &lt;EndNote&gt;&lt;Cite&gt;&lt;Author&gt;WHO&lt;/Author&gt;&lt;Year&gt;2019&lt;/Year&gt;&lt;RecNum&gt;9213&lt;/RecNum&gt;&lt;DisplayText&gt;&lt;style size="10"&gt;[17]&lt;/style&gt;&lt;/DisplayText&gt;&lt;record&gt;&lt;rec-number&gt;9213&lt;/rec-number&gt;&lt;foreign-keys&gt;&lt;key app="EN" db-id="fw0prtesnvf55cepezbx255wwza5zw0ssatt" timestamp="1754851949" guid="68b1a9e3-a727-4198-96ad-c89d9e0d525e"&gt;9213&lt;/key&gt;&lt;/foreign-keys&gt;&lt;ref-type name="Web Page"&gt;12&lt;/ref-type&gt;&lt;contributors&gt;&lt;authors&gt;&lt;author&gt;&lt;style face="normal" font="default" charset="238" size="100%"&gt;WHO&lt;/style&gt;&lt;/author&gt;&lt;/authors&gt;&lt;secondary-authors&gt;&lt;author&gt;&lt;style face="normal" font="default" charset="238" size="100%"&gt;WHO&lt;/style&gt;&lt;/author&gt;&lt;/secondary-authors&gt;&lt;/contributors&gt;&lt;titles&gt;&lt;title&gt;The tobacco body&lt;/title&gt;&lt;/titles&gt;&lt;volume&gt;&lt;style face="normal" font="default" charset="238" size="100%"&gt;2025&lt;/style&gt;&lt;/volume&gt;&lt;number&gt;&lt;style face="normal" font="default" charset="238" size="100%"&gt;10th July&lt;/style&gt;&lt;/number&gt;&lt;dates&gt;&lt;year&gt;&lt;style face="normal" font="default" charset="238" size="100%"&gt;2019&lt;/style&gt;&lt;/year&gt;&lt;/dates&gt;&lt;pub-location&gt;&lt;style face="normal" font="default" charset="238" size="100%"&gt;online&lt;/style&gt;&lt;/pub-location&gt;&lt;urls&gt;&lt;related-urls&gt;&lt;url&gt;https://www.who.int/publications/i/item/WHO-NMH-PND-19.1&lt;/url&gt;&lt;/related-urls&gt;&lt;/urls&gt;&lt;/record&gt;&lt;/Cite&gt;&lt;/EndNote&gt;</w:instrText>
      </w:r>
      <w:r w:rsidRPr="006E0160">
        <w:fldChar w:fldCharType="separate"/>
      </w:r>
      <w:r w:rsidR="00D4526D" w:rsidRPr="00D4526D">
        <w:rPr>
          <w:noProof/>
          <w:sz w:val="20"/>
        </w:rPr>
        <w:t>[17]</w:t>
      </w:r>
      <w:r w:rsidRPr="006E0160">
        <w:fldChar w:fldCharType="end"/>
      </w:r>
    </w:p>
    <w:p w14:paraId="6DEA1ECD" w14:textId="77777777" w:rsidR="00CD3152" w:rsidRPr="006E0160" w:rsidRDefault="00CD3152" w:rsidP="00CD3152">
      <w:pPr>
        <w:ind w:firstLine="708"/>
        <w:jc w:val="both"/>
        <w:rPr>
          <w:b/>
          <w:bCs/>
          <w:i/>
          <w:iCs/>
        </w:rPr>
      </w:pPr>
      <w:r w:rsidRPr="006E0160">
        <w:rPr>
          <w:b/>
          <w:bCs/>
          <w:i/>
          <w:iCs/>
        </w:rPr>
        <w:t>Efecte asupra sistemului osos</w:t>
      </w:r>
    </w:p>
    <w:p w14:paraId="49ACA019" w14:textId="77777777" w:rsidR="00CD3152" w:rsidRPr="006E0160" w:rsidRDefault="00CD3152" w:rsidP="00CD3152">
      <w:pPr>
        <w:ind w:firstLine="708"/>
        <w:jc w:val="both"/>
      </w:pPr>
      <w:r w:rsidRPr="006E0160">
        <w:t>Monoxidul de carbon</w:t>
      </w:r>
      <w:r>
        <w:t>, prezent în</w:t>
      </w:r>
      <w:r w:rsidRPr="006E0160">
        <w:t xml:space="preserve"> fumul de tutun</w:t>
      </w:r>
      <w:r>
        <w:t>,</w:t>
      </w:r>
      <w:r w:rsidRPr="006E0160">
        <w:t xml:space="preserve"> se leagă de hemoglobina din sânge mult mai ușor decât oxigenul, reducând astfel cantitatea de oxigen livrată țesuturilor corpului. </w:t>
      </w:r>
    </w:p>
    <w:p w14:paraId="7E86C235" w14:textId="5FAD5044" w:rsidR="00CD3152" w:rsidRPr="006E0160" w:rsidRDefault="00CD3152" w:rsidP="00CD3152">
      <w:pPr>
        <w:ind w:firstLine="708"/>
        <w:jc w:val="both"/>
      </w:pPr>
      <w:r w:rsidRPr="006E0160">
        <w:t>Fumătorii sunt mai predispuși să piardă densitate osoasă, să sufere fracturi cu ușurință și să experimenteze complicații grave, precum vindecarea întârziată sau lipsa consolidării oaselor după fracturi.</w:t>
      </w:r>
      <w:r w:rsidRPr="006E0160">
        <w:fldChar w:fldCharType="begin"/>
      </w:r>
      <w:r w:rsidR="00D4526D">
        <w:instrText xml:space="preserve"> ADDIN EN.CITE &lt;EndNote&gt;&lt;Cite&gt;&lt;Author&gt;WHO&lt;/Author&gt;&lt;Year&gt;2019&lt;/Year&gt;&lt;RecNum&gt;9213&lt;/RecNum&gt;&lt;DisplayText&gt;&lt;style size="10"&gt;[17]&lt;/style&gt;&lt;/DisplayText&gt;&lt;record&gt;&lt;rec-number&gt;9213&lt;/rec-number&gt;&lt;foreign-keys&gt;&lt;key app="EN" db-id="fw0prtesnvf55cepezbx255wwza5zw0ssatt" timestamp="1754851949" guid="68b1a9e3-a727-4198-96ad-c89d9e0d525e"&gt;9213&lt;/key&gt;&lt;/foreign-keys&gt;&lt;ref-type name="Web Page"&gt;12&lt;/ref-type&gt;&lt;contributors&gt;&lt;authors&gt;&lt;author&gt;&lt;style face="normal" font="default" charset="238" size="100%"&gt;WHO&lt;/style&gt;&lt;/author&gt;&lt;/authors&gt;&lt;secondary-authors&gt;&lt;author&gt;&lt;style face="normal" font="default" charset="238" size="100%"&gt;WHO&lt;/style&gt;&lt;/author&gt;&lt;/secondary-authors&gt;&lt;/contributors&gt;&lt;titles&gt;&lt;title&gt;The tobacco body&lt;/title&gt;&lt;/titles&gt;&lt;volume&gt;&lt;style face="normal" font="default" charset="238" size="100%"&gt;2025&lt;/style&gt;&lt;/volume&gt;&lt;number&gt;&lt;style face="normal" font="default" charset="238" size="100%"&gt;10th July&lt;/style&gt;&lt;/number&gt;&lt;dates&gt;&lt;year&gt;&lt;style face="normal" font="default" charset="238" size="100%"&gt;2019&lt;/style&gt;&lt;/year&gt;&lt;/dates&gt;&lt;pub-location&gt;&lt;style face="normal" font="default" charset="238" size="100%"&gt;online&lt;/style&gt;&lt;/pub-location&gt;&lt;urls&gt;&lt;related-urls&gt;&lt;url&gt;https://www.who.int/publications/i/item/WHO-NMH-PND-19.1&lt;/url&gt;&lt;/related-urls&gt;&lt;/urls&gt;&lt;/record&gt;&lt;/Cite&gt;&lt;/EndNote&gt;</w:instrText>
      </w:r>
      <w:r w:rsidRPr="006E0160">
        <w:fldChar w:fldCharType="separate"/>
      </w:r>
      <w:r w:rsidR="00D4526D" w:rsidRPr="00D4526D">
        <w:rPr>
          <w:noProof/>
          <w:sz w:val="20"/>
        </w:rPr>
        <w:t>[17]</w:t>
      </w:r>
      <w:r w:rsidRPr="006E0160">
        <w:fldChar w:fldCharType="end"/>
      </w:r>
    </w:p>
    <w:p w14:paraId="12D5775F" w14:textId="77777777" w:rsidR="00CD3152" w:rsidRPr="006E0160" w:rsidRDefault="00CD3152" w:rsidP="00CD3152">
      <w:pPr>
        <w:ind w:firstLine="708"/>
        <w:jc w:val="both"/>
        <w:rPr>
          <w:b/>
          <w:bCs/>
          <w:i/>
          <w:iCs/>
        </w:rPr>
      </w:pPr>
      <w:r w:rsidRPr="006E0160">
        <w:rPr>
          <w:b/>
          <w:bCs/>
          <w:i/>
          <w:iCs/>
        </w:rPr>
        <w:t>Tulburările de creștere la copii</w:t>
      </w:r>
    </w:p>
    <w:p w14:paraId="225144C4" w14:textId="613BCB35" w:rsidR="00CD3152" w:rsidRPr="006E0160" w:rsidRDefault="00CD3152" w:rsidP="00CD3152">
      <w:pPr>
        <w:ind w:firstLine="708"/>
        <w:jc w:val="both"/>
      </w:pPr>
      <w:r w:rsidRPr="006E0160">
        <w:t>Organizația Mondială a Sănătății (OMS) a publicat recent un nou document care evidențiază rolul nociv al consumului de tutun în tulburările de creștere la copii, o afecțiune care afectează aproape 150 de milioane de copii din întreaga lume - în mare parte în Africa și Asia - și care crește riscul de boli, dezvoltare întârziată și chiar deces.</w:t>
      </w:r>
      <w:r w:rsidRPr="006E0160">
        <w:fldChar w:fldCharType="begin"/>
      </w:r>
      <w:r w:rsidR="00D4526D">
        <w:instrText xml:space="preserve"> ADDIN EN.CITE &lt;EndNote&gt;&lt;Cite&gt;&lt;Author&gt;WHO&lt;/Author&gt;&lt;Year&gt;2025&lt;/Year&gt;&lt;RecNum&gt;9221&lt;/RecNum&gt;&lt;DisplayText&gt;&lt;style size="10"&gt;[18]&lt;/style&gt;&lt;/DisplayText&gt;&lt;record&gt;&lt;rec-number&gt;9221&lt;/rec-number&gt;&lt;foreign-keys&gt;&lt;key app="EN" db-id="fw0prtesnvf55cepezbx255wwza5zw0ssatt" timestamp="1758492412" guid="ef8953e5-a311-40c6-8a2b-e1fbff1831ea"&gt;9221&lt;/key&gt;&lt;/foreign-keys&gt;&lt;ref-type name="Web Page"&gt;12&lt;/ref-type&gt;&lt;contributors&gt;&lt;authors&gt;&lt;author&gt;&lt;style face="normal" font="default" charset="238" size="100%"&gt;WHO&lt;/style&gt;&lt;/author&gt;&lt;/authors&gt;&lt;/contributors&gt;&lt;titles&gt;&lt;title&gt;WHO warns that tobacco use is linked to child stunting&lt;/title&gt;&lt;/titles&gt;&lt;volume&gt;&lt;style face="normal" font="default" charset="238" size="100%"&gt;2025&lt;/style&gt;&lt;/volume&gt;&lt;number&gt;&lt;style face="normal" font="default" charset="238" size="100%"&gt;September 9&lt;/style&gt;&lt;/number&gt;&lt;dates&gt;&lt;year&gt;&lt;style face="normal" font="default" charset="238" size="100%"&gt;2025&lt;/style&gt;&lt;/year&gt;&lt;/dates&gt;&lt;pub-location&gt;&lt;style face="normal" font="default" charset="238" size="100%"&gt;Geneva&lt;/style&gt;&lt;/pub-location&gt;&lt;publisher&gt;&lt;style face="normal" font="default" charset="238" size="100%"&gt;WHO&lt;/style&gt;&lt;/publisher&gt;&lt;urls&gt;&lt;related-urls&gt;&lt;url&gt;https://www.who.int/news/item/09-09-2025-who-warns-that-tobacco-use-is-linked-to-child-stunting&lt;/url&gt;&lt;/related-urls&gt;&lt;/urls&gt;&lt;/record&gt;&lt;/Cite&gt;&lt;/EndNote&gt;</w:instrText>
      </w:r>
      <w:r w:rsidRPr="006E0160">
        <w:fldChar w:fldCharType="separate"/>
      </w:r>
      <w:r w:rsidR="00D4526D" w:rsidRPr="00D4526D">
        <w:rPr>
          <w:noProof/>
          <w:sz w:val="20"/>
        </w:rPr>
        <w:t>[18]</w:t>
      </w:r>
      <w:r w:rsidRPr="006E0160">
        <w:fldChar w:fldCharType="end"/>
      </w:r>
    </w:p>
    <w:p w14:paraId="22C7D119" w14:textId="77777777" w:rsidR="00CD3152" w:rsidRPr="006E0160" w:rsidRDefault="00CD3152" w:rsidP="00CD3152">
      <w:pPr>
        <w:ind w:firstLine="708"/>
        <w:jc w:val="both"/>
      </w:pPr>
      <w:r w:rsidRPr="006E0160">
        <w:t>Copiii proveniți din familii în care părinții sunt fumători prezintă un risc crescut de întârziere a creșterii, probabilitatea apariției acestui fenomen fiind direct proporțională cu nivelul de expunere la fumul de tutun. Fumatul matern în timpul sarcinii este asociat în mod semnificativ cu o serie de complicații perinatale, precum nașterea prematură, greutatea mică la naștere și restricția de creștere intrauterină – factori recunoscuți ca predictori importanți ai tulburărilor de creștere până la vârsta de doi ani.</w:t>
      </w:r>
    </w:p>
    <w:p w14:paraId="66AD60E8" w14:textId="77777777" w:rsidR="00CD3152" w:rsidRPr="006E0160" w:rsidRDefault="00CD3152" w:rsidP="00CD3152">
      <w:pPr>
        <w:ind w:firstLine="708"/>
        <w:jc w:val="both"/>
      </w:pPr>
      <w:r w:rsidRPr="006E0160">
        <w:t>Expunerea intensă la fumul de țigară în perioada sarcinii produce efecte nocive asupra fătului, magnitudinea acestor efecte fiind direct proporțională cu creșterea numărului de țigări consumate de mamă. Impactul negativ nu se limitează la perioada neonatală, ci poate persista și după primele etape ale copilăriei. În același timp, literatura de specialitate evidențiază că renunțarea la fumat în timpul sarcinii are un efect benefic semnificativ, contribuind la îmbunătățirea parametrilor de creștere și dezvoltare ai copilului.</w:t>
      </w:r>
    </w:p>
    <w:p w14:paraId="246B804C" w14:textId="77777777" w:rsidR="00CD3152" w:rsidRPr="006E0160" w:rsidRDefault="00CD3152" w:rsidP="00CD3152">
      <w:pPr>
        <w:ind w:firstLine="708"/>
        <w:jc w:val="both"/>
      </w:pPr>
      <w:r w:rsidRPr="006E0160">
        <w:t>Întârzierea creșterii la copii (</w:t>
      </w:r>
      <w:r w:rsidRPr="00AF1CA5">
        <w:rPr>
          <w:b/>
          <w:bCs/>
        </w:rPr>
        <w:t>stunting)</w:t>
      </w:r>
      <w:r w:rsidRPr="006E0160">
        <w:t xml:space="preserve"> reprezintă o problemă complexă de sănătate publică, caracterizată printr-o înălțime raportată la vârstă cu mai mult de două deviații standard sub standardele de creștere internaționale. Această condiție reflectă nu doar impactul factorilor biologici și prenatali, ci și al mediului familial și comportamental, printre care expunerea la fumul de tutun ocupă un loc central.</w:t>
      </w:r>
    </w:p>
    <w:p w14:paraId="4B25992F" w14:textId="77777777" w:rsidR="00CD3152" w:rsidRPr="006E0160" w:rsidRDefault="00CD3152" w:rsidP="00CD3152">
      <w:pPr>
        <w:ind w:firstLine="708"/>
        <w:jc w:val="both"/>
      </w:pPr>
      <w:r w:rsidRPr="006E0160">
        <w:t>Organizația îndeamnă guvernele să implementeze pe deplin Convenția-cadru OMS pentru Controlul Tutunului și măsurile MPOWER, printre care: protejarea femeilor însărcinate și a copiilor de fumatul pasiv; extinderea serviciilor de renunțare la fumat, în special pentru viitoarele mame și aplicarea legilor anti-fumat în toate spațiile publice închise.</w:t>
      </w:r>
    </w:p>
    <w:p w14:paraId="7C72750A" w14:textId="69FC161F" w:rsidR="00CD3152" w:rsidRPr="006E0160" w:rsidRDefault="00CD3152" w:rsidP="00CD3152">
      <w:pPr>
        <w:ind w:firstLine="708"/>
        <w:jc w:val="both"/>
      </w:pPr>
      <w:r w:rsidRPr="006E0160">
        <w:t>OMS solicită și mai multă cercetare pentru a înțelege mecanismele prin care fumatul influențează creșterea copilului și pentru a demonstra beneficiile renunțării la tutun în prevenirea stuntingului.</w:t>
      </w:r>
      <w:r w:rsidRPr="006E0160">
        <w:fldChar w:fldCharType="begin"/>
      </w:r>
      <w:r w:rsidR="00D4526D">
        <w:instrText xml:space="preserve"> ADDIN EN.CITE &lt;EndNote&gt;&lt;Cite&gt;&lt;Author&gt;WHO&lt;/Author&gt;&lt;Year&gt;2025&lt;/Year&gt;&lt;RecNum&gt;9222&lt;/RecNum&gt;&lt;DisplayText&gt;&lt;style size="10"&gt;[19]&lt;/style&gt;&lt;/DisplayText&gt;&lt;record&gt;&lt;rec-number&gt;9222&lt;/rec-number&gt;&lt;foreign-keys&gt;&lt;key app="EN" db-id="fw0prtesnvf55cepezbx255wwza5zw0ssatt" timestamp="1758493645" guid="f9bd16e1-e4a0-4fca-be34-73693a8936b4"&gt;9222&lt;/key&gt;&lt;/foreign-keys&gt;&lt;ref-type name="Report"&gt;27&lt;/ref-type&gt;&lt;contributors&gt;&lt;authors&gt;&lt;author&gt;&lt;style face="normal" font="default" charset="238" size="100%"&gt;WHO&lt;/style&gt;&lt;/author&gt;&lt;/authors&gt;&lt;secondary-authors&gt;&lt;author&gt;&lt;style face="normal" font="default" charset="238" size="100%"&gt;WHO&lt;/style&gt;&lt;/author&gt;&lt;/secondary-authors&gt;&lt;/contributors&gt;&lt;titles&gt;&lt;title&gt;Tobacco and stunting&lt;/title&gt;&lt;/titles&gt;&lt;dates&gt;&lt;year&gt;&lt;style face="normal" font="default" charset="238" size="100%"&gt;2025&lt;/style&gt;&lt;/year&gt;&lt;/dates&gt;&lt;pub-location&gt;&lt;style face="normal" font="default" charset="238" size="100%"&gt;Geneve&lt;/style&gt;&lt;/pub-location&gt;&lt;publisher&gt;&lt;style face="normal" font="default" charset="238" size="100%"&gt;WHO&lt;/style&gt;&lt;/publisher&gt;&lt;urls&gt;&lt;related-urls&gt;&lt;url&gt;https://iris.who.int/bitstream/handle/10665/381721/9789240112025-eng.pdf?sequence=1&lt;/url&gt;&lt;/related-urls&gt;&lt;/urls&gt;&lt;/record&gt;&lt;/Cite&gt;&lt;/EndNote&gt;</w:instrText>
      </w:r>
      <w:r w:rsidRPr="006E0160">
        <w:fldChar w:fldCharType="separate"/>
      </w:r>
      <w:r w:rsidR="00D4526D" w:rsidRPr="00D4526D">
        <w:rPr>
          <w:noProof/>
          <w:sz w:val="20"/>
        </w:rPr>
        <w:t>[19]</w:t>
      </w:r>
      <w:r w:rsidRPr="006E0160">
        <w:fldChar w:fldCharType="end"/>
      </w:r>
    </w:p>
    <w:p w14:paraId="4E010016" w14:textId="77777777" w:rsidR="00CD3152" w:rsidRPr="006E0160" w:rsidRDefault="00CD3152" w:rsidP="00CD3152">
      <w:pPr>
        <w:ind w:firstLine="708"/>
        <w:jc w:val="both"/>
        <w:rPr>
          <w:b/>
          <w:bCs/>
          <w:i/>
          <w:iCs/>
        </w:rPr>
      </w:pPr>
      <w:r w:rsidRPr="006E0160">
        <w:rPr>
          <w:b/>
          <w:bCs/>
          <w:i/>
          <w:iCs/>
        </w:rPr>
        <w:t>Expunerea pasivă</w:t>
      </w:r>
    </w:p>
    <w:p w14:paraId="176D24C9" w14:textId="430FED6F" w:rsidR="00CD3152" w:rsidRPr="006E0160" w:rsidRDefault="00CD3152" w:rsidP="00CD3152">
      <w:pPr>
        <w:spacing w:line="360" w:lineRule="auto"/>
        <w:ind w:firstLine="708"/>
        <w:jc w:val="both"/>
      </w:pPr>
      <w:r w:rsidRPr="006E0160">
        <w:lastRenderedPageBreak/>
        <w:t xml:space="preserve">Fumatul pasiv cauzează efecte similare asupra sănătății, în special la copii, unde este asociat cu infecții respiratorii recurente, astm și otită medie cronică. OMS estimează că aproximativ 1 din 10 decese legate de tutun sunt cauzate de fumatul pasiv </w:t>
      </w:r>
      <w:r>
        <w:fldChar w:fldCharType="begin">
          <w:fldData xml:space="preserve">PEVuZE5vdGU+PENpdGU+PEF1dGhvcj5GbG9yPC9BdXRob3I+PFllYXI+MjAyNDwvWWVhcj48UmVj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</w:fldData>
        </w:fldChar>
      </w:r>
      <w:r w:rsidR="00D4526D">
        <w:instrText xml:space="preserve"> ADDIN EN.CITE </w:instrText>
      </w:r>
      <w:r w:rsidR="00D4526D">
        <w:fldChar w:fldCharType="begin">
          <w:fldData xml:space="preserve">PEVuZE5vdGU+PENpdGU+PEF1dGhvcj5GbG9yPC9BdXRob3I+PFllYXI+MjAyNDwvWWVhcj48UmVj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</w:fldData>
        </w:fldChar>
      </w:r>
      <w:r w:rsidR="00D4526D">
        <w:instrText xml:space="preserve"> ADDIN EN.CITE.DATA </w:instrText>
      </w:r>
      <w:r w:rsidR="00D4526D">
        <w:fldChar w:fldCharType="end"/>
      </w:r>
      <w:r>
        <w:fldChar w:fldCharType="separate"/>
      </w:r>
      <w:r w:rsidR="00D4526D" w:rsidRPr="00D4526D">
        <w:rPr>
          <w:noProof/>
          <w:sz w:val="20"/>
        </w:rPr>
        <w:t>[20]</w:t>
      </w:r>
      <w:r>
        <w:fldChar w:fldCharType="end"/>
      </w:r>
      <w:r w:rsidRPr="006E0160">
        <w:t>.</w:t>
      </w:r>
    </w:p>
    <w:p w14:paraId="5128EFDC" w14:textId="77777777" w:rsidR="00CD3152" w:rsidRPr="00AF1CA5" w:rsidRDefault="00CD3152" w:rsidP="00A62A7C">
      <w:pPr>
        <w:pStyle w:val="ListParagraph"/>
        <w:numPr>
          <w:ilvl w:val="0"/>
          <w:numId w:val="20"/>
        </w:numPr>
        <w:spacing w:before="100" w:beforeAutospacing="1" w:after="100" w:afterAutospacing="1" w:line="240" w:lineRule="auto"/>
        <w:rPr>
          <w:rFonts w:ascii="Times New Roman" w:eastAsia="Times New Roman" w:hAnsi="Times New Roman"/>
          <w:b/>
          <w:bCs/>
          <w:i/>
          <w:iCs/>
          <w:color w:val="002060"/>
          <w:szCs w:val="24"/>
          <w:lang w:eastAsia="ro-RO"/>
        </w:rPr>
      </w:pPr>
      <w:r w:rsidRPr="00AF1CA5">
        <w:rPr>
          <w:rFonts w:ascii="Times New Roman" w:eastAsia="Times New Roman" w:hAnsi="Times New Roman"/>
          <w:b/>
          <w:bCs/>
          <w:i/>
          <w:iCs/>
          <w:color w:val="002060"/>
          <w:szCs w:val="24"/>
          <w:lang w:eastAsia="ro-RO"/>
        </w:rPr>
        <w:t>Beneficiile renunțării la tutun</w:t>
      </w:r>
    </w:p>
    <w:p w14:paraId="2A86B7A5" w14:textId="3A0C9461" w:rsidR="00CD3152" w:rsidRPr="006E0160" w:rsidRDefault="00CD3152" w:rsidP="00CD3152">
      <w:pPr>
        <w:spacing w:line="360" w:lineRule="auto"/>
        <w:ind w:firstLine="708"/>
        <w:jc w:val="both"/>
      </w:pPr>
      <w:r w:rsidRPr="006E0160">
        <w:t>Abandonarea consumului de tutun poate reduce semnificativ riscul multora dintre aceste boli și, în unele cazuri, poate reduce riscul până la nivelul unei persoane care nu a fumat niciodată.</w:t>
      </w:r>
      <w:r w:rsidRPr="006E0160">
        <w:fldChar w:fldCharType="begin">
          <w:fldData xml:space="preserve">PEVuZE5vdGU+PENpdGU+PEF1dGhvcj5XSE88L0F1dGhvcj48WWVhcj4yMDI1PC9ZZWFyPjxSZWNO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</w:fldData>
        </w:fldChar>
      </w:r>
      <w:r w:rsidR="00D4526D">
        <w:instrText xml:space="preserve"> ADDIN EN.CITE </w:instrText>
      </w:r>
      <w:r w:rsidR="00D4526D">
        <w:fldChar w:fldCharType="begin">
          <w:fldData xml:space="preserve">PEVuZE5vdGU+PENpdGU+PEF1dGhvcj5XSE88L0F1dGhvcj48WWVhcj4yMDI1PC9ZZWFyPjxSZWNO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</w:fldData>
        </w:fldChar>
      </w:r>
      <w:r w:rsidR="00D4526D">
        <w:instrText xml:space="preserve"> ADDIN EN.CITE.DATA </w:instrText>
      </w:r>
      <w:r w:rsidR="00D4526D">
        <w:fldChar w:fldCharType="end"/>
      </w:r>
      <w:r w:rsidRPr="006E0160">
        <w:fldChar w:fldCharType="separate"/>
      </w:r>
      <w:r w:rsidR="00D4526D" w:rsidRPr="00D4526D">
        <w:rPr>
          <w:noProof/>
          <w:sz w:val="20"/>
        </w:rPr>
        <w:t>[16,21]</w:t>
      </w:r>
      <w:r w:rsidRPr="006E0160">
        <w:fldChar w:fldCharType="end"/>
      </w:r>
      <w:r w:rsidRPr="006E0160">
        <w:t xml:space="preserve"> Nu este niciodată prea târziu ca o persoană să renunțe la consumul de tutun.</w:t>
      </w:r>
    </w:p>
    <w:p w14:paraId="0D3FFDED" w14:textId="77777777" w:rsidR="00CD3152" w:rsidRPr="006E0160" w:rsidRDefault="00CD3152" w:rsidP="00A62A7C">
      <w:pPr>
        <w:numPr>
          <w:ilvl w:val="0"/>
          <w:numId w:val="2"/>
        </w:numPr>
        <w:spacing w:line="360" w:lineRule="auto"/>
      </w:pPr>
      <w:r w:rsidRPr="006E0160">
        <w:t xml:space="preserve">în primele 20 de minute: frecvența cardiacă și </w:t>
      </w:r>
      <w:r w:rsidRPr="00F2203E">
        <w:t>tensiunea arterială</w:t>
      </w:r>
      <w:r w:rsidRPr="006E0160">
        <w:t xml:space="preserve"> scad;</w:t>
      </w:r>
    </w:p>
    <w:p w14:paraId="6AFD1D6D" w14:textId="77777777" w:rsidR="00CD3152" w:rsidRPr="006E0160" w:rsidRDefault="00CD3152" w:rsidP="00A62A7C">
      <w:pPr>
        <w:numPr>
          <w:ilvl w:val="0"/>
          <w:numId w:val="2"/>
        </w:numPr>
        <w:spacing w:before="100" w:beforeAutospacing="1" w:after="100" w:afterAutospacing="1" w:line="360" w:lineRule="auto"/>
      </w:pPr>
      <w:r w:rsidRPr="006E0160">
        <w:t>după 12 ore: nivelul monoxidului de carbon din sânge scade, normalizându-se;</w:t>
      </w:r>
    </w:p>
    <w:p w14:paraId="0B5EBE82" w14:textId="77777777" w:rsidR="00CD3152" w:rsidRPr="006E0160" w:rsidRDefault="00CD3152" w:rsidP="00A62A7C">
      <w:pPr>
        <w:numPr>
          <w:ilvl w:val="0"/>
          <w:numId w:val="2"/>
        </w:numPr>
        <w:spacing w:before="100" w:beforeAutospacing="1" w:after="100" w:afterAutospacing="1" w:line="360" w:lineRule="auto"/>
      </w:pPr>
      <w:r w:rsidRPr="006E0160">
        <w:t>după 2 săptămâni – 3 luni: riscul de infarct miocardic începe să scadă, iar funcția pulmonară începe să se îmbunătățească;</w:t>
      </w:r>
    </w:p>
    <w:p w14:paraId="4CBF47E2" w14:textId="77777777" w:rsidR="00CD3152" w:rsidRPr="006E0160" w:rsidRDefault="00CD3152" w:rsidP="00A62A7C">
      <w:pPr>
        <w:numPr>
          <w:ilvl w:val="0"/>
          <w:numId w:val="2"/>
        </w:numPr>
        <w:spacing w:before="100" w:beforeAutospacing="1" w:after="100" w:afterAutospacing="1" w:line="360" w:lineRule="auto"/>
      </w:pPr>
      <w:r w:rsidRPr="006E0160">
        <w:t>după 1 – 9 luni: tusea și dificultățile respiratorii se reduc;</w:t>
      </w:r>
    </w:p>
    <w:p w14:paraId="61358DF4" w14:textId="77777777" w:rsidR="00CD3152" w:rsidRPr="006E0160" w:rsidRDefault="00CD3152" w:rsidP="00A62A7C">
      <w:pPr>
        <w:numPr>
          <w:ilvl w:val="0"/>
          <w:numId w:val="2"/>
        </w:numPr>
        <w:spacing w:before="100" w:beforeAutospacing="1" w:after="100" w:afterAutospacing="1" w:line="360" w:lineRule="auto"/>
      </w:pPr>
      <w:r w:rsidRPr="006E0160">
        <w:t>după 1 an: riscul suplimentar de boală coronariană scade la aproximativ jumătate față de cel al unui fumător;</w:t>
      </w:r>
    </w:p>
    <w:p w14:paraId="5E93B636" w14:textId="77777777" w:rsidR="00CD3152" w:rsidRPr="006E0160" w:rsidRDefault="00CD3152" w:rsidP="00A62A7C">
      <w:pPr>
        <w:numPr>
          <w:ilvl w:val="0"/>
          <w:numId w:val="2"/>
        </w:numPr>
        <w:spacing w:before="100" w:beforeAutospacing="1" w:after="100" w:afterAutospacing="1" w:line="360" w:lineRule="auto"/>
      </w:pPr>
      <w:r w:rsidRPr="006E0160">
        <w:t>după 5 ani: riscul de accident vascular cerebral scade considerabil, ajungând ca în 5–15 ani de la renunțare să fie similar cu riscul unui nefumător;</w:t>
      </w:r>
    </w:p>
    <w:p w14:paraId="63C21706" w14:textId="77777777" w:rsidR="00CD3152" w:rsidRPr="006E0160" w:rsidRDefault="00CD3152" w:rsidP="00A62A7C">
      <w:pPr>
        <w:numPr>
          <w:ilvl w:val="0"/>
          <w:numId w:val="2"/>
        </w:numPr>
        <w:spacing w:line="360" w:lineRule="auto"/>
      </w:pPr>
      <w:r w:rsidRPr="006E0160">
        <w:t>după 10 ani: rata de deces prin cancer pulmonar scade la aproximativ jumătate față de cea a unui fumător. De asemenea, se reduce semnificativ riscul de cancere ale gurii, gâtului, esofagului, vezicii urinare, rinichilor, colului uterin și pancreasului;</w:t>
      </w:r>
    </w:p>
    <w:p w14:paraId="27FA201E" w14:textId="77777777" w:rsidR="00CD3152" w:rsidRPr="006E0160" w:rsidRDefault="00CD3152" w:rsidP="00A62A7C">
      <w:pPr>
        <w:numPr>
          <w:ilvl w:val="0"/>
          <w:numId w:val="2"/>
        </w:numPr>
        <w:spacing w:line="360" w:lineRule="auto"/>
      </w:pPr>
      <w:r w:rsidRPr="006E0160">
        <w:t>după 15 ani: riscul de boală coronariană ajunge egal cu cel al unui nefumător.</w:t>
      </w:r>
    </w:p>
    <w:p w14:paraId="41AED7B2" w14:textId="77777777" w:rsidR="00CD3152" w:rsidRPr="006E0160" w:rsidRDefault="00CD3152" w:rsidP="00CD3152">
      <w:pPr>
        <w:spacing w:line="360" w:lineRule="auto"/>
        <w:ind w:firstLine="348"/>
      </w:pPr>
      <w:r w:rsidRPr="006E0160">
        <w:t>Beneficiile renunțării la consumul de tutun pentru fumătorii de orice vârstă şi pentru cei care au dezvoltat deja o boală datorată fumatului în funcție de vârsta la care renunță:</w:t>
      </w:r>
    </w:p>
    <w:p w14:paraId="6B95955D" w14:textId="77777777" w:rsidR="00CD3152" w:rsidRPr="006E0160" w:rsidRDefault="00CD3152" w:rsidP="00A62A7C">
      <w:pPr>
        <w:numPr>
          <w:ilvl w:val="0"/>
          <w:numId w:val="2"/>
        </w:numPr>
        <w:spacing w:line="360" w:lineRule="auto"/>
      </w:pPr>
      <w:r w:rsidRPr="006E0160">
        <w:t>în jur de 30 ani - crește speranța de viață cu aproape 10 ani</w:t>
      </w:r>
    </w:p>
    <w:p w14:paraId="648FF87C" w14:textId="77777777" w:rsidR="00CD3152" w:rsidRPr="006E0160" w:rsidRDefault="00CD3152" w:rsidP="00A62A7C">
      <w:pPr>
        <w:numPr>
          <w:ilvl w:val="0"/>
          <w:numId w:val="2"/>
        </w:numPr>
        <w:spacing w:line="360" w:lineRule="auto"/>
      </w:pPr>
      <w:r w:rsidRPr="006E0160">
        <w:t>în jur de 40 ani - crește speranța de viață cu aproape 9 ani</w:t>
      </w:r>
    </w:p>
    <w:p w14:paraId="023C95E0" w14:textId="77777777" w:rsidR="00CD3152" w:rsidRDefault="00CD3152" w:rsidP="00A62A7C">
      <w:pPr>
        <w:numPr>
          <w:ilvl w:val="0"/>
          <w:numId w:val="2"/>
        </w:numPr>
        <w:spacing w:line="360" w:lineRule="auto"/>
      </w:pPr>
      <w:r w:rsidRPr="006E0160">
        <w:t>în jur de 50 ani - crește speranța de viață cu aproape 6 ani</w:t>
      </w:r>
    </w:p>
    <w:p w14:paraId="004FC63E" w14:textId="77777777" w:rsidR="00CD3152" w:rsidRPr="006E0160" w:rsidRDefault="00CD3152" w:rsidP="001A1C0B">
      <w:pPr>
        <w:pStyle w:val="Heading2"/>
      </w:pPr>
      <w:bookmarkStart w:id="70" w:name="_Toc232660568"/>
      <w:r w:rsidRPr="006E0160">
        <w:t>Impactul asupra sănătății al produselor de tutun bazate pe tutun încălzit</w:t>
      </w:r>
      <w:r>
        <w:t xml:space="preserve"> și țigărilor electronice</w:t>
      </w:r>
      <w:bookmarkEnd w:id="70"/>
    </w:p>
    <w:p w14:paraId="5DF214FF" w14:textId="23607CCF" w:rsidR="00AE526C" w:rsidRDefault="00AE526C" w:rsidP="00CD3152">
      <w:pPr>
        <w:ind w:firstLine="708"/>
        <w:jc w:val="both"/>
      </w:pPr>
      <w:r w:rsidRPr="00AE526C">
        <w:t>Apariția noilor produse legate de tutun și nicotină, inclusiv țigările electronice (țigări electronice), produsele încălzite din tutun și pliculețele cu nicotină, a ridicat îngrijorări cu privire la posibilele lor efecte asupra sănătății și rolul în inițierea și renunțarea la fumat</w:t>
      </w:r>
      <w:r>
        <w:t>.</w:t>
      </w:r>
    </w:p>
    <w:p w14:paraId="4ADA5940" w14:textId="0C091880" w:rsidR="009D5AE1" w:rsidRDefault="009D5AE1" w:rsidP="00CD3152">
      <w:pPr>
        <w:ind w:firstLine="708"/>
        <w:jc w:val="both"/>
      </w:pPr>
      <w:r w:rsidRPr="009D5AE1">
        <w:t xml:space="preserve">Având în vedere timpul limitat în care aceste produse au fost disponibile pe piață, dovezile actuale sunt în mare parte limitate la rezultate de sănătate pe termen scurt și mediu, în timp ce există o lipsă de dovezi pe termen lung, pentru care rapoartele evaluate subliniază necesitatea unor cercetări suplimentare pentru a permite estimarea exactă a riscului. Țigările electronice nu sunt inofensive și sunt asociate cu rezultate adverse pe termen scurt și mediu asupra sănătății, inclusiv cele cardiovasculare și </w:t>
      </w:r>
      <w:r w:rsidRPr="009D5AE1">
        <w:lastRenderedPageBreak/>
        <w:t>respiratorii. Există, de asemenea, îngrijorări legate de inhalarea nicotinei, precum și a metalelor și a altor substanțe cu toxicitate neclară</w:t>
      </w:r>
      <w:r>
        <w:fldChar w:fldCharType="begin"/>
      </w:r>
      <w:r>
        <w:instrText xml:space="preserve"> ADDIN EN.CITE &lt;EndNote&gt;&lt;Cite&gt;&lt;Author&gt;Perez-Cornago&lt;/Author&gt;&lt;Year&gt;2026&lt;/Year&gt;&lt;RecNum&gt;9760&lt;/RecNum&gt;&lt;DisplayText&gt;&lt;style size="10"&gt;[2]&lt;/style&gt;&lt;/DisplayText&gt;&lt;record&gt;&lt;rec-number&gt;9760&lt;/rec-number&gt;&lt;foreign-keys&gt;&lt;key app="EN" db-id="fw0prtesnvf55cepezbx255wwza5zw0ssatt" timestamp="1780353134"&gt;9760&lt;/key&gt;&lt;/foreign-keys&gt;&lt;ref-type name="Journal Article"&gt;17&lt;/ref-type&gt;&lt;contributors&gt;&lt;authors&gt;&lt;author&gt;Perez-Cornago, A., Sarasa-Renedo, A., Jarach, C., Wollgast, J., Maragkoudakis, P. &lt;/author&gt;&lt;/authors&gt;&lt;/contributors&gt;&lt;titles&gt;&lt;title&gt;Health outcomes associated with the use of e-cigarettes, heated tobacco products, and nicotine pouches&lt;/title&gt;&lt;secondary-title&gt;Publications Office of the European Union, Luxembourg, 2026&lt;/secondary-title&gt;&lt;/titles&gt;&lt;periodical&gt;&lt;full-title&gt;Publications Office of the European Union, Luxembourg, 2026&lt;/full-title&gt;&lt;/periodical&gt;&lt;dates&gt;&lt;year&gt;&lt;style face="normal" font="default" charset="238" size="100%"&gt;2026&lt;/style&gt;&lt;/year&gt;&lt;/dates&gt;&lt;isbn&gt;1831-9424&lt;/isbn&gt;&lt;label&gt;JRC146139&lt;/label&gt;&lt;urls&gt;&lt;related-urls&gt;&lt;url&gt; https://data.europa.eu/doi/10.2760/0061469&lt;/url&gt;&lt;/related-urls&gt;&lt;/urls&gt;&lt;electronic-resource-num&gt;10.2760/0061469&lt;/electronic-resource-num&gt;&lt;/record&gt;&lt;/Cite&gt;&lt;/EndNote&gt;</w:instrText>
      </w:r>
      <w:r>
        <w:fldChar w:fldCharType="separate"/>
      </w:r>
      <w:r w:rsidRPr="009D5AE1">
        <w:rPr>
          <w:noProof/>
          <w:sz w:val="20"/>
        </w:rPr>
        <w:t>[2]</w:t>
      </w:r>
      <w:r>
        <w:fldChar w:fldCharType="end"/>
      </w:r>
      <w:r w:rsidRPr="009D5AE1">
        <w:t>. Produsele din tutun încălzite, deși există mai puține dovezi disponibile, au fost asociate cu riscuri similare pentru sănătate ca țigările electronice. La rândul lor, pliculețele de nicotină nu au suficiente dovezi privind efectele lor asupra sănătății din cauza timpului limitat petrecut pe piață</w:t>
      </w:r>
      <w:r>
        <w:t>.</w:t>
      </w:r>
    </w:p>
    <w:p w14:paraId="4F64A161" w14:textId="03C0838B" w:rsidR="009D5AE1" w:rsidRDefault="009D5AE1" w:rsidP="00CD3152">
      <w:pPr>
        <w:ind w:firstLine="708"/>
        <w:jc w:val="both"/>
      </w:pPr>
      <w:r>
        <w:t>R</w:t>
      </w:r>
      <w:r w:rsidRPr="009D5AE1">
        <w:t xml:space="preserve">olul acestor produse în inițierea și renunțarea la fumat este încă neclar, </w:t>
      </w:r>
      <w:r>
        <w:t>dar numeroase</w:t>
      </w:r>
      <w:r w:rsidRPr="009D5AE1">
        <w:t xml:space="preserve"> studii sugerând că țigările electronice pot acționa ca o "poartă de acces" către fumat</w:t>
      </w:r>
      <w:r>
        <w:t>ul convențional</w:t>
      </w:r>
      <w:r w:rsidRPr="009D5AE1">
        <w:t>, în special în rândul tinerilor</w:t>
      </w:r>
      <w:r>
        <w:fldChar w:fldCharType="begin"/>
      </w:r>
      <w:r>
        <w:instrText xml:space="preserve"> ADDIN EN.CITE &lt;EndNote&gt;&lt;Cite&gt;&lt;Author&gt;Perez-Cornago&lt;/Author&gt;&lt;Year&gt;2026&lt;/Year&gt;&lt;RecNum&gt;9760&lt;/RecNum&gt;&lt;DisplayText&gt;&lt;style size="10"&gt;[2]&lt;/style&gt;&lt;/DisplayText&gt;&lt;record&gt;&lt;rec-number&gt;9760&lt;/rec-number&gt;&lt;foreign-keys&gt;&lt;key app="EN" db-id="fw0prtesnvf55cepezbx255wwza5zw0ssatt" timestamp="1780353134"&gt;9760&lt;/key&gt;&lt;/foreign-keys&gt;&lt;ref-type name="Journal Article"&gt;17&lt;/ref-type&gt;&lt;contributors&gt;&lt;authors&gt;&lt;author&gt;Perez-Cornago, A., Sarasa-Renedo, A., Jarach, C., Wollgast, J., Maragkoudakis, P. &lt;/author&gt;&lt;/authors&gt;&lt;/contributors&gt;&lt;titles&gt;&lt;title&gt;Health outcomes associated with the use of e-cigarettes, heated tobacco products, and nicotine pouches&lt;/title&gt;&lt;secondary-title&gt;Publications Office of the European Union, Luxembourg, 2026&lt;/secondary-title&gt;&lt;/titles&gt;&lt;periodical&gt;&lt;full-title&gt;Publications Office of the European Union, Luxembourg, 2026&lt;/full-title&gt;&lt;/periodical&gt;&lt;dates&gt;&lt;year&gt;&lt;style face="normal" font="default" charset="238" size="100%"&gt;2026&lt;/style&gt;&lt;/year&gt;&lt;/dates&gt;&lt;isbn&gt;1831-9424&lt;/isbn&gt;&lt;label&gt;JRC146139&lt;/label&gt;&lt;urls&gt;&lt;related-urls&gt;&lt;url&gt; https://data.europa.eu/doi/10.2760/0061469&lt;/url&gt;&lt;/related-urls&gt;&lt;/urls&gt;&lt;electronic-resource-num&gt;10.2760/0061469&lt;/electronic-resource-num&gt;&lt;/record&gt;&lt;/Cite&gt;&lt;/EndNote&gt;</w:instrText>
      </w:r>
      <w:r>
        <w:fldChar w:fldCharType="separate"/>
      </w:r>
      <w:r w:rsidRPr="009D5AE1">
        <w:rPr>
          <w:noProof/>
          <w:sz w:val="20"/>
        </w:rPr>
        <w:t>[2]</w:t>
      </w:r>
      <w:r>
        <w:fldChar w:fldCharType="end"/>
      </w:r>
      <w:r w:rsidRPr="009D5AE1">
        <w:t xml:space="preserve">. </w:t>
      </w:r>
    </w:p>
    <w:p w14:paraId="0F74F598" w14:textId="22F2F6C8" w:rsidR="00CD3152" w:rsidRPr="006E0160" w:rsidRDefault="00CD3152" w:rsidP="00CD3152">
      <w:pPr>
        <w:ind w:firstLine="708"/>
        <w:jc w:val="both"/>
      </w:pPr>
      <w:r w:rsidRPr="006E0160">
        <w:t>În contextul intensificării eforturilor de reducere a fumatului convențional, produsele cu tutun încălzit (HTPs – Heated Tobacco Products) au fost promovate ca alternative „mai puțin nocive” de către industrie. Aceste produse funcționează prin încălzirea tutunului la temperaturi sub cele ale arderii tradiționale, eliberând un aerosol inhalabil ce conține nicotină și alte substanțe toxice. Cu toate acestea, datele științifice disponibile indică faptul că aceste produse nu sunt inofensive și pot avea efecte semnificative asupra sănătății.</w:t>
      </w:r>
    </w:p>
    <w:p w14:paraId="14FE7D1F" w14:textId="23A0B676" w:rsidR="00CD3152" w:rsidRDefault="00CD3152" w:rsidP="00CD3152">
      <w:pPr>
        <w:ind w:firstLine="708"/>
        <w:jc w:val="both"/>
      </w:pPr>
      <w:r w:rsidRPr="006E0160">
        <w:t>Studiile independente au demonstrat că, deși aerosolul generat de HTPs conține mai puține substanțe cancerigene comparativ cu fumul țigărilor convenționale, nivelurile de nicotină rămân comparabile sau chiar mai ridicate în unele cazuri. De asemenea, sunt prezen</w:t>
      </w:r>
      <w:r>
        <w:t>ți</w:t>
      </w:r>
      <w:r w:rsidRPr="006E0160">
        <w:t xml:space="preserve"> compuși toxici precum: acroleină, formaldehidă, benzen, care au potențial iritativ, inflamator sau carcinogen</w:t>
      </w:r>
      <w:r>
        <w:t>.</w:t>
      </w:r>
      <w:r w:rsidRPr="001F0091">
        <w:t xml:space="preserve"> Umectanți </w:t>
      </w:r>
      <w:r>
        <w:t>cum ar fi</w:t>
      </w:r>
      <w:r w:rsidRPr="001F0091">
        <w:t xml:space="preserve"> propilenglicolul și glicerolul sunt adăugați la tutun pentru a facilita formarea unui aerosol</w:t>
      </w:r>
      <w:r>
        <w:t>.</w:t>
      </w:r>
      <w:r w:rsidRPr="001F0091">
        <w:t xml:space="preserve"> </w:t>
      </w:r>
      <w:r>
        <w:fldChar w:fldCharType="begin"/>
      </w:r>
      <w:r w:rsidR="00D4526D">
        <w:instrText xml:space="preserve"> ADDIN EN.CITE &lt;EndNote&gt;&lt;Cite&gt;&lt;Author&gt;WHO&lt;/Author&gt;&lt;Year&gt;2020&lt;/Year&gt;&lt;RecNum&gt;9241&lt;/RecNum&gt;&lt;DisplayText&gt;&lt;style size="10"&gt;[22]&lt;/style&gt;&lt;/DisplayText&gt;&lt;record&gt;&lt;rec-number&gt;9241&lt;/rec-number&gt;&lt;foreign-keys&gt;&lt;key app="EN" db-id="fw0prtesnvf55cepezbx255wwza5zw0ssatt" timestamp="1759890825" guid="e7b3cc4c-f6a0-4b08-9271-d2297656c6c2"&gt;9241&lt;/key&gt;&lt;/foreign-keys&gt;&lt;ref-type name="Report"&gt;27&lt;/ref-type&gt;&lt;contributors&gt;&lt;authors&gt;&lt;author&gt;&lt;style face="normal" font="default" charset="238" size="100%"&gt;WHO&lt;/style&gt;&lt;/author&gt;&lt;/authors&gt;&lt;/contributors&gt;&lt;titles&gt;&lt;title&gt;&lt;style face="normal" font="default" size="100%"&gt;H&lt;/style&gt;&lt;style face="normal" font="default" charset="238" size="100%"&gt;eated&lt;/style&gt;&lt;style face="normal" font="default" size="100%"&gt; T&lt;/style&gt;&lt;style face="normal" font="default" charset="238" size="100%"&gt;obacco &lt;/style&gt;&lt;style face="normal" font="default" size="100%"&gt;P&lt;/style&gt;&lt;style face="normal" font="default" charset="238" size="100%"&gt;roducts - a&lt;/style&gt;&lt;style face="normal" font="default" size="100%"&gt; &lt;/style&gt;&lt;style face="normal" font="default" charset="238" size="100%"&gt;brief&lt;/style&gt;&lt;/title&gt;&lt;/titles&gt;&lt;number&gt;WHO/EURO:2020-4571-44334-64934&lt;/number&gt;&lt;dates&gt;&lt;year&gt;&lt;style face="normal" font="default" charset="238" size="100%"&gt;2020&lt;/style&gt;&lt;/year&gt;&lt;/dates&gt;&lt;urls&gt;&lt;related-urls&gt;&lt;url&gt;https://iris.who.int/server/api/core/bitstreams/a1b8f935-7e57-476b-84cb-1607a586ec11/content&lt;/url&gt;&lt;/related-urls&gt;&lt;/urls&gt;&lt;/record&gt;&lt;/Cite&gt;&lt;/EndNote&gt;</w:instrText>
      </w:r>
      <w:r>
        <w:fldChar w:fldCharType="separate"/>
      </w:r>
      <w:r w:rsidR="00D4526D" w:rsidRPr="00D4526D">
        <w:rPr>
          <w:noProof/>
          <w:sz w:val="20"/>
        </w:rPr>
        <w:t>[22]</w:t>
      </w:r>
      <w:r>
        <w:fldChar w:fldCharType="end"/>
      </w:r>
      <w:r>
        <w:t>.</w:t>
      </w:r>
    </w:p>
    <w:p w14:paraId="0212D940" w14:textId="77777777" w:rsidR="00CD3152" w:rsidRPr="006E0160" w:rsidRDefault="00CD3152" w:rsidP="00CD3152">
      <w:pPr>
        <w:ind w:firstLine="708"/>
        <w:jc w:val="both"/>
      </w:pPr>
      <w:r w:rsidRPr="00B70313">
        <w:t>Introducerea recentă a HTP-urilor pe piață și diversitatea produselor fac dificilă evaluarea adecvată a efectelor adverse pe termen lung asupra sănătății ale utilizării produselor, în special a riscului cancerigen.</w:t>
      </w:r>
    </w:p>
    <w:p w14:paraId="282520C2" w14:textId="77777777" w:rsidR="00CD3152" w:rsidRPr="006E0160" w:rsidRDefault="00CD3152" w:rsidP="00CD3152">
      <w:pPr>
        <w:jc w:val="both"/>
        <w:rPr>
          <w:b/>
          <w:bCs/>
          <w:i/>
          <w:iCs/>
        </w:rPr>
      </w:pPr>
      <w:r w:rsidRPr="006E0160">
        <w:rPr>
          <w:b/>
          <w:bCs/>
          <w:i/>
          <w:iCs/>
        </w:rPr>
        <w:t>Efecte asupra aparatului respirator și cardiovascular</w:t>
      </w:r>
    </w:p>
    <w:p w14:paraId="33667A78" w14:textId="4DEA2422" w:rsidR="00CD3152" w:rsidRPr="006E0160" w:rsidRDefault="00CD3152" w:rsidP="00CD3152">
      <w:pPr>
        <w:ind w:firstLine="708"/>
        <w:jc w:val="both"/>
      </w:pPr>
      <w:r w:rsidRPr="006E0160">
        <w:t xml:space="preserve">Expunerea repetată la aerosolul HTP afectează funcția respiratorie. </w:t>
      </w:r>
      <w:r>
        <w:t>A</w:t>
      </w:r>
      <w:r w:rsidRPr="006E0160">
        <w:t>u</w:t>
      </w:r>
      <w:r>
        <w:t xml:space="preserve"> fost</w:t>
      </w:r>
      <w:r w:rsidRPr="006E0160">
        <w:t xml:space="preserve"> evidențiat</w:t>
      </w:r>
      <w:r>
        <w:t>e</w:t>
      </w:r>
      <w:r w:rsidRPr="006E0160">
        <w:t xml:space="preserve"> modificări inflamatorii ale căilor respiratorii și stres oxidativ la utilizatorii exclusivi de HTP, similare cu cele observate la fumători activi</w:t>
      </w:r>
      <w:r>
        <w:fldChar w:fldCharType="begin">
          <w:fldData xml:space="preserve">PEVuZE5vdGU+PENpdGU+PEF1dGhvcj5CcmF2by1HdXRpZXJyZXo8L0F1dGhvcj48WWVhcj4yMDIx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</w:fldData>
        </w:fldChar>
      </w:r>
      <w:r w:rsidR="00D4526D">
        <w:instrText xml:space="preserve"> ADDIN EN.CITE </w:instrText>
      </w:r>
      <w:r w:rsidR="00D4526D">
        <w:fldChar w:fldCharType="begin">
          <w:fldData xml:space="preserve">PEVuZE5vdGU+PENpdGU+PEF1dGhvcj5CcmF2by1HdXRpZXJyZXo8L0F1dGhvcj48WWVhcj4yMDIx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</w:fldData>
        </w:fldChar>
      </w:r>
      <w:r w:rsidR="00D4526D">
        <w:instrText xml:space="preserve"> ADDIN EN.CITE.DATA </w:instrText>
      </w:r>
      <w:r w:rsidR="00D4526D">
        <w:fldChar w:fldCharType="end"/>
      </w:r>
      <w:r>
        <w:fldChar w:fldCharType="separate"/>
      </w:r>
      <w:r w:rsidR="00D4526D" w:rsidRPr="00D4526D">
        <w:rPr>
          <w:noProof/>
          <w:sz w:val="20"/>
        </w:rPr>
        <w:t>[23]</w:t>
      </w:r>
      <w:r>
        <w:fldChar w:fldCharType="end"/>
      </w:r>
      <w:r w:rsidRPr="006E0160">
        <w:t xml:space="preserve">. </w:t>
      </w:r>
    </w:p>
    <w:p w14:paraId="7D750EE4" w14:textId="4D4DB1DF" w:rsidR="00CD3152" w:rsidRPr="006E0160" w:rsidRDefault="00CD3152" w:rsidP="00CD3152">
      <w:pPr>
        <w:ind w:firstLine="708"/>
        <w:jc w:val="both"/>
      </w:pPr>
      <w:r w:rsidRPr="006E0160">
        <w:t>În ceea ce privește sistemul cardiovascular, utilizarea HTPs determină creșterea acută a tensiunii arteriale și frecvenței cardiace, iar pe termen lung poate favoriza ateroscleroza subclinică</w:t>
      </w:r>
      <w:r>
        <w:fldChar w:fldCharType="begin"/>
      </w:r>
      <w:r w:rsidR="00D4526D">
        <w:instrText xml:space="preserve"> ADDIN EN.CITE &lt;EndNote&gt;&lt;Cite&gt;&lt;Author&gt;Znyk&lt;/Author&gt;&lt;Year&gt;2021&lt;/Year&gt;&lt;RecNum&gt;9154&lt;/RecNum&gt;&lt;DisplayText&gt;&lt;style size="10"&gt;[24]&lt;/style&gt;&lt;/DisplayText&gt;&lt;record&gt;&lt;rec-number&gt;9154&lt;/rec-number&gt;&lt;foreign-keys&gt;&lt;key app="EN" db-id="fw0prtesnvf55cepezbx255wwza5zw0ssatt" timestamp="1754275480" guid="c85907bc-71e2-4bb9-913c-0d507435c761"&gt;9154&lt;/key&gt;&lt;/foreign-keys&gt;&lt;ref-type name="Journal Article"&gt;17&lt;/ref-type&gt;&lt;contributors&gt;&lt;authors&gt;&lt;author&gt;Znyk, M.&lt;/author&gt;&lt;author&gt;Jurewicz, J.&lt;/author&gt;&lt;author&gt;Kaleta, D.&lt;/author&gt;&lt;/authors&gt;&lt;/contributors&gt;&lt;auth-address&gt;Department of Hygiene and Epidemiology, Medical University of Lodz, 90-647 Lodz, Poland.&lt;/auth-address&gt;&lt;titles&gt;&lt;title&gt;Exposure to Heated Tobacco Products and Adverse Health Effects, a Systematic Review&lt;/title&gt;&lt;secondary-title&gt;Int J Environ Res Public Health&lt;/secondary-title&gt;&lt;/titles&gt;&lt;periodical&gt;&lt;full-title&gt;Int J Environ Res Public Health&lt;/full-title&gt;&lt;/periodical&gt;&lt;volume&gt;18&lt;/volume&gt;&lt;number&gt;12&lt;/number&gt;&lt;edition&gt;20210621&lt;/edition&gt;&lt;keywords&gt;&lt;keyword&gt;*Electronic Nicotine Delivery Systems&lt;/keyword&gt;&lt;keyword&gt;Humans&lt;/keyword&gt;&lt;keyword&gt;Nicotine&lt;/keyword&gt;&lt;keyword&gt;Smokers&lt;/keyword&gt;&lt;keyword&gt;*Tobacco Products&lt;/keyword&gt;&lt;keyword&gt;Tobacco Smoking&lt;/keyword&gt;&lt;keyword&gt;Glo&lt;/keyword&gt;&lt;keyword&gt;Iqos&lt;/keyword&gt;&lt;keyword&gt;Ploom&lt;/keyword&gt;&lt;keyword&gt;adverse health effects&lt;/keyword&gt;&lt;keyword&gt;heat-non-burn&lt;/keyword&gt;&lt;keyword&gt;heated tobacco products&lt;/keyword&gt;&lt;/keywords&gt;&lt;dates&gt;&lt;year&gt;2021&lt;/year&gt;&lt;pub-dates&gt;&lt;date&gt;Jun 21&lt;/date&gt;&lt;/pub-dates&gt;&lt;/dates&gt;&lt;isbn&gt;1660-4601 (Electronic)&amp;#xD;1661-7827 (Print)&amp;#xD;1660-4601 (Linking)&lt;/isbn&gt;&lt;accession-num&gt;34205612&lt;/accession-num&gt;&lt;urls&gt;&lt;related-urls&gt;&lt;url&gt;https://www.ncbi.nlm.nih.gov/pubmed/34205612&lt;/url&gt;&lt;/related-urls&gt;&lt;/urls&gt;&lt;custom1&gt;The authors declare no conflict of interest.&lt;/custom1&gt;&lt;custom2&gt;PMC8296358&lt;/custom2&gt;&lt;electronic-resource-num&gt;10.3390/ijerph18126651&lt;/electronic-resource-num&gt;&lt;/record&gt;&lt;/Cite&gt;&lt;/EndNote&gt;</w:instrText>
      </w:r>
      <w:r>
        <w:fldChar w:fldCharType="separate"/>
      </w:r>
      <w:r w:rsidR="00D4526D" w:rsidRPr="00D4526D">
        <w:rPr>
          <w:noProof/>
          <w:sz w:val="20"/>
        </w:rPr>
        <w:t>[24]</w:t>
      </w:r>
      <w:r>
        <w:fldChar w:fldCharType="end"/>
      </w:r>
      <w:r w:rsidRPr="006E0160">
        <w:t xml:space="preserve"> .</w:t>
      </w:r>
    </w:p>
    <w:p w14:paraId="0EC9395B" w14:textId="77777777" w:rsidR="00CD3152" w:rsidRPr="006E0160" w:rsidRDefault="00CD3152" w:rsidP="00CD3152">
      <w:pPr>
        <w:jc w:val="both"/>
        <w:rPr>
          <w:b/>
          <w:bCs/>
          <w:i/>
          <w:iCs/>
        </w:rPr>
      </w:pPr>
      <w:r w:rsidRPr="006E0160">
        <w:rPr>
          <w:b/>
          <w:bCs/>
          <w:i/>
          <w:iCs/>
        </w:rPr>
        <w:t>Riscuri oncologice</w:t>
      </w:r>
    </w:p>
    <w:p w14:paraId="58A9FEF2" w14:textId="77777777" w:rsidR="00CD3152" w:rsidRPr="006E0160" w:rsidRDefault="00CD3152" w:rsidP="00CD3152">
      <w:pPr>
        <w:ind w:firstLine="708"/>
        <w:jc w:val="both"/>
      </w:pPr>
      <w:r w:rsidRPr="006E0160">
        <w:t>Deși riscul carcinogen al HTPs este inferior celui al țigărilor convenționale, nu este neglijabil. OMS avertizează că utilizarea acestor produse menține expunerea cronică la substanțe cu potențial cancerigen și contribuie la menținerea dependenței nicotinice, ceea ce reduce probabilitatea renunțării definitive la fumat.</w:t>
      </w:r>
    </w:p>
    <w:p w14:paraId="0CA66E2C" w14:textId="77777777" w:rsidR="00CD3152" w:rsidRPr="006E0160" w:rsidRDefault="00CD3152" w:rsidP="00CD3152">
      <w:pPr>
        <w:jc w:val="both"/>
        <w:rPr>
          <w:b/>
          <w:bCs/>
          <w:i/>
          <w:iCs/>
        </w:rPr>
      </w:pPr>
      <w:r w:rsidRPr="006E0160">
        <w:rPr>
          <w:b/>
          <w:bCs/>
          <w:i/>
          <w:iCs/>
        </w:rPr>
        <w:t>Utilizarea în rândul adolescenților și efectele comportamentale</w:t>
      </w:r>
    </w:p>
    <w:p w14:paraId="67DD42CF" w14:textId="4FF9220A" w:rsidR="00CD3152" w:rsidRPr="006E0160" w:rsidRDefault="00CD3152" w:rsidP="00CD3152">
      <w:pPr>
        <w:ind w:firstLine="708"/>
        <w:jc w:val="both"/>
      </w:pPr>
      <w:r w:rsidRPr="006E0160">
        <w:t>HTPs sunt adesea percepute de tineri ca fiind „mai sigure”, fapt exploatat prin designuri atractive și marketing agresiv. Datele Eurobarometru</w:t>
      </w:r>
      <w:r>
        <w:t xml:space="preserve"> </w:t>
      </w:r>
      <w:r w:rsidRPr="006E0160">
        <w:t>202</w:t>
      </w:r>
      <w:r>
        <w:t>3</w:t>
      </w:r>
      <w:r>
        <w:fldChar w:fldCharType="begin"/>
      </w:r>
      <w:r w:rsidR="00D4526D">
        <w:instrText xml:space="preserve"> ADDIN EN.CITE &lt;EndNote&gt;&lt;Cite&gt;&lt;Author&gt;EC&lt;/Author&gt;&lt;Year&gt;2024&lt;/Year&gt;&lt;RecNum&gt;9226&lt;/RecNum&gt;&lt;DisplayText&gt;&lt;style size="10"&gt;[8]&lt;/style&gt;&lt;/DisplayText&gt;&lt;record&gt;&lt;rec-number&gt;9226&lt;/rec-number&gt;&lt;foreign-keys&gt;&lt;key app="EN" db-id="fw0prtesnvf55cepezbx255wwza5zw0ssatt" timestamp="1759687849" guid="515556ee-9e18-4f0d-8b9e-67ec2c91a684"&gt;9226&lt;/key&gt;&lt;/foreign-keys&gt;&lt;ref-type name="Report"&gt;27&lt;/ref-type&gt;&lt;contributors&gt;&lt;authors&gt;&lt;author&gt;EC&lt;/author&gt;&lt;/authors&gt;&lt;secondary-authors&gt;&lt;author&gt;DG Sante&lt;/author&gt;&lt;/secondary-authors&gt;&lt;/contributors&gt;&lt;titles&gt;&lt;title&gt;Special Eurobarometer SP539: Attitudes of Europeans towards tobacco and related products&lt;/title&gt;&lt;secondary-title&gt;Special Eurobarometer &lt;/secondary-title&gt;&lt;/titles&gt;&lt;dates&gt;&lt;year&gt;2024&lt;/year&gt;&lt;/dates&gt;&lt;pub-location&gt;internet&lt;/pub-location&gt;&lt;label&gt;Special Eurobarometer SP539&lt;/label&gt;&lt;urls&gt;&lt;related-urls&gt;&lt;url&gt;https://europa.eu/eurobarometer/surveys/detail/2995&lt;/url&gt;&lt;/related-urls&gt;&lt;/urls&gt;&lt;electronic-resource-num&gt;10.2875/629307&lt;/electronic-resource-num&gt;&lt;/record&gt;&lt;/Cite&gt;&lt;/EndNote&gt;</w:instrText>
      </w:r>
      <w:r>
        <w:fldChar w:fldCharType="separate"/>
      </w:r>
      <w:r w:rsidR="00D4526D" w:rsidRPr="00D4526D">
        <w:rPr>
          <w:noProof/>
          <w:sz w:val="20"/>
        </w:rPr>
        <w:t>[8]</w:t>
      </w:r>
      <w:r>
        <w:fldChar w:fldCharType="end"/>
      </w:r>
      <w:r>
        <w:t xml:space="preserve"> </w:t>
      </w:r>
      <w:r w:rsidRPr="006E0160">
        <w:t>arată o creștere a inițierii fumatului prin produse cu tutun încălzit în rândul adolescenților din UE, mai ales în țările unde reglementările sunt mai permisive. Această tendință ridică îngrijorări serioase privind normalizarea consumului de nicotină și creșterea riscului de tranziție către fumatul convențional.</w:t>
      </w:r>
      <w:r>
        <w:t xml:space="preserve"> </w:t>
      </w:r>
    </w:p>
    <w:p w14:paraId="2E58DB36" w14:textId="6DD31ADE" w:rsidR="00CD3152" w:rsidRPr="006E0160" w:rsidRDefault="00CD3152" w:rsidP="00CD3152">
      <w:pPr>
        <w:ind w:firstLine="708"/>
        <w:jc w:val="both"/>
      </w:pPr>
      <w:r w:rsidRPr="006E0160">
        <w:t xml:space="preserve">OMS afirmă </w:t>
      </w:r>
      <w:r>
        <w:t>ferm</w:t>
      </w:r>
      <w:r w:rsidRPr="006E0160">
        <w:t xml:space="preserve"> că produsele cu tutun încălzit nu sunt sigure și nu ar trebui promovate ca alternative inofensive</w:t>
      </w:r>
      <w:r>
        <w:t>, subliniind</w:t>
      </w:r>
      <w:r w:rsidRPr="006E0160">
        <w:t xml:space="preserve"> că nu există suficiente dovezi care să demonstreze că HTPs ajută </w:t>
      </w:r>
      <w:r w:rsidRPr="006E0160">
        <w:lastRenderedPageBreak/>
        <w:t>eficient la renunțarea la fumat și atr</w:t>
      </w:r>
      <w:r>
        <w:t>ăgând</w:t>
      </w:r>
      <w:r w:rsidRPr="006E0160">
        <w:t xml:space="preserve"> atenția asupra riscului de „dublu consum” (HTPs + țigări convenționale)</w:t>
      </w:r>
      <w:r>
        <w:fldChar w:fldCharType="begin"/>
      </w:r>
      <w:r w:rsidR="00D4526D">
        <w:instrText xml:space="preserve"> ADDIN EN.CITE &lt;EndNote&gt;&lt;Cite&gt;&lt;Author&gt;WHO&lt;/Author&gt;&lt;Year&gt;2023&lt;/Year&gt;&lt;RecNum&gt;9125&lt;/RecNum&gt;&lt;DisplayText&gt;&lt;style size="10"&gt;[25]&lt;/style&gt;&lt;/DisplayText&gt;&lt;record&gt;&lt;rec-number&gt;9125&lt;/rec-number&gt;&lt;foreign-keys&gt;&lt;key app="EN" db-id="fw0prtesnvf55cepezbx255wwza5zw0ssatt" timestamp="1754270746" guid="4d0c3be7-701b-42f5-a259-8ecabe133003"&gt;9125&lt;/key&gt;&lt;/foreign-keys&gt;&lt;ref-type name="Report"&gt;27&lt;/ref-type&gt;&lt;contributors&gt;&lt;authors&gt;&lt;author&gt;WHO&lt;/author&gt;&lt;/authors&gt;&lt;secondary-authors&gt;&lt;author&gt;World Health Organization&lt;/author&gt;&lt;/secondary-authors&gt;&lt;/contributors&gt;&lt;titles&gt;&lt;title&gt;Heated tobacco products: summary of research and evidence of health impacts&lt;/title&gt;&lt;/titles&gt;&lt;dates&gt;&lt;year&gt;&lt;style face="normal" font="default" charset="238" size="100%"&gt;2023&lt;/style&gt;&lt;/year&gt;&lt;/dates&gt;&lt;pub-location&gt;&lt;style face="normal" font="default" charset="238" size="100%"&gt;Geneva&lt;/style&gt;&lt;/pub-location&gt;&lt;urls&gt;&lt;/urls&gt;&lt;/record&gt;&lt;/Cite&gt;&lt;/EndNote&gt;</w:instrText>
      </w:r>
      <w:r>
        <w:fldChar w:fldCharType="separate"/>
      </w:r>
      <w:r w:rsidR="00D4526D" w:rsidRPr="00D4526D">
        <w:rPr>
          <w:noProof/>
          <w:sz w:val="20"/>
        </w:rPr>
        <w:t>[25]</w:t>
      </w:r>
      <w:r>
        <w:fldChar w:fldCharType="end"/>
      </w:r>
      <w:r w:rsidRPr="006E0160">
        <w:t>.</w:t>
      </w:r>
    </w:p>
    <w:p w14:paraId="21DE828E" w14:textId="47F73FE7" w:rsidR="00CD3152" w:rsidRPr="006E0160" w:rsidRDefault="00CD3152" w:rsidP="00CD3152">
      <w:pPr>
        <w:ind w:firstLine="708"/>
        <w:jc w:val="both"/>
      </w:pPr>
      <w:r>
        <w:t>De asemenea, e</w:t>
      </w:r>
      <w:r w:rsidRPr="006E0160">
        <w:t>xistă tot mai multe dovezi că țigările electronice sunt asociate cu rezultate adverse asupra sănătății pulmonare și cardiovasculare</w:t>
      </w:r>
      <w:r>
        <w:fldChar w:fldCharType="begin">
          <w:fldData xml:space="preserve">PEVuZE5vdGU+PENpdGU+PEF1dGhvcj5JTlNQPC9BdXRob3I+PFllYXI+MjAxOTwvWWVhcj48UmVj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=
</w:fldData>
        </w:fldChar>
      </w:r>
      <w:r w:rsidR="00D4526D">
        <w:instrText xml:space="preserve"> ADDIN EN.CITE </w:instrText>
      </w:r>
      <w:r w:rsidR="00D4526D">
        <w:fldChar w:fldCharType="begin">
          <w:fldData xml:space="preserve">PEVuZE5vdGU+PENpdGU+PEF1dGhvcj5JTlNQPC9BdXRob3I+PFllYXI+MjAxOTwvWWVhcj48UmVj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=
</w:fldData>
        </w:fldChar>
      </w:r>
      <w:r w:rsidR="00D4526D">
        <w:instrText xml:space="preserve"> ADDIN EN.CITE.DATA </w:instrText>
      </w:r>
      <w:r w:rsidR="00D4526D">
        <w:fldChar w:fldCharType="end"/>
      </w:r>
      <w:r>
        <w:fldChar w:fldCharType="separate"/>
      </w:r>
      <w:r w:rsidR="00D4526D" w:rsidRPr="00D4526D">
        <w:rPr>
          <w:noProof/>
          <w:sz w:val="20"/>
        </w:rPr>
        <w:t>[26-28]</w:t>
      </w:r>
      <w:r>
        <w:fldChar w:fldCharType="end"/>
      </w:r>
      <w:r w:rsidRPr="006E0160">
        <w:t>. Utilizarea țigărilor electronice a fost atribuită izbucnirii unor afecțiuni pulmonare</w:t>
      </w:r>
      <w:r>
        <w:t xml:space="preserve"> EVALI</w:t>
      </w:r>
      <w:r w:rsidRPr="006E0160">
        <w:t xml:space="preserve"> în SUA, care au dus la peste 2.800 de spitalizări și 68 de decese </w:t>
      </w:r>
      <w:r>
        <w:fldChar w:fldCharType="begin">
          <w:fldData xml:space="preserve">PEVuZE5vdGU+PENpdGU+PEF1dGhvcj5XaWVuczwvQXV0aG9yPjxZZWFyPjIwMjI8L1llYXI+PFJl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</w:fldData>
        </w:fldChar>
      </w:r>
      <w:r w:rsidR="00D4526D">
        <w:instrText xml:space="preserve"> ADDIN EN.CITE </w:instrText>
      </w:r>
      <w:r w:rsidR="00D4526D">
        <w:fldChar w:fldCharType="begin">
          <w:fldData xml:space="preserve">PEVuZE5vdGU+PENpdGU+PEF1dGhvcj5XaWVuczwvQXV0aG9yPjxZZWFyPjIwMjI8L1llYXI+PFJl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</w:fldData>
        </w:fldChar>
      </w:r>
      <w:r w:rsidR="00D4526D">
        <w:instrText xml:space="preserve"> ADDIN EN.CITE.DATA </w:instrText>
      </w:r>
      <w:r w:rsidR="00D4526D">
        <w:fldChar w:fldCharType="end"/>
      </w:r>
      <w:r>
        <w:fldChar w:fldCharType="separate"/>
      </w:r>
      <w:r w:rsidR="00D4526D" w:rsidRPr="00D4526D">
        <w:rPr>
          <w:noProof/>
          <w:sz w:val="20"/>
        </w:rPr>
        <w:t>[29]</w:t>
      </w:r>
      <w:r>
        <w:fldChar w:fldCharType="end"/>
      </w:r>
      <w:r w:rsidRPr="006E0160">
        <w:t>. Aceste constatări evidențiază potențialul țigărilor electronice de a provoca toxicitate pulmonară acută. Dovezile sugerează, de asemenea, că utilizarea țigărilor electronice poate fi asociată cu riscul de cancer pe termen lung, dincolo de efectul carcinogen cunoscut al nicotinei și al metaboliților săi. Analizele chimice ale vaporilor și lichidului din țigara electronică au confirmat prezența a tot atâtea substanțe cancerigene ca cele găsite în fumul de țigară</w:t>
      </w:r>
      <w:r>
        <w:fldChar w:fldCharType="begin">
          <w:fldData xml:space="preserve">PEVuZE5vdGU+PENpdGU+PEF1dGhvcj5TYWh1PC9BdXRob3I+PFllYXI+MjAyMzwvWWVhcj48UmVj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</w:fldData>
        </w:fldChar>
      </w:r>
      <w:r w:rsidR="00D4526D">
        <w:instrText xml:space="preserve"> ADDIN EN.CITE </w:instrText>
      </w:r>
      <w:r w:rsidR="00D4526D">
        <w:fldChar w:fldCharType="begin">
          <w:fldData xml:space="preserve">PEVuZE5vdGU+PENpdGU+PEF1dGhvcj5TYWh1PC9BdXRob3I+PFllYXI+MjAyMzwvWWVhcj48UmVj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</w:fldData>
        </w:fldChar>
      </w:r>
      <w:r w:rsidR="00D4526D">
        <w:instrText xml:space="preserve"> ADDIN EN.CITE.DATA </w:instrText>
      </w:r>
      <w:r w:rsidR="00D4526D">
        <w:fldChar w:fldCharType="end"/>
      </w:r>
      <w:r>
        <w:fldChar w:fldCharType="separate"/>
      </w:r>
      <w:r w:rsidR="00D4526D" w:rsidRPr="00D4526D">
        <w:rPr>
          <w:noProof/>
          <w:sz w:val="20"/>
        </w:rPr>
        <w:t>[30]</w:t>
      </w:r>
      <w:r>
        <w:fldChar w:fldCharType="end"/>
      </w:r>
      <w:r w:rsidRPr="006E0160">
        <w:t>. O serie de studii au arătat că vaporii de țigară electronică conțin compuși carbonilici precum formaldehida, acetaldehida, acroleina și diacetilul, precum și metale cancerigene toxice, cum ar fi cromul, nichelul și plumbul (care provin în mare parte din elementele metalice de încălzire). Nivelurile de agenți cancerigeni specifici variază între diferitele produse, dar au fost identificate cel puțin 30 de substanțe cancerigene, fumatul fără fum/ electronic fiind introdus de IARC în rândul carcinogenelor certe (de grup 1). Mai multe studii preclinice evidențiază efectele biologice adverse ale vaporilor de țigară electronică, inclusiv stresul oxidativ și răspunsul inflamator în celulele epiteliale pulmonare</w:t>
      </w:r>
      <w:r>
        <w:fldChar w:fldCharType="begin">
          <w:fldData xml:space="preserve">PEVuZE5vdGU+PENpdGU+PEF1dGhvcj5CcmF2by1HdXRpZXJyZXo8L0F1dGhvcj48WWVhcj4yMDIx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</w:fldData>
        </w:fldChar>
      </w:r>
      <w:r w:rsidR="00D4526D">
        <w:instrText xml:space="preserve"> ADDIN EN.CITE </w:instrText>
      </w:r>
      <w:r w:rsidR="00D4526D">
        <w:fldChar w:fldCharType="begin">
          <w:fldData xml:space="preserve">PEVuZE5vdGU+PENpdGU+PEF1dGhvcj5CcmF2by1HdXRpZXJyZXo8L0F1dGhvcj48WWVhcj4yMDIx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</w:fldData>
        </w:fldChar>
      </w:r>
      <w:r w:rsidR="00D4526D">
        <w:instrText xml:space="preserve"> ADDIN EN.CITE.DATA </w:instrText>
      </w:r>
      <w:r w:rsidR="00D4526D">
        <w:fldChar w:fldCharType="end"/>
      </w:r>
      <w:r>
        <w:fldChar w:fldCharType="separate"/>
      </w:r>
      <w:r w:rsidR="00D4526D" w:rsidRPr="00D4526D">
        <w:rPr>
          <w:noProof/>
          <w:sz w:val="20"/>
        </w:rPr>
        <w:t>[23,31]</w:t>
      </w:r>
      <w:r>
        <w:fldChar w:fldCharType="end"/>
      </w:r>
      <w:r w:rsidRPr="006E0160">
        <w:t>.</w:t>
      </w:r>
    </w:p>
    <w:p w14:paraId="7043568D" w14:textId="77777777" w:rsidR="00CD3152" w:rsidRPr="006E0160" w:rsidRDefault="00CD3152" w:rsidP="001A1C0B">
      <w:pPr>
        <w:pStyle w:val="Heading2"/>
      </w:pPr>
      <w:bookmarkStart w:id="71" w:name="_Toc232660569"/>
      <w:r w:rsidRPr="006E0160">
        <w:t>Aditivi utilizați în produsele din tutun - riscuri  pentru sănătate</w:t>
      </w:r>
      <w:bookmarkEnd w:id="71"/>
    </w:p>
    <w:p w14:paraId="625C5EAD" w14:textId="77777777" w:rsidR="00CD3152" w:rsidRPr="006E0160" w:rsidRDefault="00CD3152" w:rsidP="00CD3152">
      <w:pPr>
        <w:ind w:firstLine="708"/>
        <w:jc w:val="both"/>
      </w:pPr>
      <w:r w:rsidRPr="006E0160">
        <w:t>Țigareta este produsul din tutun cel mai utilizat în Uniunea Europeană. Majoritatea oamenilor este conștientă că fumatul țigaretelor este periculos, că mii de compuși sunt produși şi eliberați în fum, câțiva din aceștia (</w:t>
      </w:r>
      <w:r>
        <w:t xml:space="preserve">de ordinul </w:t>
      </w:r>
      <w:r w:rsidRPr="006E0160">
        <w:t>sute) fiind toxici. Însă, ceea ce nu</w:t>
      </w:r>
      <w:r>
        <w:t xml:space="preserve"> este</w:t>
      </w:r>
      <w:r w:rsidRPr="006E0160">
        <w:t xml:space="preserve"> cuno</w:t>
      </w:r>
      <w:r>
        <w:t>scut la scară largă</w:t>
      </w:r>
      <w:r w:rsidRPr="006E0160">
        <w:t>, este că majoritatea producătorilor de tutun adaugă, în țigarete şi alte ingrediente în afară de tutun, care afectează compoziția chimică a fumului. Aceste ingrediente sunt cunoscute ca fiind aditivi de tutun şi raportați ca utilizare pentru: a da țigaretei o aromă specifică; a controla ardere</w:t>
      </w:r>
      <w:r>
        <w:t>a și</w:t>
      </w:r>
      <w:r w:rsidRPr="006E0160">
        <w:t xml:space="preserve"> a menține umiditatea tutunului, prevenind astfel uscarea. </w:t>
      </w:r>
    </w:p>
    <w:p w14:paraId="0CA8EBA4" w14:textId="77777777" w:rsidR="00CD3152" w:rsidRPr="006E0160" w:rsidRDefault="00CD3152" w:rsidP="00CD3152">
      <w:pPr>
        <w:ind w:firstLine="708"/>
        <w:jc w:val="both"/>
      </w:pPr>
      <w:r w:rsidRPr="006E0160">
        <w:t xml:space="preserve">Este foarte greu de stabilit efectul unui singur aditiv izolat, datorită efectului global, combinat, al tuturor chimicalelor prezente în fumul de țigaretă. Mai mult decât atât, produșii de ardere ai unor aditivi sunt cunoscuți ca fiind potenţatori indirecți ai efectelor nicotinei asupra creierului (nicotina fiind considerată ca principala răspunzătoare pentru crearea  dependenței de fumat a oamenilor).  </w:t>
      </w:r>
    </w:p>
    <w:p w14:paraId="4764AF6B" w14:textId="4F322F29" w:rsidR="00CD3152" w:rsidRPr="006E0160" w:rsidRDefault="00CD3152" w:rsidP="00CD3152">
      <w:pPr>
        <w:ind w:firstLine="708"/>
        <w:jc w:val="both"/>
      </w:pPr>
      <w:r w:rsidRPr="006E0160">
        <w:t>Aditivii specifici tutunului sunt reprezentați de 2 furfural, acetaldehida, compuși ai amoniacului, cacao, glicerol, propilenglicol, sorbitol, zaharuri, fibra de celuloză, guma guar, lemn dulce, mentol</w:t>
      </w:r>
      <w:r>
        <w:t xml:space="preserve"> </w:t>
      </w:r>
      <w:r w:rsidRPr="006E0160">
        <w:t>şi vanilie. La fumarea unei țigarete, majoritatea ingredientelor din tutun sunt complet arse rezultând o serie de compuşi. Aceștia includ un grup cunoscut sub numele de aldehide, cunoscute ca fiind iritante pentru gât (de ex. acroleina şi furfuralul) sau legate direct de cancerul uman (de ex. acetaldehida si formaldehida), hidrocarburile policiclice aromatice, α benzopirenul, benzenul etc. Agenția Internațională pentru Cercetarea Cancerului (IARC) a clasificat acetaldehida ca fiind un compus posibil cancerigen, în timp ce formaldehida este clasificată ca fiind, evident, cauzatoare de cancer. Pe de altă parte, acetaldehida poate crește dependența de țigarete datorită acțiunii unui produs de reacție, harman</w:t>
      </w:r>
      <w:r>
        <w:t>,</w:t>
      </w:r>
      <w:r w:rsidRPr="006E0160">
        <w:t xml:space="preserve"> (sinonim aribina, louturina – alkaloid) asupra creierului. Se consideră că, harmanul se comportă </w:t>
      </w:r>
      <w:r w:rsidRPr="006E0160">
        <w:lastRenderedPageBreak/>
        <w:t xml:space="preserve">la fel ca si medicamentele anti-depresive prin îmbunătățirea stării de spirit a persoanei. Aceasta înseamnă că dependența de fumat poate fi stimulată de efectul </w:t>
      </w:r>
      <w:r>
        <w:t xml:space="preserve">unor aditivi </w:t>
      </w:r>
      <w:r w:rsidRPr="006E0160">
        <w:t>din țigarete.</w:t>
      </w:r>
      <w:r>
        <w:fldChar w:fldCharType="begin"/>
      </w:r>
      <w:r w:rsidR="00D4526D">
        <w:instrText xml:space="preserve"> ADDIN EN.CITE &lt;EndNote&gt;&lt;Cite&gt;&lt;Author&gt;SCENIHR&lt;/Author&gt;&lt;Year&gt;2016&lt;/Year&gt;&lt;RecNum&gt;9251&lt;/RecNum&gt;&lt;DisplayText&gt;&lt;style size="10"&gt;[32]&lt;/style&gt;&lt;/DisplayText&gt;&lt;record&gt;&lt;rec-number&gt;9251&lt;/rec-number&gt;&lt;foreign-keys&gt;&lt;key app="EN" db-id="fw0prtesnvf55cepezbx255wwza5zw0ssatt" timestamp="1760323486" guid="2dfa2b24-385b-461c-a612-74cfcd339ecf"&gt;9251&lt;/key&gt;&lt;/foreign-keys&gt;&lt;ref-type name="Government Document"&gt;46&lt;/ref-type&gt;&lt;contributors&gt;&lt;authors&gt;&lt;author&gt;SCENIHR&lt;/author&gt;&lt;/authors&gt;&lt;/contributors&gt;&lt;titles&gt;&lt;title&gt;&lt;style face="normal" font="default" size="100%"&gt;Final Opinion on Additives used in tobacco products (Opinion 1) &lt;/style&gt;&lt;style face="normal" font="default" charset="238" size="100%"&gt;- &lt;/style&gt;&lt;style face="normal" font="default" size="100%"&gt;Tobacco Additives I &lt;/style&gt;&lt;/title&gt;&lt;/titles&gt;&lt;dates&gt;&lt;year&gt;&lt;style face="normal" font="default" charset="238" size="100%"&gt;2016&lt;/style&gt;&lt;/year&gt;&lt;/dates&gt;&lt;urls&gt;&lt;related-urls&gt;&lt;url&gt;https://ec.europa.eu/health/scientific_committees/emerging/docs/scenihr_o_051.pdf&lt;/url&gt;&lt;/related-urls&gt;&lt;/urls&gt;&lt;/record&gt;&lt;/Cite&gt;&lt;/EndNote&gt;</w:instrText>
      </w:r>
      <w:r>
        <w:fldChar w:fldCharType="separate"/>
      </w:r>
      <w:r w:rsidR="00D4526D" w:rsidRPr="00D4526D">
        <w:rPr>
          <w:noProof/>
          <w:sz w:val="20"/>
        </w:rPr>
        <w:t>[32]</w:t>
      </w:r>
      <w:r>
        <w:fldChar w:fldCharType="end"/>
      </w:r>
    </w:p>
    <w:p w14:paraId="7CAA8897" w14:textId="77777777" w:rsidR="00CD3152" w:rsidRPr="006E0160" w:rsidRDefault="00CD3152" w:rsidP="00CD3152">
      <w:pPr>
        <w:pStyle w:val="Heading1"/>
        <w:tabs>
          <w:tab w:val="clear" w:pos="142"/>
        </w:tabs>
        <w:spacing w:line="240" w:lineRule="auto"/>
      </w:pPr>
      <w:bookmarkStart w:id="72" w:name="_Toc232660570"/>
      <w:r w:rsidRPr="006E0160">
        <w:t>Consumul de tutun - impact asupra stării de sănătate la nivel populațional</w:t>
      </w:r>
      <w:bookmarkEnd w:id="72"/>
      <w:r w:rsidRPr="006E0160">
        <w:t xml:space="preserve">  </w:t>
      </w:r>
    </w:p>
    <w:p w14:paraId="3546F833" w14:textId="77777777" w:rsidR="00CD3152" w:rsidRPr="006E0160" w:rsidRDefault="00CD3152" w:rsidP="00CD3152">
      <w:pPr>
        <w:pStyle w:val="Heading3"/>
      </w:pPr>
      <w:bookmarkStart w:id="73" w:name="_Toc232660571"/>
      <w:r w:rsidRPr="006E0160">
        <w:t>Morbiditate și mortalitate atribuibilă fumatului</w:t>
      </w:r>
      <w:bookmarkEnd w:id="73"/>
    </w:p>
    <w:p w14:paraId="7EAC935E" w14:textId="77777777" w:rsidR="00CD3152" w:rsidRPr="005948E8" w:rsidRDefault="00CD3152" w:rsidP="00CD3152">
      <w:pPr>
        <w:ind w:firstLine="708"/>
        <w:jc w:val="both"/>
      </w:pPr>
      <w:r w:rsidRPr="005948E8">
        <w:t xml:space="preserve">Fumatul este factor de risc pentru patru grupe de boli netransmisibile: cancerul, bolile cardiovasculare, diabetul zaharat de tip 2 și bolile respiratorii.  </w:t>
      </w:r>
    </w:p>
    <w:p w14:paraId="3D9E6AFE" w14:textId="3C3C9CF0" w:rsidR="00CD3152" w:rsidRPr="005948E8" w:rsidRDefault="00CD3152" w:rsidP="00CD3152">
      <w:pPr>
        <w:ind w:firstLine="708"/>
        <w:jc w:val="both"/>
      </w:pPr>
      <w:r w:rsidRPr="00F70AEE">
        <w:t>Conform datelor Global Burden of Diseases Study</w:t>
      </w:r>
      <w:r>
        <w:t xml:space="preserve"> (IHME - GBD),</w:t>
      </w:r>
      <w:r>
        <w:rPr>
          <w:b/>
          <w:bCs/>
        </w:rPr>
        <w:t xml:space="preserve"> </w:t>
      </w:r>
      <w:r>
        <w:t>d</w:t>
      </w:r>
      <w:r w:rsidRPr="00632B40">
        <w:t>ecesele</w:t>
      </w:r>
      <w:r w:rsidRPr="005948E8">
        <w:t xml:space="preserve"> cauzate de boli cardio-vasculare și accident vascular cerebral reprezintă cauza principală de deces în lume, fiind strâns legate de consumul de tutun. Cancerul bronhopulmonar a fost mult timp principala cauză de deces prin cancer în rândul bărbaților și, în multe țări, este acum și principala cauză de deces prin cancer în rândul femeilor adulte, depășind chiar și cancerul de sân</w:t>
      </w:r>
      <w:r>
        <w:fldChar w:fldCharType="begin"/>
      </w:r>
      <w:r w:rsidR="00D4526D">
        <w:instrText xml:space="preserve"> ADDIN EN.CITE &lt;EndNote&gt;&lt;Cite&gt;&lt;Author&gt;WHO&lt;/Author&gt;&lt;Year&gt;2024&lt;/Year&gt;&lt;RecNum&gt;9153&lt;/RecNum&gt;&lt;DisplayText&gt;&lt;style size="10"&gt;[33]&lt;/style&gt;&lt;/DisplayText&gt;&lt;record&gt;&lt;rec-number&gt;9153&lt;/rec-number&gt;&lt;foreign-keys&gt;&lt;key app="EN" db-id="fw0prtesnvf55cepezbx255wwza5zw0ssatt" timestamp="1754275363" guid="0f11902d-bfa5-4654-9259-4c27cc7e982b"&gt;9153&lt;/key&gt;&lt;/foreign-keys&gt;&lt;ref-type name="Online Database"&gt;45&lt;/ref-type&gt;&lt;contributors&gt;&lt;authors&gt;&lt;author&gt;WHO&lt;/author&gt;&lt;/authors&gt;&lt;/contributors&gt;&lt;titles&gt;&lt;title&gt;The Tobacco Atlas: Challenge - Health Effects&lt;/title&gt;&lt;/titles&gt;&lt;dates&gt;&lt;year&gt;&lt;style face="normal" font="default" charset="238" size="100%"&gt;2024&lt;/style&gt;&lt;/year&gt;&lt;/dates&gt;&lt;publisher&gt;The Tobacco Atlas&lt;/publisher&gt;&lt;urls&gt;&lt;related-urls&gt;&lt;url&gt;https://tobaccoatlas.org/challenges/health-effects/&lt;/url&gt;&lt;/related-urls&gt;&lt;/urls&gt;&lt;/record&gt;&lt;/Cite&gt;&lt;/EndNote&gt;</w:instrText>
      </w:r>
      <w:r>
        <w:fldChar w:fldCharType="separate"/>
      </w:r>
      <w:r w:rsidR="00D4526D" w:rsidRPr="00D4526D">
        <w:rPr>
          <w:noProof/>
          <w:sz w:val="20"/>
        </w:rPr>
        <w:t>[33]</w:t>
      </w:r>
      <w:r>
        <w:fldChar w:fldCharType="end"/>
      </w:r>
      <w:r w:rsidRPr="005948E8">
        <w:t xml:space="preserve">. </w:t>
      </w:r>
    </w:p>
    <w:p w14:paraId="017B7735" w14:textId="63B64494" w:rsidR="00CD3152" w:rsidRPr="005948E8" w:rsidRDefault="00CD3152" w:rsidP="00CD3152">
      <w:pPr>
        <w:ind w:firstLine="708"/>
        <w:jc w:val="both"/>
      </w:pPr>
      <w:r w:rsidRPr="005948E8">
        <w:t xml:space="preserve">Boala pulmonară obstructivă cronică (BPOC) este una dintre principalele cauze de deces din lume, iar mortalitatea din această cauză este în creștere în majoritatea țărilor. </w:t>
      </w:r>
      <w:r>
        <w:t>La nivel global 65% dintre decesele datorate BPOC pot fi atribuite consumului de tutun de orice formă</w:t>
      </w:r>
      <w:r>
        <w:fldChar w:fldCharType="begin"/>
      </w:r>
      <w:r w:rsidR="00D4526D">
        <w:instrText xml:space="preserve"> ADDIN EN.CITE &lt;EndNote&gt;&lt;Cite&gt;&lt;Author&gt;WHO&lt;/Author&gt;&lt;Year&gt;2024&lt;/Year&gt;&lt;RecNum&gt;9153&lt;/RecNum&gt;&lt;DisplayText&gt;&lt;style size="10"&gt;[33]&lt;/style&gt;&lt;/DisplayText&gt;&lt;record&gt;&lt;rec-number&gt;9153&lt;/rec-number&gt;&lt;foreign-keys&gt;&lt;key app="EN" db-id="fw0prtesnvf55cepezbx255wwza5zw0ssatt" timestamp="1754275363" guid="0f11902d-bfa5-4654-9259-4c27cc7e982b"&gt;9153&lt;/key&gt;&lt;/foreign-keys&gt;&lt;ref-type name="Online Database"&gt;45&lt;/ref-type&gt;&lt;contributors&gt;&lt;authors&gt;&lt;author&gt;WHO&lt;/author&gt;&lt;/authors&gt;&lt;/contributors&gt;&lt;titles&gt;&lt;title&gt;The Tobacco Atlas: Challenge - Health Effects&lt;/title&gt;&lt;/titles&gt;&lt;dates&gt;&lt;year&gt;&lt;style face="normal" font="default" charset="238" size="100%"&gt;2024&lt;/style&gt;&lt;/year&gt;&lt;/dates&gt;&lt;publisher&gt;The Tobacco Atlas&lt;/publisher&gt;&lt;urls&gt;&lt;related-urls&gt;&lt;url&gt;https://tobaccoatlas.org/challenges/health-effects/&lt;/url&gt;&lt;/related-urls&gt;&lt;/urls&gt;&lt;/record&gt;&lt;/Cite&gt;&lt;/EndNote&gt;</w:instrText>
      </w:r>
      <w:r>
        <w:fldChar w:fldCharType="separate"/>
      </w:r>
      <w:r w:rsidR="00D4526D" w:rsidRPr="00D4526D">
        <w:rPr>
          <w:noProof/>
          <w:sz w:val="20"/>
        </w:rPr>
        <w:t>[33]</w:t>
      </w:r>
      <w:r>
        <w:fldChar w:fldCharType="end"/>
      </w:r>
      <w:r>
        <w:t>.</w:t>
      </w:r>
    </w:p>
    <w:p w14:paraId="7898D310" w14:textId="77777777" w:rsidR="00CD3152" w:rsidRDefault="00CD3152" w:rsidP="00CD3152">
      <w:pPr>
        <w:ind w:firstLine="708"/>
        <w:jc w:val="both"/>
      </w:pPr>
      <w:r w:rsidRPr="005948E8">
        <w:t>Estimările Organizației Mondiale a Sănătății privind proporția îmbolnăvirilor și deceselor atribuibile fumatului, în cazul bolilor prezentate anterior, arată cât de mult din proporția de îmbolnăviri și decese pentru fiecare boală ar putea fi redusă dacă ar fi eliminat consumul de tutun.</w:t>
      </w:r>
      <w:r w:rsidRPr="006E0160">
        <w:t xml:space="preserve"> </w:t>
      </w:r>
    </w:p>
    <w:p w14:paraId="158C805F" w14:textId="77777777" w:rsidR="00E579E1" w:rsidRDefault="00E579E1" w:rsidP="00CD3152">
      <w:pPr>
        <w:ind w:firstLine="708"/>
        <w:jc w:val="both"/>
      </w:pPr>
    </w:p>
    <w:p w14:paraId="19D5C81E" w14:textId="77777777" w:rsidR="00E579E1" w:rsidRDefault="00E579E1" w:rsidP="00CD3152">
      <w:pPr>
        <w:ind w:firstLine="708"/>
        <w:jc w:val="both"/>
      </w:pPr>
    </w:p>
    <w:p w14:paraId="56D4BDAE" w14:textId="77777777" w:rsidR="00E579E1" w:rsidRDefault="00E579E1" w:rsidP="00CD3152">
      <w:pPr>
        <w:ind w:firstLine="708"/>
        <w:jc w:val="both"/>
      </w:pPr>
    </w:p>
    <w:p w14:paraId="7F317F8C" w14:textId="77777777" w:rsidR="00E579E1" w:rsidRDefault="00E579E1" w:rsidP="00CD3152">
      <w:pPr>
        <w:ind w:firstLine="708"/>
        <w:jc w:val="both"/>
      </w:pPr>
    </w:p>
    <w:p w14:paraId="29213664" w14:textId="77777777" w:rsidR="00E579E1" w:rsidRDefault="00E579E1" w:rsidP="00CD3152">
      <w:pPr>
        <w:ind w:firstLine="708"/>
        <w:jc w:val="both"/>
      </w:pPr>
    </w:p>
    <w:p w14:paraId="2EB794E0" w14:textId="4798B4D3" w:rsidR="00E579E1" w:rsidRDefault="00E579E1" w:rsidP="00E579E1">
      <w:pPr>
        <w:spacing w:line="319" w:lineRule="auto"/>
        <w:ind w:firstLine="0"/>
        <w:jc w:val="center"/>
      </w:pPr>
      <w:r>
        <w:rPr>
          <w:noProof/>
        </w:rPr>
        <w:drawing>
          <wp:inline distT="0" distB="0" distL="0" distR="0" wp14:anchorId="485DDD9D" wp14:editId="32C47D0F">
            <wp:extent cx="5039995" cy="2910840"/>
            <wp:effectExtent l="0" t="0" r="8255" b="3810"/>
            <wp:docPr id="599635849" name="Chart 1">
              <a:extLst xmlns:a="http://schemas.openxmlformats.org/drawingml/2006/main">
                <a:ext uri="{FF2B5EF4-FFF2-40B4-BE49-F238E27FC236}">
                  <a16:creationId xmlns:a16="http://schemas.microsoft.com/office/drawing/2014/main" id="{8B305CA8-CCC3-5DCC-D0E2-7151ECAB4C4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p w14:paraId="2A1269CB" w14:textId="5E120786" w:rsidR="00CD3152" w:rsidRDefault="00CD3152" w:rsidP="00CD3152">
      <w:pPr>
        <w:pStyle w:val="Caption"/>
        <w:jc w:val="center"/>
      </w:pPr>
      <w:bookmarkStart w:id="74" w:name="_Ref211575381"/>
      <w:r>
        <w:t xml:space="preserve">Figura </w:t>
      </w:r>
      <w:fldSimple w:instr=" STYLEREF 1 \s ">
        <w:r w:rsidR="0080370C">
          <w:rPr>
            <w:noProof/>
          </w:rPr>
          <w:t>III</w:t>
        </w:r>
      </w:fldSimple>
      <w:r w:rsidR="0080370C">
        <w:t>.</w:t>
      </w:r>
      <w:fldSimple w:instr=" SEQ Figura \* ARABIC \s 1 ">
        <w:r w:rsidR="0080370C">
          <w:rPr>
            <w:noProof/>
          </w:rPr>
          <w:t>1</w:t>
        </w:r>
      </w:fldSimple>
      <w:bookmarkEnd w:id="74"/>
      <w:r>
        <w:t xml:space="preserve"> Număr de decese (la toate vârstele) atribuibile consumului de tutun în România, </w:t>
      </w:r>
      <w:r w:rsidRPr="00CA39E4">
        <w:t xml:space="preserve">pe cauze de deces, </w:t>
      </w:r>
      <w:r w:rsidRPr="00B927FC">
        <w:t xml:space="preserve"> Sursa IHME, GBD 202</w:t>
      </w:r>
      <w:r w:rsidR="00962D59">
        <w:t>3</w:t>
      </w:r>
    </w:p>
    <w:p w14:paraId="1F714BF1" w14:textId="683C697A" w:rsidR="00CD3152" w:rsidRDefault="00CD3152" w:rsidP="00CD3152">
      <w:pPr>
        <w:ind w:firstLine="708"/>
        <w:jc w:val="both"/>
      </w:pPr>
      <w:r>
        <w:lastRenderedPageBreak/>
        <w:t>În România un număr impresionant de decese, 1</w:t>
      </w:r>
      <w:r w:rsidR="00962D59">
        <w:t>3483</w:t>
      </w:r>
      <w:r>
        <w:t xml:space="preserve"> decese de cauză cardiovasculară și 117</w:t>
      </w:r>
      <w:r w:rsidR="00962D59">
        <w:t>80</w:t>
      </w:r>
      <w:r>
        <w:t xml:space="preserve"> de decese consecutive neoplaziilor au fost atribuite consumului de tutun. Dintre decesele cauzate de bolile cardiovasculare, cele mai multe s-au datorat bolii ischemice cardiace (</w:t>
      </w:r>
      <w:r w:rsidR="00962D59">
        <w:t>8773</w:t>
      </w:r>
      <w:r>
        <w:t xml:space="preserve"> decese) și AVC (4</w:t>
      </w:r>
      <w:r w:rsidR="00962D59">
        <w:t>340</w:t>
      </w:r>
      <w:r>
        <w:t xml:space="preserve"> decese). În cazul mortalității prin cancere, ponderea cea mai mare a deceselor atribuite tutunului a fost pentru cancerul bronhopulmonar (</w:t>
      </w:r>
      <w:r w:rsidR="00962D59">
        <w:t>6991</w:t>
      </w:r>
      <w:r>
        <w:t xml:space="preserve"> decese) și pentru cel de laringe (</w:t>
      </w:r>
      <w:r w:rsidR="00450B0A">
        <w:t>770</w:t>
      </w:r>
      <w:r>
        <w:t xml:space="preserve"> de decese)(</w:t>
      </w:r>
      <w:r>
        <w:fldChar w:fldCharType="begin"/>
      </w:r>
      <w:r>
        <w:instrText xml:space="preserve"> REF _Ref211575381 \h </w:instrText>
      </w:r>
      <w:r>
        <w:fldChar w:fldCharType="separate"/>
      </w:r>
      <w:r>
        <w:t xml:space="preserve">Figura </w:t>
      </w:r>
      <w:r>
        <w:rPr>
          <w:noProof/>
        </w:rPr>
        <w:t>III</w:t>
      </w:r>
      <w:r>
        <w:t>.</w:t>
      </w:r>
      <w:r>
        <w:rPr>
          <w:noProof/>
        </w:rPr>
        <w:t>1</w:t>
      </w:r>
      <w:r>
        <w:fldChar w:fldCharType="end"/>
      </w:r>
      <w:r>
        <w:t>).</w:t>
      </w:r>
    </w:p>
    <w:p w14:paraId="5FA91BCD" w14:textId="2B2DAB2E" w:rsidR="00450B0A" w:rsidRDefault="00450B0A" w:rsidP="00CD3152">
      <w:pPr>
        <w:ind w:firstLine="708"/>
        <w:jc w:val="both"/>
      </w:pPr>
      <w:r>
        <w:rPr>
          <w:noProof/>
        </w:rPr>
        <w:drawing>
          <wp:inline distT="0" distB="0" distL="0" distR="0" wp14:anchorId="120CD2C3" wp14:editId="22B12B04">
            <wp:extent cx="5039995" cy="3406140"/>
            <wp:effectExtent l="0" t="0" r="8255" b="3810"/>
            <wp:docPr id="969562059" name="Chart 1">
              <a:extLst xmlns:a="http://schemas.openxmlformats.org/drawingml/2006/main">
                <a:ext uri="{FF2B5EF4-FFF2-40B4-BE49-F238E27FC236}">
                  <a16:creationId xmlns:a16="http://schemas.microsoft.com/office/drawing/2014/main" id="{AE7E3FC8-9CC4-C86C-92E7-39E9638D466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p w14:paraId="06FCCD5F" w14:textId="578CA7A5" w:rsidR="00CD3152" w:rsidRDefault="00CD3152" w:rsidP="00CD3152">
      <w:pPr>
        <w:pStyle w:val="Caption"/>
        <w:jc w:val="center"/>
      </w:pPr>
      <w:bookmarkStart w:id="75" w:name="_Ref211575411"/>
      <w:r>
        <w:t xml:space="preserve">Figura </w:t>
      </w:r>
      <w:fldSimple w:instr=" STYLEREF 1 \s ">
        <w:r w:rsidR="0080370C">
          <w:rPr>
            <w:noProof/>
          </w:rPr>
          <w:t>III</w:t>
        </w:r>
      </w:fldSimple>
      <w:r w:rsidR="0080370C">
        <w:t>.</w:t>
      </w:r>
      <w:fldSimple w:instr=" SEQ Figura \* ARABIC \s 1 ">
        <w:r w:rsidR="0080370C">
          <w:rPr>
            <w:noProof/>
          </w:rPr>
          <w:t>2</w:t>
        </w:r>
      </w:fldSimple>
      <w:bookmarkEnd w:id="75"/>
      <w:r w:rsidRPr="00CB27EE">
        <w:t xml:space="preserve"> </w:t>
      </w:r>
      <w:r>
        <w:t>Procent</w:t>
      </w:r>
      <w:r w:rsidRPr="00CB27EE">
        <w:t xml:space="preserve"> de decese atribuibile </w:t>
      </w:r>
      <w:r>
        <w:t xml:space="preserve">consumului de tutun, </w:t>
      </w:r>
      <w:r w:rsidRPr="00CB27EE">
        <w:t>pe cauze de deces, România</w:t>
      </w:r>
      <w:r>
        <w:t xml:space="preserve"> comparativ cu Europa,</w:t>
      </w:r>
      <w:r w:rsidRPr="00CB27EE">
        <w:t xml:space="preserve"> Sursa IHME, GBD 202</w:t>
      </w:r>
      <w:r w:rsidR="00962105">
        <w:t>3</w:t>
      </w:r>
    </w:p>
    <w:p w14:paraId="2B5F5D9A" w14:textId="3D1BF28F" w:rsidR="00CD3152" w:rsidRDefault="00CD3152" w:rsidP="00CD3152">
      <w:pPr>
        <w:ind w:firstLine="708"/>
        <w:jc w:val="both"/>
      </w:pPr>
      <w:r w:rsidRPr="000E6F93">
        <w:t>Se evidențiază o povară semnificativă a consumului de tutun asupra mortalității în România, comparativ cu media europeană, pentru majoritatea cauzelor de deces analizate. În ansamblu, procentul de decese atribuibile consumului de tutun de o anumită cauză este similar sau ușor mai ridicat în România față de Europa, însă profilul cauzelor diferă printr-o contribuție mai mare a cancerelor și a bolilor respiratorii cronice.(</w:t>
      </w:r>
      <w:r>
        <w:fldChar w:fldCharType="begin"/>
      </w:r>
      <w:r>
        <w:instrText xml:space="preserve"> REF _Ref211575411 \h </w:instrText>
      </w:r>
      <w:r>
        <w:fldChar w:fldCharType="separate"/>
      </w:r>
      <w:r>
        <w:t xml:space="preserve">Figura </w:t>
      </w:r>
      <w:r>
        <w:rPr>
          <w:noProof/>
        </w:rPr>
        <w:t>III</w:t>
      </w:r>
      <w:r>
        <w:t>.</w:t>
      </w:r>
      <w:r>
        <w:rPr>
          <w:noProof/>
        </w:rPr>
        <w:t>2</w:t>
      </w:r>
      <w:r>
        <w:fldChar w:fldCharType="end"/>
      </w:r>
      <w:r>
        <w:t>)</w:t>
      </w:r>
    </w:p>
    <w:p w14:paraId="4643357B" w14:textId="3787704B" w:rsidR="00A7646B" w:rsidRDefault="00A7646B" w:rsidP="00CD3152">
      <w:pPr>
        <w:ind w:firstLine="708"/>
        <w:jc w:val="both"/>
      </w:pPr>
      <w:r>
        <w:rPr>
          <w:noProof/>
        </w:rPr>
        <w:drawing>
          <wp:inline distT="0" distB="0" distL="0" distR="0" wp14:anchorId="61EBB374" wp14:editId="7869F48B">
            <wp:extent cx="5039995" cy="2697480"/>
            <wp:effectExtent l="0" t="0" r="8255" b="7620"/>
            <wp:docPr id="1097361290" name="Chart 1">
              <a:extLst xmlns:a="http://schemas.openxmlformats.org/drawingml/2006/main">
                <a:ext uri="{FF2B5EF4-FFF2-40B4-BE49-F238E27FC236}">
                  <a16:creationId xmlns:a16="http://schemas.microsoft.com/office/drawing/2014/main" id="{EA1EEE1A-78CF-4ECC-AD2D-27D3F21EC28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p w14:paraId="2034E524" w14:textId="72679121" w:rsidR="00CD3152" w:rsidRDefault="00CD3152" w:rsidP="00CD3152">
      <w:pPr>
        <w:pStyle w:val="Caption"/>
        <w:jc w:val="center"/>
      </w:pPr>
      <w:bookmarkStart w:id="76" w:name="_Ref211575462"/>
      <w:r>
        <w:t xml:space="preserve">Figura </w:t>
      </w:r>
      <w:fldSimple w:instr=" STYLEREF 1 \s ">
        <w:r w:rsidR="0080370C">
          <w:rPr>
            <w:noProof/>
          </w:rPr>
          <w:t>III</w:t>
        </w:r>
      </w:fldSimple>
      <w:r w:rsidR="0080370C">
        <w:t>.</w:t>
      </w:r>
      <w:fldSimple w:instr=" SEQ Figura \* ARABIC \s 1 ">
        <w:r w:rsidR="0080370C">
          <w:rPr>
            <w:noProof/>
          </w:rPr>
          <w:t>3</w:t>
        </w:r>
      </w:fldSimple>
      <w:bookmarkEnd w:id="76"/>
      <w:r w:rsidRPr="00CB1E56">
        <w:t xml:space="preserve"> </w:t>
      </w:r>
      <w:r>
        <w:t>Rate</w:t>
      </w:r>
      <w:r w:rsidRPr="00CB1E56">
        <w:t xml:space="preserve"> de deces</w:t>
      </w:r>
      <w:r>
        <w:t xml:space="preserve"> standardizate cu vârsta</w:t>
      </w:r>
      <w:r w:rsidRPr="00CB1E56">
        <w:t xml:space="preserve"> atribuibile fumatului</w:t>
      </w:r>
      <w:r>
        <w:t>,</w:t>
      </w:r>
      <w:r w:rsidRPr="00CB1E56">
        <w:t xml:space="preserve"> pe cauze de deces, România comparativ cu Europa</w:t>
      </w:r>
      <w:r>
        <w:t xml:space="preserve">, </w:t>
      </w:r>
      <w:r w:rsidRPr="00CB1E56">
        <w:t>Sursa IHME, GBD 202</w:t>
      </w:r>
      <w:r w:rsidR="00A30017">
        <w:t>3</w:t>
      </w:r>
    </w:p>
    <w:p w14:paraId="284751B9" w14:textId="77777777" w:rsidR="00CD3152" w:rsidRPr="00F0127A" w:rsidRDefault="00CD3152" w:rsidP="00CD3152">
      <w:pPr>
        <w:jc w:val="center"/>
        <w:rPr>
          <w:i/>
          <w:iCs/>
          <w:sz w:val="16"/>
          <w:szCs w:val="16"/>
        </w:rPr>
      </w:pPr>
      <w:r>
        <w:lastRenderedPageBreak/>
        <w:t>*</w:t>
      </w:r>
      <w:r w:rsidRPr="00F0127A">
        <w:rPr>
          <w:i/>
          <w:iCs/>
          <w:sz w:val="16"/>
          <w:szCs w:val="16"/>
        </w:rPr>
        <w:t>Mortalitate standardizată cu vârsta, rate la 100000 loc</w:t>
      </w:r>
    </w:p>
    <w:p w14:paraId="5316F029" w14:textId="3971D3A3" w:rsidR="00CD3152" w:rsidRDefault="00CD3152" w:rsidP="00CD3152">
      <w:pPr>
        <w:ind w:firstLine="708"/>
        <w:jc w:val="both"/>
      </w:pPr>
      <w:r>
        <w:t>Ratele de mortalitate standardizate cu vârsta în România atribuibilă consumului de tutun, sunt peste media europeană atât pentru total decese de toate cauzele de boală (8</w:t>
      </w:r>
      <w:r w:rsidR="00564407">
        <w:t>4</w:t>
      </w:r>
      <w:r>
        <w:t>,</w:t>
      </w:r>
      <w:r w:rsidR="00564407">
        <w:t>49</w:t>
      </w:r>
      <w:r>
        <w:t xml:space="preserve"> la 100000 locuitori vs </w:t>
      </w:r>
      <w:r w:rsidR="00564407">
        <w:t>55.01</w:t>
      </w:r>
      <w:r w:rsidRPr="008D27A5">
        <w:t xml:space="preserve"> la 100000 locuitori</w:t>
      </w:r>
      <w:r>
        <w:t>), cât și în cazul bolilor cardiovasculare, neoplasmelor și afecțiunilor cronice respiratorii</w:t>
      </w:r>
      <w:r w:rsidR="005157E8">
        <w:t xml:space="preserve"> </w:t>
      </w:r>
      <w:r>
        <w:t>(</w:t>
      </w:r>
      <w:r>
        <w:fldChar w:fldCharType="begin"/>
      </w:r>
      <w:r>
        <w:instrText xml:space="preserve"> REF _Ref211575462 \h </w:instrText>
      </w:r>
      <w:r>
        <w:fldChar w:fldCharType="separate"/>
      </w:r>
      <w:r>
        <w:t xml:space="preserve">Figura </w:t>
      </w:r>
      <w:r>
        <w:rPr>
          <w:noProof/>
        </w:rPr>
        <w:t>III</w:t>
      </w:r>
      <w:r>
        <w:t>.</w:t>
      </w:r>
      <w:r>
        <w:rPr>
          <w:noProof/>
        </w:rPr>
        <w:t>3</w:t>
      </w:r>
      <w:r>
        <w:fldChar w:fldCharType="end"/>
      </w:r>
      <w:r>
        <w:t>).</w:t>
      </w:r>
    </w:p>
    <w:p w14:paraId="3E7DD205" w14:textId="65042B38" w:rsidR="009928D6" w:rsidRDefault="00B06870" w:rsidP="00CD3152">
      <w:pPr>
        <w:ind w:firstLine="708"/>
        <w:jc w:val="both"/>
      </w:pPr>
      <w:r>
        <w:rPr>
          <w:noProof/>
        </w:rPr>
        <w:drawing>
          <wp:inline distT="0" distB="0" distL="0" distR="0" wp14:anchorId="6BFAED5D" wp14:editId="13D773FB">
            <wp:extent cx="5039995" cy="3383280"/>
            <wp:effectExtent l="0" t="0" r="8255" b="7620"/>
            <wp:docPr id="154712053" name="Chart 1">
              <a:extLst xmlns:a="http://schemas.openxmlformats.org/drawingml/2006/main">
                <a:ext uri="{FF2B5EF4-FFF2-40B4-BE49-F238E27FC236}">
                  <a16:creationId xmlns:a16="http://schemas.microsoft.com/office/drawing/2014/main" id="{7A5FCC20-93D0-4DDF-BF8D-DAD09B7BD42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p>
    <w:p w14:paraId="0090C17B" w14:textId="4D98E76C" w:rsidR="00CD3152" w:rsidRDefault="00CD3152" w:rsidP="005157E8">
      <w:pPr>
        <w:pStyle w:val="Caption"/>
        <w:jc w:val="center"/>
      </w:pPr>
      <w:bookmarkStart w:id="77" w:name="_Ref211575504"/>
      <w:r>
        <w:t xml:space="preserve">Figura </w:t>
      </w:r>
      <w:fldSimple w:instr=" STYLEREF 1 \s ">
        <w:r w:rsidR="0080370C">
          <w:rPr>
            <w:noProof/>
          </w:rPr>
          <w:t>III</w:t>
        </w:r>
      </w:fldSimple>
      <w:r w:rsidR="0080370C">
        <w:t>.</w:t>
      </w:r>
      <w:fldSimple w:instr=" SEQ Figura \* ARABIC \s 1 ">
        <w:r w:rsidR="0080370C">
          <w:rPr>
            <w:noProof/>
          </w:rPr>
          <w:t>4</w:t>
        </w:r>
      </w:fldSimple>
      <w:bookmarkEnd w:id="77"/>
      <w:r>
        <w:t xml:space="preserve"> N</w:t>
      </w:r>
      <w:r w:rsidRPr="00E84C04">
        <w:t xml:space="preserve">umăr de decese (toate vârstele) atribuibile fumatului </w:t>
      </w:r>
      <w:r>
        <w:t xml:space="preserve">pasiv în România, </w:t>
      </w:r>
      <w:r w:rsidRPr="00E84C04">
        <w:t>pe cauze de deces, Sursa IHME, GBD 202</w:t>
      </w:r>
      <w:r w:rsidR="00962105">
        <w:t>3</w:t>
      </w:r>
    </w:p>
    <w:p w14:paraId="4C5B30D9" w14:textId="6B575332" w:rsidR="00CD3152" w:rsidRDefault="00CD3152" w:rsidP="00CD3152">
      <w:pPr>
        <w:ind w:firstLine="708"/>
        <w:jc w:val="both"/>
      </w:pPr>
      <w:r>
        <w:t>În România, u</w:t>
      </w:r>
      <w:r w:rsidRPr="008D22C2">
        <w:t xml:space="preserve">n număr </w:t>
      </w:r>
      <w:r>
        <w:t>de</w:t>
      </w:r>
      <w:r w:rsidRPr="008D22C2">
        <w:t xml:space="preserve"> </w:t>
      </w:r>
      <w:r w:rsidR="005157E8">
        <w:t>4322</w:t>
      </w:r>
      <w:r>
        <w:t xml:space="preserve"> de</w:t>
      </w:r>
      <w:r w:rsidRPr="008D22C2">
        <w:t xml:space="preserve"> decese de cauză cardiovasculară și </w:t>
      </w:r>
      <w:r w:rsidR="00130724">
        <w:t>1009</w:t>
      </w:r>
      <w:r w:rsidRPr="008D22C2">
        <w:t xml:space="preserve"> de decese </w:t>
      </w:r>
      <w:r>
        <w:t>prin</w:t>
      </w:r>
      <w:r w:rsidRPr="008D22C2">
        <w:t xml:space="preserve"> </w:t>
      </w:r>
      <w:r>
        <w:t>cancer</w:t>
      </w:r>
      <w:r w:rsidRPr="008D22C2">
        <w:t xml:space="preserve"> au fost atribuite </w:t>
      </w:r>
      <w:r>
        <w:t>fumatului pasiv (</w:t>
      </w:r>
      <w:r>
        <w:fldChar w:fldCharType="begin"/>
      </w:r>
      <w:r>
        <w:instrText xml:space="preserve"> REF _Ref211575504 \h </w:instrText>
      </w:r>
      <w:r>
        <w:fldChar w:fldCharType="separate"/>
      </w:r>
      <w:r>
        <w:t xml:space="preserve">Figura </w:t>
      </w:r>
      <w:r>
        <w:rPr>
          <w:noProof/>
        </w:rPr>
        <w:t>III</w:t>
      </w:r>
      <w:r>
        <w:t>.</w:t>
      </w:r>
      <w:r>
        <w:rPr>
          <w:noProof/>
        </w:rPr>
        <w:t>4</w:t>
      </w:r>
      <w:r>
        <w:fldChar w:fldCharType="end"/>
      </w:r>
      <w:r>
        <w:t>).</w:t>
      </w:r>
    </w:p>
    <w:p w14:paraId="6F87D8EA" w14:textId="2F8AEF30" w:rsidR="00962105" w:rsidRDefault="00962105" w:rsidP="00CD3152">
      <w:pPr>
        <w:ind w:firstLine="708"/>
        <w:jc w:val="both"/>
      </w:pPr>
      <w:r>
        <w:rPr>
          <w:noProof/>
        </w:rPr>
        <w:drawing>
          <wp:inline distT="0" distB="0" distL="0" distR="0" wp14:anchorId="0006BE36" wp14:editId="419927F1">
            <wp:extent cx="5040000" cy="2520000"/>
            <wp:effectExtent l="0" t="0" r="8255" b="13970"/>
            <wp:docPr id="896235705" name="Chart 1">
              <a:extLst xmlns:a="http://schemas.openxmlformats.org/drawingml/2006/main">
                <a:ext uri="{FF2B5EF4-FFF2-40B4-BE49-F238E27FC236}">
                  <a16:creationId xmlns:a16="http://schemas.microsoft.com/office/drawing/2014/main" id="{F29320F5-1EBD-4480-9847-17B7C4C800C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p>
    <w:p w14:paraId="4D28736A" w14:textId="7AEC49CA" w:rsidR="00CD3152" w:rsidRDefault="00CD3152" w:rsidP="00CD3152">
      <w:pPr>
        <w:pStyle w:val="Caption"/>
        <w:jc w:val="center"/>
      </w:pPr>
      <w:bookmarkStart w:id="78" w:name="_Ref211575850"/>
      <w:r>
        <w:t xml:space="preserve">Figura </w:t>
      </w:r>
      <w:fldSimple w:instr=" STYLEREF 1 \s ">
        <w:r w:rsidR="0080370C">
          <w:rPr>
            <w:noProof/>
          </w:rPr>
          <w:t>III</w:t>
        </w:r>
      </w:fldSimple>
      <w:r w:rsidR="0080370C">
        <w:t>.</w:t>
      </w:r>
      <w:fldSimple w:instr=" SEQ Figura \* ARABIC \s 1 ">
        <w:r w:rsidR="0080370C">
          <w:rPr>
            <w:noProof/>
          </w:rPr>
          <w:t>5</w:t>
        </w:r>
      </w:fldSimple>
      <w:bookmarkEnd w:id="78"/>
      <w:r>
        <w:t xml:space="preserve"> P</w:t>
      </w:r>
      <w:r w:rsidRPr="00B91C03">
        <w:t xml:space="preserve">rocent de decese atribuibile fumatului </w:t>
      </w:r>
      <w:r>
        <w:t xml:space="preserve">pasiv </w:t>
      </w:r>
      <w:r w:rsidRPr="00B91C03">
        <w:t>pe cauze de deces, România comparativ cu Europa Sursa IHME, GBD 202</w:t>
      </w:r>
      <w:r w:rsidR="00962105">
        <w:t>3</w:t>
      </w:r>
    </w:p>
    <w:p w14:paraId="23E074E3" w14:textId="77777777" w:rsidR="00CD3152" w:rsidRDefault="00CD3152" w:rsidP="00CD3152">
      <w:pPr>
        <w:ind w:firstLine="708"/>
        <w:jc w:val="both"/>
      </w:pPr>
      <w:r w:rsidRPr="00691804">
        <w:t>Procentul de decese de o anumită cauză atribuibile fumatului pasiv este mai mare în România față de media UE, profilul cauzelor de deces evidențiind o contribuție mai mare a bolilor respiratorii cronice, în special BPCO, dar și a diabetului zaharat și cancerului bonhopulmonar. România se află ușor sub media europeană numai pentru boala ischemică cardiacă.</w:t>
      </w:r>
      <w:r>
        <w:t xml:space="preserve"> (</w:t>
      </w:r>
      <w:r>
        <w:fldChar w:fldCharType="begin"/>
      </w:r>
      <w:r>
        <w:instrText xml:space="preserve"> REF _Ref211575850 \h </w:instrText>
      </w:r>
      <w:r>
        <w:fldChar w:fldCharType="separate"/>
      </w:r>
      <w:r>
        <w:t xml:space="preserve">Figura </w:t>
      </w:r>
      <w:r>
        <w:rPr>
          <w:noProof/>
        </w:rPr>
        <w:t>III</w:t>
      </w:r>
      <w:r>
        <w:t>.</w:t>
      </w:r>
      <w:r>
        <w:rPr>
          <w:noProof/>
        </w:rPr>
        <w:t>5</w:t>
      </w:r>
      <w:r>
        <w:fldChar w:fldCharType="end"/>
      </w:r>
      <w:r>
        <w:t>)</w:t>
      </w:r>
    </w:p>
    <w:p w14:paraId="1BB8DE0E" w14:textId="4EF0D943" w:rsidR="00B56570" w:rsidRDefault="00B56570" w:rsidP="00CD3152">
      <w:pPr>
        <w:ind w:firstLine="708"/>
        <w:jc w:val="both"/>
      </w:pPr>
      <w:r>
        <w:rPr>
          <w:noProof/>
        </w:rPr>
        <w:lastRenderedPageBreak/>
        <w:drawing>
          <wp:inline distT="0" distB="0" distL="0" distR="0" wp14:anchorId="08CBB98F" wp14:editId="29E21061">
            <wp:extent cx="5039995" cy="2697480"/>
            <wp:effectExtent l="0" t="0" r="8255" b="7620"/>
            <wp:docPr id="44847002" name="Chart 1">
              <a:extLst xmlns:a="http://schemas.openxmlformats.org/drawingml/2006/main">
                <a:ext uri="{FF2B5EF4-FFF2-40B4-BE49-F238E27FC236}">
                  <a16:creationId xmlns:a16="http://schemas.microsoft.com/office/drawing/2014/main" id="{0C5302C0-D133-4D00-9ED2-5CA3D0C690B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p>
    <w:p w14:paraId="5B658DDA" w14:textId="17395F39" w:rsidR="00CD3152" w:rsidRDefault="00CD3152" w:rsidP="00CD3152">
      <w:pPr>
        <w:keepNext/>
        <w:jc w:val="center"/>
      </w:pPr>
    </w:p>
    <w:p w14:paraId="61FFDD34" w14:textId="42867580" w:rsidR="00CD3152" w:rsidRDefault="00CD3152" w:rsidP="00CD3152">
      <w:pPr>
        <w:pStyle w:val="Caption"/>
        <w:jc w:val="center"/>
      </w:pPr>
      <w:bookmarkStart w:id="79" w:name="_Ref211575925"/>
      <w:r>
        <w:t xml:space="preserve">Figura </w:t>
      </w:r>
      <w:fldSimple w:instr=" STYLEREF 1 \s ">
        <w:r w:rsidR="0080370C">
          <w:rPr>
            <w:noProof/>
          </w:rPr>
          <w:t>III</w:t>
        </w:r>
      </w:fldSimple>
      <w:r w:rsidR="0080370C">
        <w:t>.</w:t>
      </w:r>
      <w:fldSimple w:instr=" SEQ Figura \* ARABIC \s 1 ">
        <w:r w:rsidR="0080370C">
          <w:rPr>
            <w:noProof/>
          </w:rPr>
          <w:t>6</w:t>
        </w:r>
      </w:fldSimple>
      <w:bookmarkEnd w:id="79"/>
      <w:r w:rsidRPr="00407532">
        <w:t xml:space="preserve"> </w:t>
      </w:r>
      <w:r>
        <w:t>Rate de mortalitate standardizată</w:t>
      </w:r>
      <w:r w:rsidRPr="00407532">
        <w:t xml:space="preserve"> atribuibil</w:t>
      </w:r>
      <w:r>
        <w:t>ă</w:t>
      </w:r>
      <w:r w:rsidRPr="00407532">
        <w:t xml:space="preserve"> fumatului pasiv</w:t>
      </w:r>
      <w:r>
        <w:t>,</w:t>
      </w:r>
      <w:r w:rsidRPr="00407532">
        <w:t xml:space="preserve"> pe cauze de deces, România comparativ cu Europa Sursa IHME, GBD 202</w:t>
      </w:r>
      <w:r w:rsidR="00B56570">
        <w:t>3</w:t>
      </w:r>
    </w:p>
    <w:p w14:paraId="2FD5FB25" w14:textId="77777777" w:rsidR="00CD3152" w:rsidRPr="00F0127A" w:rsidRDefault="00CD3152" w:rsidP="00CD3152">
      <w:pPr>
        <w:pStyle w:val="Caption"/>
        <w:jc w:val="center"/>
        <w:rPr>
          <w:i/>
          <w:iCs/>
          <w:sz w:val="16"/>
          <w:szCs w:val="16"/>
        </w:rPr>
      </w:pPr>
      <w:r w:rsidRPr="00F0127A">
        <w:t xml:space="preserve">* </w:t>
      </w:r>
      <w:r w:rsidRPr="00F0127A">
        <w:rPr>
          <w:i/>
          <w:iCs/>
          <w:sz w:val="16"/>
          <w:szCs w:val="16"/>
        </w:rPr>
        <w:t>Mortalitate standardizată cu vârsta, rate la 100000 loc</w:t>
      </w:r>
    </w:p>
    <w:p w14:paraId="3F107975" w14:textId="77777777" w:rsidR="00CD3152" w:rsidRPr="00882D06" w:rsidRDefault="00CD3152" w:rsidP="00CD3152"/>
    <w:p w14:paraId="76104E20" w14:textId="32B18827" w:rsidR="00CD3152" w:rsidRDefault="00CD3152" w:rsidP="00CD3152">
      <w:pPr>
        <w:ind w:firstLine="708"/>
        <w:jc w:val="both"/>
      </w:pPr>
      <w:r w:rsidRPr="00407532">
        <w:t>Ratele de mortalitate standardizate cu vârsta în România</w:t>
      </w:r>
      <w:r>
        <w:t xml:space="preserve"> atribuibilă fumatului pasiv</w:t>
      </w:r>
      <w:r w:rsidRPr="00407532">
        <w:t>, sunt peste media europeană atât pentru total decese de toate cauzele de boală (</w:t>
      </w:r>
      <w:r>
        <w:t>1</w:t>
      </w:r>
      <w:r w:rsidR="00B56570">
        <w:t>8</w:t>
      </w:r>
      <w:r>
        <w:t>,</w:t>
      </w:r>
      <w:r w:rsidR="00B56570">
        <w:t>07</w:t>
      </w:r>
      <w:r w:rsidRPr="00407532">
        <w:t xml:space="preserve"> la 100000 locuitori vs </w:t>
      </w:r>
      <w:r w:rsidR="00B56570">
        <w:t>7,50</w:t>
      </w:r>
      <w:r w:rsidRPr="00407532">
        <w:t xml:space="preserve"> la 100000 locuitori), cât și în cazul bolilor cardiovasculare, neoplasmelor și afecțiunilor cronice respiratorii</w:t>
      </w:r>
      <w:r>
        <w:t xml:space="preserve"> (</w:t>
      </w:r>
      <w:r>
        <w:fldChar w:fldCharType="begin"/>
      </w:r>
      <w:r>
        <w:instrText xml:space="preserve"> REF _Ref211575925 \h </w:instrText>
      </w:r>
      <w:r>
        <w:fldChar w:fldCharType="separate"/>
      </w:r>
      <w:r>
        <w:t xml:space="preserve">Figura </w:t>
      </w:r>
      <w:r>
        <w:rPr>
          <w:noProof/>
        </w:rPr>
        <w:t>III</w:t>
      </w:r>
      <w:r>
        <w:t>.</w:t>
      </w:r>
      <w:r>
        <w:rPr>
          <w:noProof/>
        </w:rPr>
        <w:t>6</w:t>
      </w:r>
      <w:r>
        <w:fldChar w:fldCharType="end"/>
      </w:r>
      <w:r>
        <w:t>).</w:t>
      </w:r>
    </w:p>
    <w:p w14:paraId="6A920C8C" w14:textId="5F43D7D0" w:rsidR="00CD3152" w:rsidRDefault="00CD3152" w:rsidP="00CD3152">
      <w:pPr>
        <w:pStyle w:val="Caption"/>
        <w:keepNext/>
      </w:pPr>
      <w:bookmarkStart w:id="80" w:name="_Ref211576103"/>
      <w:r>
        <w:t xml:space="preserve">Tabel </w:t>
      </w:r>
      <w:fldSimple w:instr=" STYLEREF 1 \s ">
        <w:r w:rsidR="00501624">
          <w:rPr>
            <w:noProof/>
          </w:rPr>
          <w:t>III</w:t>
        </w:r>
      </w:fldSimple>
      <w:r w:rsidR="00501624">
        <w:noBreakHyphen/>
      </w:r>
      <w:fldSimple w:instr=" SEQ Tabel \* ARABIC \s 1 ">
        <w:r w:rsidR="00501624">
          <w:rPr>
            <w:noProof/>
          </w:rPr>
          <w:t>1</w:t>
        </w:r>
      </w:fldSimple>
      <w:bookmarkEnd w:id="80"/>
      <w:r>
        <w:t xml:space="preserve"> </w:t>
      </w:r>
      <w:r w:rsidRPr="00B1480C">
        <w:t>Ratele de mortalitate standardizată atribuibile fumatului în România, în funcție de cauze de deces și de gen, Sursa: GBD 202</w:t>
      </w:r>
      <w:r w:rsidR="00BB4748" w:rsidRPr="00B1480C">
        <w:t>3</w:t>
      </w:r>
      <w:r w:rsidRPr="00B1480C">
        <w:t xml:space="preserve">, </w:t>
      </w:r>
      <w:r w:rsidRPr="00B1480C">
        <w:rPr>
          <w:i/>
          <w:iCs/>
          <w:sz w:val="16"/>
          <w:szCs w:val="16"/>
        </w:rPr>
        <w:t xml:space="preserve">* Mortalitate standardizată </w:t>
      </w:r>
      <w:r w:rsidR="0047120B">
        <w:rPr>
          <w:i/>
          <w:iCs/>
          <w:sz w:val="16"/>
          <w:szCs w:val="16"/>
        </w:rPr>
        <w:t xml:space="preserve">după </w:t>
      </w:r>
      <w:r w:rsidRPr="00B1480C">
        <w:rPr>
          <w:i/>
          <w:iCs/>
          <w:sz w:val="16"/>
          <w:szCs w:val="16"/>
        </w:rPr>
        <w:t xml:space="preserve"> vârsta, rate la 100000 loc</w:t>
      </w:r>
    </w:p>
    <w:p w14:paraId="5D4CFE6A" w14:textId="77777777" w:rsidR="00044C1D" w:rsidRDefault="00044C1D" w:rsidP="00CD3152">
      <w:pPr>
        <w:ind w:firstLine="708"/>
        <w:jc w:val="both"/>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5"/>
        <w:gridCol w:w="1303"/>
        <w:gridCol w:w="1491"/>
        <w:gridCol w:w="1491"/>
        <w:gridCol w:w="1382"/>
      </w:tblGrid>
      <w:tr w:rsidR="00325E8C" w:rsidRPr="00882D06" w14:paraId="394B8CCC" w14:textId="77777777" w:rsidTr="00F032B4">
        <w:trPr>
          <w:trHeight w:hRule="exact" w:val="284"/>
          <w:jc w:val="center"/>
        </w:trPr>
        <w:tc>
          <w:tcPr>
            <w:tcW w:w="1921" w:type="pct"/>
          </w:tcPr>
          <w:p w14:paraId="4CE9513A" w14:textId="77777777" w:rsidR="00325E8C" w:rsidRPr="001A1C0B" w:rsidRDefault="00325E8C" w:rsidP="00F032B4">
            <w:pPr>
              <w:spacing w:line="240" w:lineRule="auto"/>
              <w:ind w:left="-288"/>
              <w:rPr>
                <w:rFonts w:cs="Calibri"/>
                <w:noProof/>
                <w:szCs w:val="24"/>
                <w:lang w:val="fr-FR" w:eastAsia="en-US"/>
              </w:rPr>
            </w:pPr>
          </w:p>
        </w:tc>
        <w:tc>
          <w:tcPr>
            <w:tcW w:w="1518" w:type="pct"/>
            <w:gridSpan w:val="2"/>
          </w:tcPr>
          <w:p w14:paraId="2DDDEDA5" w14:textId="77777777" w:rsidR="00325E8C" w:rsidRPr="005948E8" w:rsidRDefault="00325E8C" w:rsidP="00F032B4">
            <w:pPr>
              <w:spacing w:line="240" w:lineRule="auto"/>
              <w:ind w:left="-288"/>
              <w:jc w:val="center"/>
              <w:rPr>
                <w:rFonts w:cs="Calibri"/>
                <w:b/>
                <w:bCs/>
                <w:noProof/>
                <w:szCs w:val="24"/>
                <w:lang w:val="en-US" w:eastAsia="en-US"/>
              </w:rPr>
            </w:pPr>
            <w:r>
              <w:rPr>
                <w:rFonts w:cs="Calibri"/>
                <w:b/>
                <w:bCs/>
                <w:noProof/>
                <w:szCs w:val="24"/>
                <w:lang w:val="en-US" w:eastAsia="en-US"/>
              </w:rPr>
              <w:t xml:space="preserve">Ro - </w:t>
            </w:r>
            <w:r w:rsidRPr="005948E8">
              <w:rPr>
                <w:rFonts w:cs="Calibri"/>
                <w:b/>
                <w:bCs/>
                <w:noProof/>
                <w:szCs w:val="24"/>
                <w:lang w:val="en-US" w:eastAsia="en-US"/>
              </w:rPr>
              <w:t xml:space="preserve">Mortalitate * </w:t>
            </w:r>
          </w:p>
        </w:tc>
        <w:tc>
          <w:tcPr>
            <w:tcW w:w="1561" w:type="pct"/>
            <w:gridSpan w:val="2"/>
          </w:tcPr>
          <w:p w14:paraId="35F2A909" w14:textId="77777777" w:rsidR="00325E8C" w:rsidRPr="005948E8" w:rsidRDefault="00325E8C" w:rsidP="00F032B4">
            <w:pPr>
              <w:spacing w:line="240" w:lineRule="auto"/>
              <w:ind w:left="-288"/>
              <w:jc w:val="center"/>
              <w:rPr>
                <w:rFonts w:cs="Calibri"/>
                <w:b/>
                <w:bCs/>
                <w:noProof/>
                <w:szCs w:val="24"/>
                <w:lang w:val="en-US" w:eastAsia="en-US"/>
              </w:rPr>
            </w:pPr>
            <w:r>
              <w:rPr>
                <w:rFonts w:cs="Calibri"/>
                <w:b/>
                <w:bCs/>
                <w:noProof/>
                <w:szCs w:val="24"/>
                <w:lang w:val="en-US" w:eastAsia="en-US"/>
              </w:rPr>
              <w:t xml:space="preserve">UE - </w:t>
            </w:r>
            <w:r w:rsidRPr="005948E8">
              <w:rPr>
                <w:rFonts w:cs="Calibri"/>
                <w:b/>
                <w:bCs/>
                <w:noProof/>
                <w:szCs w:val="24"/>
                <w:lang w:val="en-US" w:eastAsia="en-US"/>
              </w:rPr>
              <w:t>Mortalitate *</w:t>
            </w:r>
          </w:p>
        </w:tc>
      </w:tr>
      <w:tr w:rsidR="00325E8C" w:rsidRPr="00882D06" w14:paraId="6D1A4BA8" w14:textId="77777777" w:rsidTr="00F032B4">
        <w:trPr>
          <w:trHeight w:hRule="exact" w:val="284"/>
          <w:jc w:val="center"/>
        </w:trPr>
        <w:tc>
          <w:tcPr>
            <w:tcW w:w="1921" w:type="pct"/>
          </w:tcPr>
          <w:p w14:paraId="22652F60" w14:textId="77777777" w:rsidR="00325E8C" w:rsidRPr="005948E8" w:rsidRDefault="00325E8C" w:rsidP="00F032B4">
            <w:pPr>
              <w:spacing w:line="240" w:lineRule="auto"/>
              <w:ind w:left="-288"/>
              <w:rPr>
                <w:rFonts w:cs="Calibri"/>
                <w:noProof/>
                <w:szCs w:val="24"/>
                <w:lang w:val="en-US" w:eastAsia="en-US"/>
              </w:rPr>
            </w:pPr>
          </w:p>
        </w:tc>
        <w:tc>
          <w:tcPr>
            <w:tcW w:w="708" w:type="pct"/>
          </w:tcPr>
          <w:p w14:paraId="1ED7315F" w14:textId="77777777" w:rsidR="00325E8C" w:rsidRPr="005948E8" w:rsidRDefault="00325E8C" w:rsidP="00F032B4">
            <w:pPr>
              <w:spacing w:line="240" w:lineRule="auto"/>
              <w:ind w:left="-118"/>
              <w:jc w:val="center"/>
              <w:rPr>
                <w:rFonts w:cs="Calibri"/>
                <w:b/>
                <w:bCs/>
                <w:noProof/>
                <w:szCs w:val="24"/>
                <w:lang w:val="en-US" w:eastAsia="en-US"/>
              </w:rPr>
            </w:pPr>
            <w:r w:rsidRPr="005948E8">
              <w:rPr>
                <w:rFonts w:cs="Calibri"/>
                <w:b/>
                <w:bCs/>
                <w:noProof/>
                <w:szCs w:val="24"/>
                <w:lang w:val="en-US" w:eastAsia="en-US"/>
              </w:rPr>
              <w:t>Bărbați</w:t>
            </w:r>
          </w:p>
        </w:tc>
        <w:tc>
          <w:tcPr>
            <w:tcW w:w="810" w:type="pct"/>
          </w:tcPr>
          <w:p w14:paraId="408DC588" w14:textId="77777777" w:rsidR="00325E8C" w:rsidRPr="005948E8" w:rsidRDefault="00325E8C" w:rsidP="00F032B4">
            <w:pPr>
              <w:spacing w:line="240" w:lineRule="auto"/>
              <w:ind w:left="-80"/>
              <w:jc w:val="center"/>
              <w:rPr>
                <w:rFonts w:cs="Calibri"/>
                <w:b/>
                <w:bCs/>
                <w:noProof/>
                <w:szCs w:val="24"/>
                <w:lang w:val="en-US" w:eastAsia="en-US"/>
              </w:rPr>
            </w:pPr>
            <w:r w:rsidRPr="005948E8">
              <w:rPr>
                <w:rFonts w:cs="Calibri"/>
                <w:b/>
                <w:bCs/>
                <w:noProof/>
                <w:szCs w:val="24"/>
                <w:lang w:val="en-US" w:eastAsia="en-US"/>
              </w:rPr>
              <w:t>Femei</w:t>
            </w:r>
          </w:p>
        </w:tc>
        <w:tc>
          <w:tcPr>
            <w:tcW w:w="810" w:type="pct"/>
          </w:tcPr>
          <w:p w14:paraId="19DFB8D7" w14:textId="77777777" w:rsidR="00325E8C" w:rsidRPr="005948E8" w:rsidRDefault="00325E8C" w:rsidP="00F032B4">
            <w:pPr>
              <w:spacing w:line="240" w:lineRule="auto"/>
              <w:ind w:left="-80"/>
              <w:jc w:val="center"/>
              <w:rPr>
                <w:rFonts w:cs="Calibri"/>
                <w:b/>
                <w:bCs/>
                <w:noProof/>
                <w:szCs w:val="24"/>
                <w:lang w:val="en-US" w:eastAsia="en-US"/>
              </w:rPr>
            </w:pPr>
            <w:r w:rsidRPr="005948E8">
              <w:rPr>
                <w:rFonts w:cs="Calibri"/>
                <w:b/>
                <w:bCs/>
                <w:noProof/>
                <w:szCs w:val="24"/>
                <w:lang w:val="en-US" w:eastAsia="en-US"/>
              </w:rPr>
              <w:t>Bărbați</w:t>
            </w:r>
          </w:p>
        </w:tc>
        <w:tc>
          <w:tcPr>
            <w:tcW w:w="751" w:type="pct"/>
          </w:tcPr>
          <w:p w14:paraId="36C2E00E" w14:textId="77777777" w:rsidR="00325E8C" w:rsidRPr="005948E8" w:rsidRDefault="00325E8C" w:rsidP="00F032B4">
            <w:pPr>
              <w:spacing w:line="240" w:lineRule="auto"/>
              <w:ind w:left="-80"/>
              <w:jc w:val="center"/>
              <w:rPr>
                <w:rFonts w:cs="Calibri"/>
                <w:b/>
                <w:bCs/>
                <w:noProof/>
                <w:szCs w:val="24"/>
                <w:lang w:val="en-US" w:eastAsia="en-US"/>
              </w:rPr>
            </w:pPr>
            <w:r w:rsidRPr="005948E8">
              <w:rPr>
                <w:rFonts w:cs="Calibri"/>
                <w:b/>
                <w:bCs/>
                <w:noProof/>
                <w:szCs w:val="24"/>
                <w:lang w:val="en-US" w:eastAsia="en-US"/>
              </w:rPr>
              <w:t>Femei</w:t>
            </w:r>
          </w:p>
        </w:tc>
      </w:tr>
      <w:tr w:rsidR="00325E8C" w:rsidRPr="00882D06" w14:paraId="0BAAB9C8" w14:textId="77777777" w:rsidTr="00F032B4">
        <w:trPr>
          <w:trHeight w:hRule="exact" w:val="284"/>
          <w:jc w:val="center"/>
        </w:trPr>
        <w:tc>
          <w:tcPr>
            <w:tcW w:w="1921" w:type="pct"/>
          </w:tcPr>
          <w:p w14:paraId="24D54C51" w14:textId="77777777" w:rsidR="00325E8C" w:rsidRPr="005948E8" w:rsidRDefault="00325E8C" w:rsidP="00F032B4">
            <w:pPr>
              <w:spacing w:line="240" w:lineRule="auto"/>
              <w:ind w:left="-288" w:right="-180" w:firstLine="277"/>
              <w:rPr>
                <w:rFonts w:cs="Calibri"/>
                <w:b/>
                <w:bCs/>
                <w:noProof/>
                <w:szCs w:val="24"/>
                <w:lang w:val="en-US" w:eastAsia="en-US"/>
              </w:rPr>
            </w:pPr>
            <w:r w:rsidRPr="005948E8">
              <w:rPr>
                <w:rFonts w:cs="Calibri"/>
                <w:b/>
                <w:bCs/>
                <w:noProof/>
                <w:szCs w:val="24"/>
                <w:lang w:val="en-US" w:eastAsia="en-US"/>
              </w:rPr>
              <w:t>Boli cronice netransmisibile (BNT)</w:t>
            </w:r>
          </w:p>
        </w:tc>
        <w:tc>
          <w:tcPr>
            <w:tcW w:w="708" w:type="pct"/>
          </w:tcPr>
          <w:p w14:paraId="25DD82A3" w14:textId="5A80B364" w:rsidR="00325E8C" w:rsidRPr="005948E8" w:rsidRDefault="00325E8C" w:rsidP="00F032B4">
            <w:pPr>
              <w:spacing w:line="240" w:lineRule="auto"/>
              <w:ind w:left="-288"/>
              <w:jc w:val="right"/>
              <w:rPr>
                <w:rFonts w:cs="Calibri"/>
                <w:b/>
                <w:bCs/>
                <w:noProof/>
                <w:szCs w:val="24"/>
                <w:lang w:val="en-US" w:eastAsia="en-US"/>
              </w:rPr>
            </w:pPr>
            <w:r>
              <w:rPr>
                <w:rFonts w:cs="Calibri"/>
                <w:b/>
                <w:bCs/>
                <w:noProof/>
                <w:szCs w:val="24"/>
                <w:lang w:val="en-US" w:eastAsia="en-US"/>
              </w:rPr>
              <w:t>124,14</w:t>
            </w:r>
          </w:p>
        </w:tc>
        <w:tc>
          <w:tcPr>
            <w:tcW w:w="810" w:type="pct"/>
          </w:tcPr>
          <w:p w14:paraId="3DE97E6F" w14:textId="3F856E19" w:rsidR="00325E8C" w:rsidRPr="005948E8" w:rsidRDefault="00325E8C" w:rsidP="00F032B4">
            <w:pPr>
              <w:spacing w:line="240" w:lineRule="auto"/>
              <w:ind w:left="-288"/>
              <w:jc w:val="right"/>
              <w:rPr>
                <w:rFonts w:cs="Calibri"/>
                <w:b/>
                <w:bCs/>
                <w:noProof/>
                <w:szCs w:val="24"/>
                <w:lang w:val="en-US" w:eastAsia="en-US"/>
              </w:rPr>
            </w:pPr>
            <w:r>
              <w:rPr>
                <w:rFonts w:cs="Calibri"/>
                <w:b/>
                <w:bCs/>
                <w:noProof/>
                <w:szCs w:val="24"/>
                <w:lang w:val="en-US" w:eastAsia="en-US"/>
              </w:rPr>
              <w:t>19,05</w:t>
            </w:r>
          </w:p>
        </w:tc>
        <w:tc>
          <w:tcPr>
            <w:tcW w:w="810" w:type="pct"/>
          </w:tcPr>
          <w:p w14:paraId="41A42C49" w14:textId="01D7A7B3" w:rsidR="00325E8C" w:rsidRPr="00882D06" w:rsidRDefault="00325E8C" w:rsidP="00F032B4">
            <w:pPr>
              <w:spacing w:line="240" w:lineRule="auto"/>
              <w:ind w:left="-288"/>
              <w:jc w:val="right"/>
              <w:rPr>
                <w:rFonts w:cs="Calibri"/>
                <w:b/>
                <w:bCs/>
                <w:noProof/>
                <w:szCs w:val="24"/>
                <w:lang w:val="en-US" w:eastAsia="en-US"/>
              </w:rPr>
            </w:pPr>
            <w:r>
              <w:rPr>
                <w:rFonts w:cs="Calibri"/>
                <w:b/>
                <w:bCs/>
                <w:noProof/>
                <w:szCs w:val="24"/>
                <w:lang w:val="en-US" w:eastAsia="en-US"/>
              </w:rPr>
              <w:t>80,37</w:t>
            </w:r>
          </w:p>
        </w:tc>
        <w:tc>
          <w:tcPr>
            <w:tcW w:w="751" w:type="pct"/>
          </w:tcPr>
          <w:p w14:paraId="5243BCB1" w14:textId="43D5B95C" w:rsidR="00325E8C" w:rsidRPr="00882D06" w:rsidRDefault="00325E8C" w:rsidP="00F032B4">
            <w:pPr>
              <w:spacing w:line="240" w:lineRule="auto"/>
              <w:ind w:left="-288"/>
              <w:jc w:val="right"/>
              <w:rPr>
                <w:rFonts w:cs="Calibri"/>
                <w:b/>
                <w:bCs/>
                <w:noProof/>
                <w:szCs w:val="24"/>
                <w:lang w:val="en-US" w:eastAsia="en-US"/>
              </w:rPr>
            </w:pPr>
            <w:r>
              <w:rPr>
                <w:rFonts w:cs="Calibri"/>
                <w:b/>
                <w:bCs/>
                <w:noProof/>
                <w:szCs w:val="24"/>
                <w:lang w:val="en-US" w:eastAsia="en-US"/>
              </w:rPr>
              <w:t>21,67</w:t>
            </w:r>
          </w:p>
        </w:tc>
      </w:tr>
      <w:tr w:rsidR="00325E8C" w:rsidRPr="00882D06" w14:paraId="1ACFB3E0" w14:textId="77777777" w:rsidTr="00F032B4">
        <w:trPr>
          <w:trHeight w:hRule="exact" w:val="284"/>
          <w:jc w:val="center"/>
        </w:trPr>
        <w:tc>
          <w:tcPr>
            <w:tcW w:w="1921" w:type="pct"/>
          </w:tcPr>
          <w:p w14:paraId="2FA5DB37" w14:textId="77777777" w:rsidR="00325E8C" w:rsidRPr="005948E8" w:rsidRDefault="00325E8C" w:rsidP="00F032B4">
            <w:pPr>
              <w:spacing w:line="240" w:lineRule="auto"/>
              <w:ind w:left="-288" w:right="-180" w:firstLine="606"/>
              <w:rPr>
                <w:rFonts w:cs="Calibri"/>
                <w:noProof/>
                <w:szCs w:val="24"/>
                <w:lang w:val="en-US" w:eastAsia="en-US"/>
              </w:rPr>
            </w:pPr>
            <w:r w:rsidRPr="005948E8">
              <w:rPr>
                <w:rFonts w:cs="Calibri"/>
                <w:noProof/>
                <w:szCs w:val="24"/>
                <w:lang w:val="en-US" w:eastAsia="en-US"/>
              </w:rPr>
              <w:t>Boli cardiovasculare</w:t>
            </w:r>
          </w:p>
        </w:tc>
        <w:tc>
          <w:tcPr>
            <w:tcW w:w="708" w:type="pct"/>
          </w:tcPr>
          <w:p w14:paraId="08D7913E" w14:textId="03CCCE65" w:rsidR="00325E8C" w:rsidRPr="005948E8" w:rsidRDefault="00325E8C" w:rsidP="00F032B4">
            <w:pPr>
              <w:spacing w:line="240" w:lineRule="auto"/>
              <w:ind w:left="-288"/>
              <w:jc w:val="right"/>
              <w:rPr>
                <w:rFonts w:cs="Calibri"/>
                <w:noProof/>
                <w:szCs w:val="24"/>
                <w:lang w:val="en-US" w:eastAsia="en-US"/>
              </w:rPr>
            </w:pPr>
            <w:r>
              <w:rPr>
                <w:rFonts w:cs="Calibri"/>
                <w:noProof/>
                <w:szCs w:val="24"/>
                <w:lang w:val="en-US" w:eastAsia="en-US"/>
              </w:rPr>
              <w:t>51,52</w:t>
            </w:r>
          </w:p>
        </w:tc>
        <w:tc>
          <w:tcPr>
            <w:tcW w:w="810" w:type="pct"/>
          </w:tcPr>
          <w:p w14:paraId="50EBBD35" w14:textId="038DABE8" w:rsidR="00325E8C" w:rsidRPr="005948E8" w:rsidRDefault="005448AD" w:rsidP="00F032B4">
            <w:pPr>
              <w:spacing w:line="240" w:lineRule="auto"/>
              <w:ind w:left="-288"/>
              <w:jc w:val="right"/>
              <w:rPr>
                <w:rFonts w:cs="Calibri"/>
                <w:noProof/>
                <w:szCs w:val="24"/>
                <w:lang w:val="en-US" w:eastAsia="en-US"/>
              </w:rPr>
            </w:pPr>
            <w:r>
              <w:rPr>
                <w:rFonts w:cs="Calibri"/>
                <w:noProof/>
                <w:szCs w:val="24"/>
                <w:lang w:val="en-US" w:eastAsia="en-US"/>
              </w:rPr>
              <w:t>7,87</w:t>
            </w:r>
          </w:p>
        </w:tc>
        <w:tc>
          <w:tcPr>
            <w:tcW w:w="810" w:type="pct"/>
          </w:tcPr>
          <w:p w14:paraId="7EC6713E" w14:textId="054CD7C2" w:rsidR="00325E8C" w:rsidRPr="00882D06" w:rsidRDefault="005448AD" w:rsidP="00F032B4">
            <w:pPr>
              <w:spacing w:line="240" w:lineRule="auto"/>
              <w:ind w:left="-288"/>
              <w:jc w:val="right"/>
              <w:rPr>
                <w:rFonts w:cs="Calibri"/>
                <w:noProof/>
                <w:szCs w:val="24"/>
                <w:lang w:val="en-US" w:eastAsia="en-US"/>
              </w:rPr>
            </w:pPr>
            <w:r>
              <w:rPr>
                <w:rFonts w:cs="Calibri"/>
                <w:noProof/>
                <w:szCs w:val="24"/>
                <w:lang w:val="en-US" w:eastAsia="en-US"/>
              </w:rPr>
              <w:t>24,22</w:t>
            </w:r>
          </w:p>
        </w:tc>
        <w:tc>
          <w:tcPr>
            <w:tcW w:w="751" w:type="pct"/>
          </w:tcPr>
          <w:p w14:paraId="1DF3534F" w14:textId="3DC6D940" w:rsidR="00325E8C" w:rsidRPr="00882D06" w:rsidRDefault="005448AD" w:rsidP="00F032B4">
            <w:pPr>
              <w:spacing w:line="240" w:lineRule="auto"/>
              <w:ind w:left="-288"/>
              <w:jc w:val="right"/>
              <w:rPr>
                <w:rFonts w:cs="Calibri"/>
                <w:noProof/>
                <w:szCs w:val="24"/>
                <w:lang w:val="en-US" w:eastAsia="en-US"/>
              </w:rPr>
            </w:pPr>
            <w:r>
              <w:rPr>
                <w:rFonts w:cs="Calibri"/>
                <w:noProof/>
                <w:szCs w:val="24"/>
                <w:lang w:val="en-US" w:eastAsia="en-US"/>
              </w:rPr>
              <w:t>4,62</w:t>
            </w:r>
          </w:p>
        </w:tc>
      </w:tr>
      <w:tr w:rsidR="00325E8C" w:rsidRPr="00882D06" w14:paraId="415BEB5A" w14:textId="77777777" w:rsidTr="00F032B4">
        <w:trPr>
          <w:trHeight w:hRule="exact" w:val="284"/>
          <w:jc w:val="center"/>
        </w:trPr>
        <w:tc>
          <w:tcPr>
            <w:tcW w:w="1921" w:type="pct"/>
          </w:tcPr>
          <w:p w14:paraId="2D34585E" w14:textId="77777777" w:rsidR="00325E8C" w:rsidRPr="00D33DBE" w:rsidRDefault="00325E8C" w:rsidP="00A62A7C">
            <w:pPr>
              <w:pStyle w:val="ListParagraph"/>
              <w:numPr>
                <w:ilvl w:val="0"/>
                <w:numId w:val="36"/>
              </w:numPr>
              <w:spacing w:line="240" w:lineRule="auto"/>
              <w:ind w:right="-180"/>
              <w:rPr>
                <w:rFonts w:cs="Calibri"/>
                <w:noProof/>
                <w:szCs w:val="24"/>
                <w:lang w:val="en-US" w:eastAsia="en-US"/>
              </w:rPr>
            </w:pPr>
            <w:r w:rsidRPr="00D33DBE">
              <w:rPr>
                <w:rFonts w:cs="Calibri"/>
                <w:noProof/>
                <w:szCs w:val="24"/>
                <w:lang w:val="en-US" w:eastAsia="en-US"/>
              </w:rPr>
              <w:t>Accident vascular cerebral</w:t>
            </w:r>
          </w:p>
        </w:tc>
        <w:tc>
          <w:tcPr>
            <w:tcW w:w="708" w:type="pct"/>
          </w:tcPr>
          <w:p w14:paraId="4C2EC645" w14:textId="1CABB3F6" w:rsidR="00325E8C" w:rsidRPr="005948E8" w:rsidRDefault="001B17FC" w:rsidP="00F032B4">
            <w:pPr>
              <w:spacing w:line="240" w:lineRule="auto"/>
              <w:ind w:left="-288"/>
              <w:jc w:val="right"/>
              <w:rPr>
                <w:rFonts w:cs="Calibri"/>
                <w:noProof/>
                <w:szCs w:val="24"/>
                <w:lang w:val="en-US" w:eastAsia="en-US"/>
              </w:rPr>
            </w:pPr>
            <w:r>
              <w:rPr>
                <w:rFonts w:cs="Calibri"/>
                <w:noProof/>
                <w:szCs w:val="24"/>
                <w:lang w:val="en-US" w:eastAsia="en-US"/>
              </w:rPr>
              <w:t>15,28</w:t>
            </w:r>
          </w:p>
        </w:tc>
        <w:tc>
          <w:tcPr>
            <w:tcW w:w="810" w:type="pct"/>
          </w:tcPr>
          <w:p w14:paraId="397920C8" w14:textId="60A26EBD" w:rsidR="00325E8C" w:rsidRPr="005948E8" w:rsidRDefault="001B17FC" w:rsidP="00F032B4">
            <w:pPr>
              <w:spacing w:line="240" w:lineRule="auto"/>
              <w:ind w:left="-288"/>
              <w:jc w:val="right"/>
              <w:rPr>
                <w:rFonts w:cs="Calibri"/>
                <w:noProof/>
                <w:szCs w:val="24"/>
                <w:lang w:val="en-US" w:eastAsia="en-US"/>
              </w:rPr>
            </w:pPr>
            <w:r>
              <w:rPr>
                <w:rFonts w:cs="Calibri"/>
                <w:noProof/>
                <w:szCs w:val="24"/>
                <w:lang w:val="en-US" w:eastAsia="en-US"/>
              </w:rPr>
              <w:t>2,83</w:t>
            </w:r>
          </w:p>
        </w:tc>
        <w:tc>
          <w:tcPr>
            <w:tcW w:w="810" w:type="pct"/>
          </w:tcPr>
          <w:p w14:paraId="76EB58B8" w14:textId="0B4BF10D" w:rsidR="00325E8C" w:rsidRPr="00882D06" w:rsidRDefault="001B17FC" w:rsidP="00F032B4">
            <w:pPr>
              <w:spacing w:line="240" w:lineRule="auto"/>
              <w:ind w:left="-288"/>
              <w:jc w:val="right"/>
              <w:rPr>
                <w:rFonts w:cs="Calibri"/>
                <w:noProof/>
                <w:szCs w:val="24"/>
                <w:lang w:val="en-US" w:eastAsia="en-US"/>
              </w:rPr>
            </w:pPr>
            <w:r>
              <w:rPr>
                <w:rFonts w:cs="Calibri"/>
                <w:noProof/>
                <w:szCs w:val="24"/>
                <w:lang w:val="en-US" w:eastAsia="en-US"/>
              </w:rPr>
              <w:t>5,16</w:t>
            </w:r>
          </w:p>
        </w:tc>
        <w:tc>
          <w:tcPr>
            <w:tcW w:w="751" w:type="pct"/>
          </w:tcPr>
          <w:p w14:paraId="3DB7704C" w14:textId="264FA337" w:rsidR="00325E8C" w:rsidRPr="00882D06" w:rsidRDefault="001B17FC" w:rsidP="00F032B4">
            <w:pPr>
              <w:spacing w:line="240" w:lineRule="auto"/>
              <w:ind w:left="-288"/>
              <w:jc w:val="right"/>
              <w:rPr>
                <w:rFonts w:cs="Calibri"/>
                <w:noProof/>
                <w:szCs w:val="24"/>
                <w:lang w:val="en-US" w:eastAsia="en-US"/>
              </w:rPr>
            </w:pPr>
            <w:r>
              <w:rPr>
                <w:rFonts w:cs="Calibri"/>
                <w:noProof/>
                <w:szCs w:val="24"/>
                <w:lang w:val="en-US" w:eastAsia="en-US"/>
              </w:rPr>
              <w:t>1,41</w:t>
            </w:r>
          </w:p>
        </w:tc>
      </w:tr>
      <w:tr w:rsidR="00325E8C" w:rsidRPr="00882D06" w14:paraId="4C80F46E" w14:textId="77777777" w:rsidTr="00F032B4">
        <w:trPr>
          <w:trHeight w:hRule="exact" w:val="284"/>
          <w:jc w:val="center"/>
        </w:trPr>
        <w:tc>
          <w:tcPr>
            <w:tcW w:w="1921" w:type="pct"/>
          </w:tcPr>
          <w:p w14:paraId="7E60AA11" w14:textId="77777777" w:rsidR="00325E8C" w:rsidRPr="00D33DBE" w:rsidRDefault="00325E8C" w:rsidP="00A62A7C">
            <w:pPr>
              <w:pStyle w:val="ListParagraph"/>
              <w:numPr>
                <w:ilvl w:val="0"/>
                <w:numId w:val="36"/>
              </w:numPr>
              <w:spacing w:line="240" w:lineRule="auto"/>
              <w:ind w:right="-180"/>
              <w:rPr>
                <w:rFonts w:cs="Calibri"/>
                <w:noProof/>
                <w:szCs w:val="24"/>
                <w:lang w:val="en-US" w:eastAsia="en-US"/>
              </w:rPr>
            </w:pPr>
            <w:r w:rsidRPr="00D33DBE">
              <w:rPr>
                <w:rFonts w:cs="Calibri"/>
                <w:noProof/>
                <w:szCs w:val="24"/>
                <w:lang w:val="en-US" w:eastAsia="en-US"/>
              </w:rPr>
              <w:t>Boala ischemică cardiaca</w:t>
            </w:r>
          </w:p>
        </w:tc>
        <w:tc>
          <w:tcPr>
            <w:tcW w:w="708" w:type="pct"/>
          </w:tcPr>
          <w:p w14:paraId="5D694E3A" w14:textId="0B86096F" w:rsidR="00325E8C" w:rsidRPr="005948E8" w:rsidRDefault="005448AD" w:rsidP="00F032B4">
            <w:pPr>
              <w:spacing w:line="240" w:lineRule="auto"/>
              <w:ind w:left="-288"/>
              <w:jc w:val="right"/>
              <w:rPr>
                <w:rFonts w:cs="Calibri"/>
                <w:noProof/>
                <w:szCs w:val="24"/>
                <w:lang w:val="en-US" w:eastAsia="en-US"/>
              </w:rPr>
            </w:pPr>
            <w:r>
              <w:rPr>
                <w:rFonts w:cs="Calibri"/>
                <w:noProof/>
                <w:szCs w:val="24"/>
                <w:lang w:val="en-US" w:eastAsia="en-US"/>
              </w:rPr>
              <w:t>34,26</w:t>
            </w:r>
          </w:p>
        </w:tc>
        <w:tc>
          <w:tcPr>
            <w:tcW w:w="810" w:type="pct"/>
          </w:tcPr>
          <w:p w14:paraId="2BEAF13F" w14:textId="37B313BE" w:rsidR="00325E8C" w:rsidRPr="005948E8" w:rsidRDefault="005448AD" w:rsidP="00F032B4">
            <w:pPr>
              <w:spacing w:line="240" w:lineRule="auto"/>
              <w:ind w:left="-288"/>
              <w:jc w:val="right"/>
              <w:rPr>
                <w:rFonts w:cs="Calibri"/>
                <w:noProof/>
                <w:szCs w:val="24"/>
                <w:lang w:val="en-US" w:eastAsia="en-US"/>
              </w:rPr>
            </w:pPr>
            <w:r>
              <w:rPr>
                <w:rFonts w:cs="Calibri"/>
                <w:noProof/>
                <w:szCs w:val="24"/>
                <w:lang w:val="en-US" w:eastAsia="en-US"/>
              </w:rPr>
              <w:t>4,74</w:t>
            </w:r>
          </w:p>
        </w:tc>
        <w:tc>
          <w:tcPr>
            <w:tcW w:w="810" w:type="pct"/>
          </w:tcPr>
          <w:p w14:paraId="6F35C01F" w14:textId="7E16F963" w:rsidR="00325E8C" w:rsidRPr="00882D06" w:rsidRDefault="005448AD" w:rsidP="00F032B4">
            <w:pPr>
              <w:spacing w:line="240" w:lineRule="auto"/>
              <w:ind w:left="-288"/>
              <w:jc w:val="right"/>
              <w:rPr>
                <w:rFonts w:cs="Calibri"/>
                <w:noProof/>
                <w:szCs w:val="24"/>
                <w:lang w:val="en-US" w:eastAsia="en-US"/>
              </w:rPr>
            </w:pPr>
            <w:r>
              <w:rPr>
                <w:rFonts w:cs="Calibri"/>
                <w:noProof/>
                <w:szCs w:val="24"/>
                <w:lang w:val="en-US" w:eastAsia="en-US"/>
              </w:rPr>
              <w:t>16,65</w:t>
            </w:r>
          </w:p>
        </w:tc>
        <w:tc>
          <w:tcPr>
            <w:tcW w:w="751" w:type="pct"/>
          </w:tcPr>
          <w:p w14:paraId="7C1854FA" w14:textId="204FC8CC" w:rsidR="00325E8C" w:rsidRPr="00882D06" w:rsidRDefault="005448AD" w:rsidP="00F032B4">
            <w:pPr>
              <w:spacing w:line="240" w:lineRule="auto"/>
              <w:ind w:left="-288"/>
              <w:jc w:val="right"/>
              <w:rPr>
                <w:rFonts w:cs="Calibri"/>
                <w:noProof/>
                <w:szCs w:val="24"/>
                <w:lang w:val="en-US" w:eastAsia="en-US"/>
              </w:rPr>
            </w:pPr>
            <w:r>
              <w:rPr>
                <w:rFonts w:cs="Calibri"/>
                <w:noProof/>
                <w:szCs w:val="24"/>
                <w:lang w:val="en-US" w:eastAsia="en-US"/>
              </w:rPr>
              <w:t>2,70</w:t>
            </w:r>
          </w:p>
        </w:tc>
      </w:tr>
      <w:tr w:rsidR="001B17FC" w:rsidRPr="00882D06" w14:paraId="1BC2A126" w14:textId="77777777" w:rsidTr="00F032B4">
        <w:trPr>
          <w:trHeight w:hRule="exact" w:val="284"/>
          <w:jc w:val="center"/>
        </w:trPr>
        <w:tc>
          <w:tcPr>
            <w:tcW w:w="1921" w:type="pct"/>
          </w:tcPr>
          <w:p w14:paraId="0A2DF250" w14:textId="63186838" w:rsidR="001B17FC" w:rsidRPr="005948E8" w:rsidRDefault="001B17FC" w:rsidP="001B17FC">
            <w:pPr>
              <w:spacing w:line="240" w:lineRule="auto"/>
              <w:ind w:left="-288" w:right="-180" w:firstLine="606"/>
              <w:rPr>
                <w:rFonts w:cs="Calibri"/>
                <w:noProof/>
                <w:szCs w:val="24"/>
                <w:lang w:val="en-US" w:eastAsia="en-US"/>
              </w:rPr>
            </w:pPr>
            <w:r>
              <w:rPr>
                <w:rFonts w:cs="Calibri"/>
                <w:noProof/>
                <w:szCs w:val="24"/>
                <w:lang w:val="en-US" w:eastAsia="en-US"/>
              </w:rPr>
              <w:t>Neoplazii</w:t>
            </w:r>
          </w:p>
        </w:tc>
        <w:tc>
          <w:tcPr>
            <w:tcW w:w="708" w:type="pct"/>
          </w:tcPr>
          <w:p w14:paraId="1FB58C14" w14:textId="281E9F7D" w:rsidR="001B17FC" w:rsidRPr="005948E8" w:rsidRDefault="001B17FC" w:rsidP="001B17FC">
            <w:pPr>
              <w:spacing w:line="240" w:lineRule="auto"/>
              <w:ind w:left="-288"/>
              <w:jc w:val="right"/>
              <w:rPr>
                <w:rFonts w:cs="Calibri"/>
                <w:noProof/>
                <w:szCs w:val="24"/>
                <w:lang w:val="en-US" w:eastAsia="en-US"/>
              </w:rPr>
            </w:pPr>
            <w:r>
              <w:rPr>
                <w:rFonts w:cs="Calibri"/>
                <w:noProof/>
                <w:szCs w:val="24"/>
                <w:lang w:val="en-US" w:eastAsia="en-US"/>
              </w:rPr>
              <w:t>59,19</w:t>
            </w:r>
          </w:p>
        </w:tc>
        <w:tc>
          <w:tcPr>
            <w:tcW w:w="810" w:type="pct"/>
          </w:tcPr>
          <w:p w14:paraId="12CBAAC5" w14:textId="5D2D79B2" w:rsidR="001B17FC" w:rsidRPr="005948E8" w:rsidRDefault="001B17FC" w:rsidP="001B17FC">
            <w:pPr>
              <w:spacing w:line="240" w:lineRule="auto"/>
              <w:ind w:left="-288"/>
              <w:jc w:val="right"/>
              <w:rPr>
                <w:rFonts w:cs="Calibri"/>
                <w:noProof/>
                <w:szCs w:val="24"/>
                <w:lang w:val="en-US" w:eastAsia="en-US"/>
              </w:rPr>
            </w:pPr>
            <w:r>
              <w:rPr>
                <w:rFonts w:cs="Calibri"/>
                <w:noProof/>
                <w:szCs w:val="24"/>
                <w:lang w:val="en-US" w:eastAsia="en-US"/>
              </w:rPr>
              <w:t>9,47</w:t>
            </w:r>
          </w:p>
        </w:tc>
        <w:tc>
          <w:tcPr>
            <w:tcW w:w="810" w:type="pct"/>
          </w:tcPr>
          <w:p w14:paraId="2A62F054" w14:textId="1EAEDCD1" w:rsidR="001B17FC" w:rsidRPr="00882D06" w:rsidRDefault="005E2028" w:rsidP="001B17FC">
            <w:pPr>
              <w:spacing w:line="240" w:lineRule="auto"/>
              <w:ind w:left="-288"/>
              <w:jc w:val="right"/>
              <w:rPr>
                <w:rFonts w:cs="Calibri"/>
                <w:noProof/>
                <w:szCs w:val="24"/>
                <w:lang w:val="en-US" w:eastAsia="en-US"/>
              </w:rPr>
            </w:pPr>
            <w:r>
              <w:rPr>
                <w:rFonts w:cs="Calibri"/>
                <w:noProof/>
                <w:szCs w:val="24"/>
                <w:lang w:val="en-US" w:eastAsia="en-US"/>
              </w:rPr>
              <w:t>44,88</w:t>
            </w:r>
          </w:p>
        </w:tc>
        <w:tc>
          <w:tcPr>
            <w:tcW w:w="751" w:type="pct"/>
          </w:tcPr>
          <w:p w14:paraId="30AA992A" w14:textId="54840006" w:rsidR="001B17FC" w:rsidRPr="00882D06" w:rsidRDefault="005E2028" w:rsidP="001B17FC">
            <w:pPr>
              <w:spacing w:line="240" w:lineRule="auto"/>
              <w:ind w:left="-288"/>
              <w:jc w:val="right"/>
              <w:rPr>
                <w:rFonts w:cs="Calibri"/>
                <w:noProof/>
                <w:szCs w:val="24"/>
                <w:lang w:val="en-US" w:eastAsia="en-US"/>
              </w:rPr>
            </w:pPr>
            <w:r>
              <w:rPr>
                <w:rFonts w:cs="Calibri"/>
                <w:noProof/>
                <w:szCs w:val="24"/>
                <w:lang w:val="en-US" w:eastAsia="en-US"/>
              </w:rPr>
              <w:t>13,49</w:t>
            </w:r>
          </w:p>
        </w:tc>
      </w:tr>
      <w:tr w:rsidR="00325E8C" w:rsidRPr="00882D06" w14:paraId="1A0A9141" w14:textId="77777777" w:rsidTr="00F032B4">
        <w:trPr>
          <w:trHeight w:hRule="exact" w:val="284"/>
          <w:jc w:val="center"/>
        </w:trPr>
        <w:tc>
          <w:tcPr>
            <w:tcW w:w="1921" w:type="pct"/>
          </w:tcPr>
          <w:p w14:paraId="14ACEDD3" w14:textId="77777777" w:rsidR="00325E8C" w:rsidRPr="00B1480C" w:rsidRDefault="00325E8C" w:rsidP="00A62A7C">
            <w:pPr>
              <w:pStyle w:val="ListParagraph"/>
              <w:numPr>
                <w:ilvl w:val="0"/>
                <w:numId w:val="38"/>
              </w:numPr>
              <w:spacing w:line="240" w:lineRule="auto"/>
              <w:ind w:right="-180"/>
              <w:rPr>
                <w:rFonts w:cs="Calibri"/>
                <w:noProof/>
                <w:szCs w:val="24"/>
                <w:lang w:val="en-US" w:eastAsia="en-US"/>
              </w:rPr>
            </w:pPr>
            <w:r w:rsidRPr="00B1480C">
              <w:rPr>
                <w:rFonts w:cs="Calibri"/>
                <w:noProof/>
                <w:szCs w:val="24"/>
                <w:lang w:val="en-US" w:eastAsia="en-US"/>
              </w:rPr>
              <w:t>Cancer bronhopulmonar</w:t>
            </w:r>
          </w:p>
        </w:tc>
        <w:tc>
          <w:tcPr>
            <w:tcW w:w="708" w:type="pct"/>
          </w:tcPr>
          <w:p w14:paraId="492C61E9" w14:textId="7911DED7" w:rsidR="00325E8C" w:rsidRDefault="00E56C0B" w:rsidP="00F032B4">
            <w:pPr>
              <w:spacing w:line="240" w:lineRule="auto"/>
              <w:ind w:left="-288"/>
              <w:jc w:val="right"/>
              <w:rPr>
                <w:rFonts w:cs="Calibri"/>
                <w:noProof/>
                <w:szCs w:val="24"/>
                <w:lang w:val="en-US" w:eastAsia="en-US"/>
              </w:rPr>
            </w:pPr>
            <w:r>
              <w:rPr>
                <w:rFonts w:cs="Calibri"/>
                <w:noProof/>
                <w:szCs w:val="24"/>
                <w:lang w:val="en-US" w:eastAsia="en-US"/>
              </w:rPr>
              <w:t>35,17</w:t>
            </w:r>
          </w:p>
        </w:tc>
        <w:tc>
          <w:tcPr>
            <w:tcW w:w="810" w:type="pct"/>
          </w:tcPr>
          <w:p w14:paraId="46B51291" w14:textId="082B9B47" w:rsidR="00325E8C" w:rsidRDefault="00E56C0B" w:rsidP="00F032B4">
            <w:pPr>
              <w:spacing w:line="240" w:lineRule="auto"/>
              <w:ind w:left="-288"/>
              <w:jc w:val="right"/>
              <w:rPr>
                <w:rFonts w:cs="Calibri"/>
                <w:noProof/>
                <w:szCs w:val="24"/>
                <w:lang w:val="en-US" w:eastAsia="en-US"/>
              </w:rPr>
            </w:pPr>
            <w:r>
              <w:rPr>
                <w:rFonts w:cs="Calibri"/>
                <w:noProof/>
                <w:szCs w:val="24"/>
                <w:lang w:val="en-US" w:eastAsia="en-US"/>
              </w:rPr>
              <w:t>5,20</w:t>
            </w:r>
          </w:p>
        </w:tc>
        <w:tc>
          <w:tcPr>
            <w:tcW w:w="810" w:type="pct"/>
          </w:tcPr>
          <w:p w14:paraId="2B96263C" w14:textId="1AAF79CB" w:rsidR="00325E8C" w:rsidRDefault="00E56C0B" w:rsidP="00F032B4">
            <w:pPr>
              <w:spacing w:line="240" w:lineRule="auto"/>
              <w:ind w:left="-288"/>
              <w:jc w:val="right"/>
              <w:rPr>
                <w:rFonts w:cs="Calibri"/>
                <w:noProof/>
                <w:szCs w:val="24"/>
                <w:lang w:val="en-US" w:eastAsia="en-US"/>
              </w:rPr>
            </w:pPr>
            <w:r>
              <w:rPr>
                <w:rFonts w:cs="Calibri"/>
                <w:noProof/>
                <w:szCs w:val="24"/>
                <w:lang w:val="en-US" w:eastAsia="en-US"/>
              </w:rPr>
              <w:t>27,93</w:t>
            </w:r>
          </w:p>
        </w:tc>
        <w:tc>
          <w:tcPr>
            <w:tcW w:w="751" w:type="pct"/>
          </w:tcPr>
          <w:p w14:paraId="3A45924E" w14:textId="29D73286" w:rsidR="00325E8C" w:rsidRDefault="00E56C0B" w:rsidP="00F032B4">
            <w:pPr>
              <w:spacing w:line="240" w:lineRule="auto"/>
              <w:ind w:left="-288"/>
              <w:jc w:val="right"/>
              <w:rPr>
                <w:rFonts w:cs="Calibri"/>
                <w:noProof/>
                <w:szCs w:val="24"/>
                <w:lang w:val="en-US" w:eastAsia="en-US"/>
              </w:rPr>
            </w:pPr>
            <w:r>
              <w:rPr>
                <w:rFonts w:cs="Calibri"/>
                <w:noProof/>
                <w:szCs w:val="24"/>
                <w:lang w:val="en-US" w:eastAsia="en-US"/>
              </w:rPr>
              <w:t>9,19</w:t>
            </w:r>
          </w:p>
        </w:tc>
      </w:tr>
      <w:tr w:rsidR="00325E8C" w:rsidRPr="00882D06" w14:paraId="6677CAB0" w14:textId="77777777" w:rsidTr="00F032B4">
        <w:trPr>
          <w:trHeight w:hRule="exact" w:val="284"/>
          <w:jc w:val="center"/>
        </w:trPr>
        <w:tc>
          <w:tcPr>
            <w:tcW w:w="1921" w:type="pct"/>
          </w:tcPr>
          <w:p w14:paraId="22733911" w14:textId="715315B2" w:rsidR="00325E8C" w:rsidRPr="005948E8" w:rsidRDefault="00325E8C" w:rsidP="00F032B4">
            <w:pPr>
              <w:spacing w:line="240" w:lineRule="auto"/>
              <w:ind w:left="-288" w:right="-180" w:firstLine="606"/>
              <w:rPr>
                <w:rFonts w:cs="Calibri"/>
                <w:noProof/>
                <w:szCs w:val="24"/>
                <w:lang w:val="en-US" w:eastAsia="en-US"/>
              </w:rPr>
            </w:pPr>
            <w:r>
              <w:rPr>
                <w:rFonts w:cs="Calibri"/>
                <w:noProof/>
                <w:szCs w:val="24"/>
                <w:lang w:val="en-US" w:eastAsia="en-US"/>
              </w:rPr>
              <w:t>Afecțiuni</w:t>
            </w:r>
            <w:r w:rsidRPr="005948E8">
              <w:rPr>
                <w:rFonts w:cs="Calibri"/>
                <w:noProof/>
                <w:szCs w:val="24"/>
                <w:lang w:val="en-US" w:eastAsia="en-US"/>
              </w:rPr>
              <w:t xml:space="preserve"> respiratorii</w:t>
            </w:r>
            <w:r w:rsidR="001B17FC">
              <w:rPr>
                <w:rFonts w:cs="Calibri"/>
                <w:noProof/>
                <w:szCs w:val="24"/>
                <w:lang w:val="en-US" w:eastAsia="en-US"/>
              </w:rPr>
              <w:t xml:space="preserve"> cronice</w:t>
            </w:r>
            <w:r>
              <w:rPr>
                <w:rFonts w:cs="Calibri"/>
                <w:noProof/>
                <w:szCs w:val="24"/>
                <w:lang w:val="en-US" w:eastAsia="en-US"/>
              </w:rPr>
              <w:t xml:space="preserve"> crcronicroncronicecronice</w:t>
            </w:r>
          </w:p>
        </w:tc>
        <w:tc>
          <w:tcPr>
            <w:tcW w:w="708" w:type="pct"/>
          </w:tcPr>
          <w:p w14:paraId="3960FB79" w14:textId="76EF52AE" w:rsidR="00325E8C" w:rsidRPr="005948E8" w:rsidRDefault="00E56C0B" w:rsidP="00F032B4">
            <w:pPr>
              <w:spacing w:line="240" w:lineRule="auto"/>
              <w:ind w:left="-288"/>
              <w:jc w:val="right"/>
              <w:rPr>
                <w:rFonts w:cs="Calibri"/>
                <w:noProof/>
                <w:szCs w:val="24"/>
                <w:lang w:val="en-US" w:eastAsia="en-US"/>
              </w:rPr>
            </w:pPr>
            <w:r>
              <w:rPr>
                <w:rFonts w:cs="Calibri"/>
                <w:noProof/>
                <w:szCs w:val="24"/>
                <w:lang w:val="en-US" w:eastAsia="en-US"/>
              </w:rPr>
              <w:t>11,78</w:t>
            </w:r>
          </w:p>
        </w:tc>
        <w:tc>
          <w:tcPr>
            <w:tcW w:w="810" w:type="pct"/>
          </w:tcPr>
          <w:p w14:paraId="589C1092" w14:textId="73672CB8" w:rsidR="00325E8C" w:rsidRPr="005948E8" w:rsidRDefault="00E56C0B" w:rsidP="00F032B4">
            <w:pPr>
              <w:spacing w:line="240" w:lineRule="auto"/>
              <w:ind w:left="-288"/>
              <w:jc w:val="right"/>
              <w:rPr>
                <w:rFonts w:cs="Calibri"/>
                <w:noProof/>
                <w:szCs w:val="24"/>
                <w:lang w:val="en-US" w:eastAsia="en-US"/>
              </w:rPr>
            </w:pPr>
            <w:r>
              <w:rPr>
                <w:rFonts w:cs="Calibri"/>
                <w:noProof/>
                <w:szCs w:val="24"/>
                <w:lang w:val="en-US" w:eastAsia="en-US"/>
              </w:rPr>
              <w:t>1,30</w:t>
            </w:r>
          </w:p>
        </w:tc>
        <w:tc>
          <w:tcPr>
            <w:tcW w:w="810" w:type="pct"/>
          </w:tcPr>
          <w:p w14:paraId="7634930B" w14:textId="37A6E5B4" w:rsidR="00325E8C" w:rsidRPr="00882D06" w:rsidRDefault="00E56C0B" w:rsidP="00F032B4">
            <w:pPr>
              <w:spacing w:line="240" w:lineRule="auto"/>
              <w:ind w:left="-288"/>
              <w:jc w:val="right"/>
              <w:rPr>
                <w:rFonts w:cs="Calibri"/>
                <w:noProof/>
                <w:szCs w:val="24"/>
                <w:lang w:val="en-US" w:eastAsia="en-US"/>
              </w:rPr>
            </w:pPr>
            <w:r>
              <w:rPr>
                <w:rFonts w:cs="Calibri"/>
                <w:noProof/>
                <w:szCs w:val="24"/>
                <w:lang w:val="en-US" w:eastAsia="en-US"/>
              </w:rPr>
              <w:t>9,20</w:t>
            </w:r>
          </w:p>
        </w:tc>
        <w:tc>
          <w:tcPr>
            <w:tcW w:w="751" w:type="pct"/>
          </w:tcPr>
          <w:p w14:paraId="59F9FD50" w14:textId="77888B60" w:rsidR="00325E8C" w:rsidRPr="00882D06" w:rsidRDefault="00E56C0B" w:rsidP="00F032B4">
            <w:pPr>
              <w:spacing w:line="240" w:lineRule="auto"/>
              <w:ind w:left="-288"/>
              <w:jc w:val="right"/>
              <w:rPr>
                <w:rFonts w:cs="Calibri"/>
                <w:noProof/>
                <w:szCs w:val="24"/>
                <w:lang w:val="en-US" w:eastAsia="en-US"/>
              </w:rPr>
            </w:pPr>
            <w:r>
              <w:rPr>
                <w:rFonts w:cs="Calibri"/>
                <w:noProof/>
                <w:szCs w:val="24"/>
                <w:lang w:val="en-US" w:eastAsia="en-US"/>
              </w:rPr>
              <w:t>2,74</w:t>
            </w:r>
          </w:p>
        </w:tc>
      </w:tr>
      <w:tr w:rsidR="00325E8C" w:rsidRPr="00882D06" w14:paraId="7C1F8C0B" w14:textId="77777777" w:rsidTr="00F032B4">
        <w:trPr>
          <w:trHeight w:hRule="exact" w:val="284"/>
          <w:jc w:val="center"/>
        </w:trPr>
        <w:tc>
          <w:tcPr>
            <w:tcW w:w="1921" w:type="pct"/>
          </w:tcPr>
          <w:p w14:paraId="1CA7BFF8" w14:textId="77777777" w:rsidR="00325E8C" w:rsidRPr="00D33DBE" w:rsidRDefault="00325E8C" w:rsidP="00A62A7C">
            <w:pPr>
              <w:pStyle w:val="ListParagraph"/>
              <w:numPr>
                <w:ilvl w:val="0"/>
                <w:numId w:val="37"/>
              </w:numPr>
              <w:spacing w:line="240" w:lineRule="auto"/>
              <w:ind w:right="-180"/>
              <w:rPr>
                <w:rFonts w:cs="Calibri"/>
                <w:noProof/>
                <w:szCs w:val="24"/>
                <w:lang w:val="en-US" w:eastAsia="en-US"/>
              </w:rPr>
            </w:pPr>
            <w:r w:rsidRPr="00D33DBE">
              <w:rPr>
                <w:rFonts w:cs="Calibri"/>
                <w:noProof/>
                <w:szCs w:val="24"/>
                <w:lang w:val="en-US" w:eastAsia="en-US"/>
              </w:rPr>
              <w:t>BPOC</w:t>
            </w:r>
          </w:p>
        </w:tc>
        <w:tc>
          <w:tcPr>
            <w:tcW w:w="708" w:type="pct"/>
          </w:tcPr>
          <w:p w14:paraId="6A7C5480" w14:textId="2212C958" w:rsidR="00325E8C" w:rsidRPr="005948E8" w:rsidRDefault="00E56C0B" w:rsidP="00F032B4">
            <w:pPr>
              <w:spacing w:line="240" w:lineRule="auto"/>
              <w:ind w:left="-288"/>
              <w:jc w:val="right"/>
              <w:rPr>
                <w:rFonts w:cs="Calibri"/>
                <w:noProof/>
                <w:szCs w:val="24"/>
                <w:lang w:val="en-US" w:eastAsia="en-US"/>
              </w:rPr>
            </w:pPr>
            <w:r>
              <w:rPr>
                <w:rFonts w:cs="Calibri"/>
                <w:noProof/>
                <w:szCs w:val="24"/>
                <w:lang w:val="en-US" w:eastAsia="en-US"/>
              </w:rPr>
              <w:t>11,73</w:t>
            </w:r>
          </w:p>
        </w:tc>
        <w:tc>
          <w:tcPr>
            <w:tcW w:w="810" w:type="pct"/>
          </w:tcPr>
          <w:p w14:paraId="3EC29050" w14:textId="1DA5800B" w:rsidR="00325E8C" w:rsidRPr="005948E8" w:rsidRDefault="00E56C0B" w:rsidP="00F032B4">
            <w:pPr>
              <w:spacing w:line="240" w:lineRule="auto"/>
              <w:ind w:left="-288"/>
              <w:jc w:val="right"/>
              <w:rPr>
                <w:rFonts w:cs="Calibri"/>
                <w:noProof/>
                <w:szCs w:val="24"/>
                <w:lang w:val="en-US" w:eastAsia="en-US"/>
              </w:rPr>
            </w:pPr>
            <w:r>
              <w:rPr>
                <w:rFonts w:cs="Calibri"/>
                <w:noProof/>
                <w:szCs w:val="24"/>
                <w:lang w:val="en-US" w:eastAsia="en-US"/>
              </w:rPr>
              <w:t>1,27</w:t>
            </w:r>
          </w:p>
        </w:tc>
        <w:tc>
          <w:tcPr>
            <w:tcW w:w="810" w:type="pct"/>
          </w:tcPr>
          <w:p w14:paraId="4927106C" w14:textId="5C695246" w:rsidR="00325E8C" w:rsidRPr="00882D06" w:rsidRDefault="002A198C" w:rsidP="00F032B4">
            <w:pPr>
              <w:spacing w:line="240" w:lineRule="auto"/>
              <w:ind w:left="-288"/>
              <w:jc w:val="right"/>
              <w:rPr>
                <w:rFonts w:cs="Calibri"/>
                <w:noProof/>
                <w:szCs w:val="24"/>
                <w:lang w:val="en-US" w:eastAsia="en-US"/>
              </w:rPr>
            </w:pPr>
            <w:r>
              <w:rPr>
                <w:rFonts w:cs="Calibri"/>
                <w:noProof/>
                <w:szCs w:val="24"/>
                <w:lang w:val="en-US" w:eastAsia="en-US"/>
              </w:rPr>
              <w:t>9,14</w:t>
            </w:r>
          </w:p>
        </w:tc>
        <w:tc>
          <w:tcPr>
            <w:tcW w:w="751" w:type="pct"/>
          </w:tcPr>
          <w:p w14:paraId="7AADE462" w14:textId="17489CC1" w:rsidR="00325E8C" w:rsidRPr="00882D06" w:rsidRDefault="002A198C" w:rsidP="00F032B4">
            <w:pPr>
              <w:spacing w:line="240" w:lineRule="auto"/>
              <w:ind w:left="-288"/>
              <w:jc w:val="right"/>
              <w:rPr>
                <w:rFonts w:cs="Calibri"/>
                <w:noProof/>
                <w:szCs w:val="24"/>
                <w:lang w:val="en-US" w:eastAsia="en-US"/>
              </w:rPr>
            </w:pPr>
            <w:r>
              <w:rPr>
                <w:rFonts w:cs="Calibri"/>
                <w:noProof/>
                <w:szCs w:val="24"/>
                <w:lang w:val="en-US" w:eastAsia="en-US"/>
              </w:rPr>
              <w:t>2,70</w:t>
            </w:r>
          </w:p>
        </w:tc>
      </w:tr>
      <w:tr w:rsidR="00325E8C" w:rsidRPr="00882D06" w14:paraId="39F5F2A1" w14:textId="77777777" w:rsidTr="00F032B4">
        <w:trPr>
          <w:trHeight w:hRule="exact" w:val="284"/>
          <w:jc w:val="center"/>
        </w:trPr>
        <w:tc>
          <w:tcPr>
            <w:tcW w:w="1921" w:type="pct"/>
          </w:tcPr>
          <w:p w14:paraId="614C795B" w14:textId="77777777" w:rsidR="00325E8C" w:rsidRPr="005948E8" w:rsidRDefault="00325E8C" w:rsidP="00F032B4">
            <w:pPr>
              <w:spacing w:line="240" w:lineRule="auto"/>
              <w:ind w:left="-288" w:right="-180" w:firstLine="277"/>
              <w:rPr>
                <w:rFonts w:cs="Calibri"/>
                <w:b/>
                <w:bCs/>
                <w:noProof/>
                <w:szCs w:val="24"/>
                <w:lang w:val="en-US" w:eastAsia="en-US"/>
              </w:rPr>
            </w:pPr>
            <w:r w:rsidRPr="005948E8">
              <w:rPr>
                <w:rFonts w:cs="Calibri"/>
                <w:b/>
                <w:bCs/>
                <w:noProof/>
                <w:szCs w:val="24"/>
                <w:lang w:val="en-US" w:eastAsia="en-US"/>
              </w:rPr>
              <w:t>Toate cauzele</w:t>
            </w:r>
          </w:p>
        </w:tc>
        <w:tc>
          <w:tcPr>
            <w:tcW w:w="708" w:type="pct"/>
          </w:tcPr>
          <w:p w14:paraId="4DD87F89" w14:textId="77777777" w:rsidR="00325E8C" w:rsidRPr="00761097" w:rsidRDefault="00325E8C" w:rsidP="00F032B4">
            <w:pPr>
              <w:spacing w:line="240" w:lineRule="auto"/>
              <w:ind w:left="-288"/>
              <w:jc w:val="right"/>
              <w:rPr>
                <w:rFonts w:cs="Calibri"/>
                <w:b/>
                <w:bCs/>
                <w:noProof/>
                <w:szCs w:val="24"/>
                <w:lang w:val="en-US" w:eastAsia="en-US"/>
              </w:rPr>
            </w:pPr>
            <w:r>
              <w:rPr>
                <w:rFonts w:cs="Calibri"/>
                <w:b/>
                <w:bCs/>
                <w:noProof/>
                <w:szCs w:val="24"/>
                <w:lang w:val="en-US" w:eastAsia="en-US"/>
              </w:rPr>
              <w:t>133,17</w:t>
            </w:r>
          </w:p>
        </w:tc>
        <w:tc>
          <w:tcPr>
            <w:tcW w:w="810" w:type="pct"/>
          </w:tcPr>
          <w:p w14:paraId="05A17EB1" w14:textId="77D51AAA" w:rsidR="00325E8C" w:rsidRPr="00761097" w:rsidRDefault="00325E8C" w:rsidP="00F032B4">
            <w:pPr>
              <w:spacing w:line="240" w:lineRule="auto"/>
              <w:ind w:left="-288"/>
              <w:jc w:val="right"/>
              <w:rPr>
                <w:rFonts w:cs="Calibri"/>
                <w:b/>
                <w:bCs/>
                <w:noProof/>
                <w:szCs w:val="24"/>
                <w:lang w:val="en-US" w:eastAsia="en-US"/>
              </w:rPr>
            </w:pPr>
            <w:r>
              <w:rPr>
                <w:rFonts w:cs="Calibri"/>
                <w:b/>
                <w:bCs/>
                <w:noProof/>
                <w:szCs w:val="24"/>
                <w:lang w:val="en-US" w:eastAsia="en-US"/>
              </w:rPr>
              <w:t>20,38</w:t>
            </w:r>
          </w:p>
        </w:tc>
        <w:tc>
          <w:tcPr>
            <w:tcW w:w="810" w:type="pct"/>
          </w:tcPr>
          <w:p w14:paraId="1F861090" w14:textId="78C5B661" w:rsidR="00325E8C" w:rsidRPr="00761097" w:rsidRDefault="00325E8C" w:rsidP="00F032B4">
            <w:pPr>
              <w:spacing w:line="240" w:lineRule="auto"/>
              <w:ind w:left="-288"/>
              <w:jc w:val="right"/>
              <w:rPr>
                <w:rFonts w:cs="Calibri"/>
                <w:b/>
                <w:bCs/>
                <w:noProof/>
                <w:szCs w:val="24"/>
                <w:lang w:val="en-US" w:eastAsia="en-US"/>
              </w:rPr>
            </w:pPr>
            <w:r>
              <w:rPr>
                <w:rFonts w:cs="Calibri"/>
                <w:b/>
                <w:bCs/>
                <w:noProof/>
                <w:szCs w:val="24"/>
                <w:lang w:val="en-US" w:eastAsia="en-US"/>
              </w:rPr>
              <w:t>83,39</w:t>
            </w:r>
          </w:p>
        </w:tc>
        <w:tc>
          <w:tcPr>
            <w:tcW w:w="751" w:type="pct"/>
          </w:tcPr>
          <w:p w14:paraId="753629FE" w14:textId="6282F4F4" w:rsidR="00325E8C" w:rsidRPr="00761097" w:rsidRDefault="00325E8C" w:rsidP="00F032B4">
            <w:pPr>
              <w:spacing w:line="240" w:lineRule="auto"/>
              <w:ind w:left="-288"/>
              <w:jc w:val="right"/>
              <w:rPr>
                <w:rFonts w:cs="Calibri"/>
                <w:b/>
                <w:bCs/>
                <w:noProof/>
                <w:szCs w:val="24"/>
                <w:lang w:val="en-US" w:eastAsia="en-US"/>
              </w:rPr>
            </w:pPr>
            <w:r>
              <w:rPr>
                <w:rFonts w:cs="Calibri"/>
                <w:b/>
                <w:bCs/>
                <w:noProof/>
                <w:szCs w:val="24"/>
                <w:lang w:val="en-US" w:eastAsia="en-US"/>
              </w:rPr>
              <w:t>22,36</w:t>
            </w:r>
          </w:p>
        </w:tc>
      </w:tr>
    </w:tbl>
    <w:p w14:paraId="397B5E9C" w14:textId="77777777" w:rsidR="00325E8C" w:rsidRDefault="00325E8C" w:rsidP="00CD3152">
      <w:pPr>
        <w:ind w:firstLine="708"/>
        <w:jc w:val="both"/>
      </w:pPr>
    </w:p>
    <w:p w14:paraId="366727D8" w14:textId="636E460C" w:rsidR="001B17FC" w:rsidRDefault="001B17FC" w:rsidP="001B17FC">
      <w:pPr>
        <w:ind w:firstLine="708"/>
        <w:jc w:val="both"/>
      </w:pPr>
      <w:r>
        <w:t>Datele GBD 2023 evidențiază o povară considerabil mai mare a mortalității atribuibile fumatului în rândul bărbaților din România. Rata standardizată pentru toate cauzele este de 133,17 decese la 100.000 de locuitori, comparativ cu 83,39 la 100.000 în Uniunea Europeană, ceea ce înseamnă un nivel cu aproximativ 60% mai ridicat în România.</w:t>
      </w:r>
    </w:p>
    <w:p w14:paraId="28DAFCA8" w14:textId="34DA171F" w:rsidR="001B17FC" w:rsidRDefault="001B17FC" w:rsidP="001B17FC">
      <w:pPr>
        <w:ind w:firstLine="708"/>
        <w:jc w:val="both"/>
      </w:pPr>
      <w:r>
        <w:t xml:space="preserve">Diferența este și mai pronunțată pentru bolile cardiovasculare. În rândul bărbaților, mortalitatea cardiovasculară atribuibilă fumatului este de 51,52 la 100.000 în România, de peste două ori mai mare decât media UE, de 24,22 la 100.000. Pentru accident vascular cerebral, rata din România este aproape </w:t>
      </w:r>
      <w:r>
        <w:lastRenderedPageBreak/>
        <w:t>de trei ori mai mare decât cea europeană, respectiv 15,28 față de 5,16 la 100.000. Mortalitatea prin boală ischemică cardiacă este, de asemenea, de aproximativ două ori mai mare în România: 34,26 față de 16,65 la 100.000.</w:t>
      </w:r>
    </w:p>
    <w:p w14:paraId="4EB43722" w14:textId="741B889A" w:rsidR="0047120B" w:rsidRDefault="001B17FC" w:rsidP="001B17FC">
      <w:pPr>
        <w:ind w:firstLine="708"/>
        <w:jc w:val="both"/>
      </w:pPr>
      <w:r>
        <w:t>În cazul neoplasmelor, mortalitatea atribuibilă fumatului în rândul bărbaților este cu aproximativ 32% mai mare în România decât în UE, respectiv 59,19 față de 44,88 la 100.000. Pentru cancerul bronhopulmonar, diferența este de aproximativ 26%, cu o rată de 35,17 la 100.000 în România, comparativ cu 27,93 la 100.000 în UE.</w:t>
      </w:r>
    </w:p>
    <w:p w14:paraId="5E6C023A" w14:textId="77777777" w:rsidR="004E6918" w:rsidRDefault="004E6918" w:rsidP="00CD3152">
      <w:pPr>
        <w:ind w:firstLine="708"/>
        <w:jc w:val="both"/>
      </w:pPr>
      <w:r w:rsidRPr="004E6918">
        <w:t>Analiza mortalității atribuibile consumului de tutun în România evidențiază disparități importante între sexe, cu o mortalitate standardizată după vârstă semnificativ mai mare la bărbați comparativ cu femeile (133,17 la 100.000 locuitori vs. 20,38 la 100.000 locuitori), diferența fiind de peste șase ori.</w:t>
      </w:r>
    </w:p>
    <w:p w14:paraId="1BFB530B" w14:textId="4CA48415" w:rsidR="00CD3152" w:rsidRDefault="00145E3A" w:rsidP="00CD3152">
      <w:pPr>
        <w:ind w:firstLine="708"/>
        <w:jc w:val="both"/>
      </w:pPr>
      <w:r>
        <w:t>Î</w:t>
      </w:r>
      <w:r w:rsidRPr="00145E3A">
        <w:t>n anul 2023, rata standardizată după vârstă a mortalității atribuibile fumatului a fost considerabil mai mare la bărbații din România decât la nivelul Uniunii Europene, atât pentru toate cauzele, cât și pentru principalele categorii de boli. Diferențele cele mai importante au fost înregistrate pentru bolile cardiovasculare, accidentul vascular cerebral și boala ischemică cardiacă. Mortalitatea prin neoplasme și cancer bronhopulmonar atribuibilă fumatului a fost, de asemenea, mai ridicată în România. În rândul femeilor, mortalitatea totală, oncologică și respiratorie atribuibilă fumatului a fost mai redusă decât media UE, însă mortalitatea cardiovasculară a rămas mai mare. Aceste rezultate indică o povară deosebit de ridicată a fumatului asupra mortalității masculine din România și evidențiază importanța intervențiilor de prevenție și renunțare la fumat, inclusiv pentru reducerea riscului cardiovascular.</w:t>
      </w:r>
      <w:r w:rsidR="00CD3152">
        <w:t xml:space="preserve"> (</w:t>
      </w:r>
      <w:r w:rsidR="00CD3152">
        <w:fldChar w:fldCharType="begin"/>
      </w:r>
      <w:r w:rsidR="00CD3152">
        <w:instrText xml:space="preserve"> REF _Ref211576103 \h </w:instrText>
      </w:r>
      <w:r w:rsidR="00CD3152">
        <w:fldChar w:fldCharType="separate"/>
      </w:r>
      <w:r w:rsidR="00CD3152">
        <w:t xml:space="preserve">Tabel </w:t>
      </w:r>
      <w:r w:rsidR="00CD3152">
        <w:rPr>
          <w:noProof/>
        </w:rPr>
        <w:t>III</w:t>
      </w:r>
      <w:r w:rsidR="00CD3152">
        <w:noBreakHyphen/>
      </w:r>
      <w:r w:rsidR="00CD3152">
        <w:rPr>
          <w:noProof/>
        </w:rPr>
        <w:t>1</w:t>
      </w:r>
      <w:r w:rsidR="00CD3152">
        <w:fldChar w:fldCharType="end"/>
      </w:r>
      <w:r w:rsidR="00CD3152">
        <w:t>).</w:t>
      </w:r>
    </w:p>
    <w:p w14:paraId="3591BB53" w14:textId="77777777" w:rsidR="009A7ACD" w:rsidRDefault="009A7ACD" w:rsidP="00CD3152">
      <w:pPr>
        <w:ind w:firstLine="708"/>
        <w:jc w:val="both"/>
      </w:pPr>
    </w:p>
    <w:p w14:paraId="4FB752C4" w14:textId="77777777" w:rsidR="009A7ACD" w:rsidRDefault="009A7ACD" w:rsidP="00CD3152">
      <w:pPr>
        <w:ind w:firstLine="708"/>
        <w:jc w:val="both"/>
      </w:pPr>
    </w:p>
    <w:p w14:paraId="13AD9561" w14:textId="77777777" w:rsidR="00CD3152" w:rsidRDefault="00CD3152" w:rsidP="00CD3152">
      <w:pPr>
        <w:ind w:firstLine="708"/>
        <w:jc w:val="both"/>
      </w:pPr>
    </w:p>
    <w:p w14:paraId="05486F8D" w14:textId="77777777" w:rsidR="00CD3152" w:rsidRDefault="00CD3152" w:rsidP="00CD3152">
      <w:pPr>
        <w:pStyle w:val="Heading3"/>
      </w:pPr>
      <w:bookmarkStart w:id="81" w:name="_Toc232660572"/>
      <w:r w:rsidRPr="0004355D">
        <w:t>DALYs (Disability Adjusted Life Years)</w:t>
      </w:r>
      <w:r>
        <w:t xml:space="preserve"> atribuibili fumatului</w:t>
      </w:r>
      <w:bookmarkEnd w:id="81"/>
    </w:p>
    <w:p w14:paraId="6CD5AE88" w14:textId="058063C5" w:rsidR="00CD3152" w:rsidRDefault="00CD3152" w:rsidP="00CD3152">
      <w:pPr>
        <w:ind w:firstLine="708"/>
        <w:jc w:val="both"/>
      </w:pPr>
      <w:r w:rsidRPr="00750D26">
        <w:t>Povara îmbolnăvirilor măsurată prin anii de viață ajustați pentru dizabilitate, DALY</w:t>
      </w:r>
      <w:r>
        <w:t>s</w:t>
      </w:r>
      <w:r w:rsidRPr="00750D26">
        <w:t xml:space="preserve"> (Disability Adjusted Life Years), care reprezintă suma anilor de viaţă pierduți prin decese premature și anilor trăiţi cu dizabilitate cauzată de prezenţa bolii, ajustați pentru gravitatea bolii</w:t>
      </w:r>
      <w:r>
        <w:t>,</w:t>
      </w:r>
      <w:r w:rsidRPr="00750D26">
        <w:t xml:space="preserve"> situează </w:t>
      </w:r>
      <w:r>
        <w:t xml:space="preserve">fumatul între principalii factori de risc </w:t>
      </w:r>
      <w:r w:rsidRPr="00323A11">
        <w:t>care contribuie la deces prematur și dizabilitate (DALYs/100 000 loc) în 20</w:t>
      </w:r>
      <w:r>
        <w:t>2</w:t>
      </w:r>
      <w:r w:rsidR="00292B1C">
        <w:t>3</w:t>
      </w:r>
      <w:r w:rsidRPr="00750D26">
        <w:t>.</w:t>
      </w:r>
    </w:p>
    <w:p w14:paraId="739B31CE" w14:textId="77777777" w:rsidR="00292B1C" w:rsidRDefault="00292B1C" w:rsidP="00CD3152">
      <w:pPr>
        <w:ind w:firstLine="708"/>
        <w:jc w:val="both"/>
      </w:pPr>
    </w:p>
    <w:p w14:paraId="7205AC11" w14:textId="17057FA2" w:rsidR="00CD3152" w:rsidRDefault="00CD3152" w:rsidP="00CD3152">
      <w:pPr>
        <w:pStyle w:val="Caption"/>
        <w:keepNext/>
        <w:rPr>
          <w:noProof/>
        </w:rPr>
      </w:pPr>
      <w:bookmarkStart w:id="82" w:name="_Ref211576129"/>
      <w:r>
        <w:t xml:space="preserve">Tabel </w:t>
      </w:r>
      <w:fldSimple w:instr=" STYLEREF 1 \s ">
        <w:r w:rsidR="00501624">
          <w:rPr>
            <w:noProof/>
          </w:rPr>
          <w:t>III</w:t>
        </w:r>
      </w:fldSimple>
      <w:r w:rsidR="00501624">
        <w:noBreakHyphen/>
      </w:r>
      <w:fldSimple w:instr=" SEQ Tabel \* ARABIC \s 1 ">
        <w:r w:rsidR="00501624">
          <w:rPr>
            <w:noProof/>
          </w:rPr>
          <w:t>2</w:t>
        </w:r>
      </w:fldSimple>
      <w:bookmarkEnd w:id="82"/>
      <w:r w:rsidRPr="00323A11">
        <w:t xml:space="preserve"> </w:t>
      </w:r>
      <w:r>
        <w:rPr>
          <w:noProof/>
        </w:rPr>
        <w:t>Primii 10 factori de risc care contribuie la deces prematur și dizabilitate (DALYs/100 000 loc) în 201</w:t>
      </w:r>
      <w:r w:rsidR="00292B1C">
        <w:rPr>
          <w:noProof/>
        </w:rPr>
        <w:t>3</w:t>
      </w:r>
      <w:r>
        <w:rPr>
          <w:noProof/>
        </w:rPr>
        <w:t>, 202</w:t>
      </w:r>
      <w:r w:rsidR="00292B1C">
        <w:rPr>
          <w:noProof/>
        </w:rPr>
        <w:t>3</w:t>
      </w:r>
      <w:r>
        <w:rPr>
          <w:noProof/>
        </w:rPr>
        <w:t xml:space="preserve"> și modificarea procentuală în perioada 201</w:t>
      </w:r>
      <w:r w:rsidR="00292B1C">
        <w:rPr>
          <w:noProof/>
        </w:rPr>
        <w:t>3</w:t>
      </w:r>
      <w:r>
        <w:rPr>
          <w:noProof/>
        </w:rPr>
        <w:t xml:space="preserve"> </w:t>
      </w:r>
      <w:r w:rsidR="00292B1C">
        <w:rPr>
          <w:noProof/>
        </w:rPr>
        <w:t>-</w:t>
      </w:r>
      <w:r>
        <w:rPr>
          <w:noProof/>
        </w:rPr>
        <w:t xml:space="preserve"> 202</w:t>
      </w:r>
      <w:r w:rsidR="00292B1C">
        <w:rPr>
          <w:noProof/>
        </w:rPr>
        <w:t>3</w:t>
      </w:r>
      <w:r>
        <w:rPr>
          <w:noProof/>
        </w:rPr>
        <w:t xml:space="preserve">, </w:t>
      </w:r>
      <w:r w:rsidR="00292B1C">
        <w:rPr>
          <w:noProof/>
        </w:rPr>
        <w:t>rate standardizate cu vârsta</w:t>
      </w:r>
    </w:p>
    <w:p w14:paraId="5EA70EE5" w14:textId="0F7E2F33" w:rsidR="00CD3152" w:rsidRDefault="00CD3152" w:rsidP="00CD3152">
      <w:pPr>
        <w:pStyle w:val="Caption"/>
        <w:keepNext/>
      </w:pPr>
      <w:r>
        <w:rPr>
          <w:noProof/>
        </w:rPr>
        <w:t>Sursa datelor: Institute of Health Metrics and Evaluation-GBD Compare, 202</w:t>
      </w:r>
      <w:r w:rsidR="00292B1C">
        <w:rPr>
          <w:noProof/>
        </w:rPr>
        <w:t>3</w:t>
      </w:r>
      <w:r w:rsidR="00AC5B1C">
        <w:rPr>
          <w:noProof/>
        </w:rPr>
        <w:fldChar w:fldCharType="begin"/>
      </w:r>
      <w:r w:rsidR="00D4526D">
        <w:rPr>
          <w:noProof/>
        </w:rPr>
        <w:instrText xml:space="preserve"> ADDIN EN.CITE &lt;EndNote&gt;&lt;Cite&gt;&lt;Author&gt;IHME&lt;/Author&gt;&lt;Year&gt;2025&lt;/Year&gt;&lt;RecNum&gt;9764&lt;/RecNum&gt;&lt;DisplayText&gt;&lt;style size="10"&gt;[15]&lt;/style&gt;&lt;/DisplayText&gt;&lt;record&gt;&lt;rec-number&gt;9764&lt;/rec-number&gt;&lt;foreign-keys&gt;&lt;key app="EN" db-id="fw0prtesnvf55cepezbx255wwza5zw0ssatt" timestamp="1781675119"&gt;9764&lt;/key&gt;&lt;/foreign-keys&gt;&lt;ref-type name="Web Page"&gt;12&lt;/ref-type&gt;&lt;contributors&gt;&lt;authors&gt;&lt;author&gt;&lt;style face="normal" font="default" charset="238" size="100%"&gt;IHME&lt;/style&gt;&lt;/author&gt;&lt;/authors&gt;&lt;/contributors&gt;&lt;titles&gt;&lt;title&gt;Global Burden of Disease Study 2023&lt;/title&gt;&lt;/titles&gt;&lt;dates&gt;&lt;year&gt;&lt;style face="normal" font="default" charset="238" size="100%"&gt;2025&lt;/style&gt;&lt;/year&gt;&lt;/dates&gt;&lt;urls&gt;&lt;related-urls&gt;&lt;url&gt;https://vizhub.healthdata.org/gbd-results/&lt;/url&gt;&lt;/related-urls&gt;&lt;/urls&gt;&lt;/record&gt;&lt;/Cite&gt;&lt;/EndNote&gt;</w:instrText>
      </w:r>
      <w:r w:rsidR="00AC5B1C">
        <w:rPr>
          <w:noProof/>
        </w:rPr>
        <w:fldChar w:fldCharType="separate"/>
      </w:r>
      <w:r w:rsidR="00D4526D">
        <w:rPr>
          <w:noProof/>
        </w:rPr>
        <w:t>[15]</w:t>
      </w:r>
      <w:r w:rsidR="00AC5B1C">
        <w:rPr>
          <w:noProof/>
        </w:rPr>
        <w:fldChar w:fldCharType="end"/>
      </w:r>
    </w:p>
    <w:tbl>
      <w:tblPr>
        <w:tblStyle w:val="TableGrid1"/>
        <w:tblW w:w="5000" w:type="pct"/>
        <w:tblLook w:val="04A0" w:firstRow="1" w:lastRow="0" w:firstColumn="1" w:lastColumn="0" w:noHBand="0" w:noVBand="1"/>
      </w:tblPr>
      <w:tblGrid>
        <w:gridCol w:w="1537"/>
        <w:gridCol w:w="1045"/>
        <w:gridCol w:w="1005"/>
        <w:gridCol w:w="964"/>
        <w:gridCol w:w="983"/>
        <w:gridCol w:w="1537"/>
        <w:gridCol w:w="1045"/>
        <w:gridCol w:w="1086"/>
      </w:tblGrid>
      <w:tr w:rsidR="00CD3152" w:rsidRPr="00AE0984" w14:paraId="30FE4CFF" w14:textId="77777777" w:rsidTr="004C5CB8">
        <w:tc>
          <w:tcPr>
            <w:tcW w:w="835" w:type="pct"/>
            <w:vAlign w:val="center"/>
          </w:tcPr>
          <w:p w14:paraId="49F357CF" w14:textId="5AFF4B6C" w:rsidR="00CD3152" w:rsidRPr="00AE0984" w:rsidRDefault="00CD3152" w:rsidP="00F032B4">
            <w:pPr>
              <w:spacing w:line="240" w:lineRule="auto"/>
              <w:jc w:val="center"/>
              <w:rPr>
                <w:rFonts w:cs="Calibri"/>
                <w:b/>
                <w:bCs/>
                <w:sz w:val="20"/>
                <w:szCs w:val="20"/>
                <w:lang w:eastAsia="en-US"/>
              </w:rPr>
            </w:pPr>
            <w:r w:rsidRPr="00AE0984">
              <w:rPr>
                <w:rFonts w:cs="Calibri"/>
                <w:b/>
                <w:bCs/>
                <w:sz w:val="20"/>
                <w:szCs w:val="20"/>
                <w:lang w:eastAsia="en-US"/>
              </w:rPr>
              <w:t>Ierarhia în 201</w:t>
            </w:r>
            <w:r w:rsidR="00292B1C">
              <w:rPr>
                <w:rFonts w:cs="Calibri"/>
                <w:b/>
                <w:bCs/>
                <w:sz w:val="20"/>
                <w:szCs w:val="20"/>
                <w:lang w:eastAsia="en-US"/>
              </w:rPr>
              <w:t>3</w:t>
            </w:r>
          </w:p>
        </w:tc>
        <w:tc>
          <w:tcPr>
            <w:tcW w:w="568" w:type="pct"/>
            <w:vAlign w:val="center"/>
          </w:tcPr>
          <w:p w14:paraId="177C7A44" w14:textId="77777777" w:rsidR="00CD3152" w:rsidRPr="00AE0984" w:rsidRDefault="00CD3152" w:rsidP="00F032B4">
            <w:pPr>
              <w:spacing w:line="240" w:lineRule="auto"/>
              <w:jc w:val="center"/>
              <w:rPr>
                <w:rFonts w:cs="Calibri"/>
                <w:b/>
                <w:bCs/>
                <w:sz w:val="20"/>
                <w:szCs w:val="20"/>
                <w:lang w:eastAsia="en-US"/>
              </w:rPr>
            </w:pPr>
            <w:r w:rsidRPr="00AE0984">
              <w:rPr>
                <w:rFonts w:cs="Calibri"/>
                <w:b/>
                <w:bCs/>
                <w:sz w:val="20"/>
                <w:szCs w:val="20"/>
                <w:lang w:eastAsia="en-US"/>
              </w:rPr>
              <w:t>DALYs la 100000 loc.</w:t>
            </w:r>
          </w:p>
        </w:tc>
        <w:tc>
          <w:tcPr>
            <w:tcW w:w="546" w:type="pct"/>
            <w:vAlign w:val="center"/>
          </w:tcPr>
          <w:p w14:paraId="1D6B42EB" w14:textId="77777777" w:rsidR="00CD3152" w:rsidRPr="00AE0984" w:rsidRDefault="00CD3152" w:rsidP="00F032B4">
            <w:pPr>
              <w:spacing w:line="240" w:lineRule="auto"/>
              <w:jc w:val="center"/>
              <w:rPr>
                <w:rFonts w:cs="Calibri"/>
                <w:sz w:val="20"/>
                <w:szCs w:val="20"/>
                <w:lang w:eastAsia="en-US"/>
              </w:rPr>
            </w:pPr>
          </w:p>
        </w:tc>
        <w:tc>
          <w:tcPr>
            <w:tcW w:w="524" w:type="pct"/>
            <w:vMerge w:val="restart"/>
            <w:vAlign w:val="center"/>
          </w:tcPr>
          <w:p w14:paraId="36F2FE66" w14:textId="24F83A6F" w:rsidR="00CD3152" w:rsidRPr="0026287E" w:rsidRDefault="00E42ADC" w:rsidP="00F032B4">
            <w:pPr>
              <w:spacing w:line="240" w:lineRule="auto"/>
              <w:jc w:val="center"/>
              <w:rPr>
                <w:rFonts w:cs="Calibri"/>
                <w:sz w:val="20"/>
                <w:szCs w:val="20"/>
                <w:lang w:eastAsia="en-US"/>
              </w:rPr>
            </w:pPr>
            <w:r w:rsidRPr="0026287E">
              <w:rPr>
                <w:rFonts w:cs="Calibri"/>
                <w:noProof/>
                <w:sz w:val="20"/>
                <w:szCs w:val="20"/>
                <w:lang w:eastAsia="en-US"/>
              </w:rPr>
              <mc:AlternateContent>
                <mc:Choice Requires="wps">
                  <w:drawing>
                    <wp:anchor distT="0" distB="0" distL="114300" distR="114300" simplePos="0" relativeHeight="251669504" behindDoc="0" locked="0" layoutInCell="1" allowOverlap="1" wp14:anchorId="63FEF635" wp14:editId="57DAB4DE">
                      <wp:simplePos x="0" y="0"/>
                      <wp:positionH relativeFrom="column">
                        <wp:posOffset>-78105</wp:posOffset>
                      </wp:positionH>
                      <wp:positionV relativeFrom="paragraph">
                        <wp:posOffset>1693545</wp:posOffset>
                      </wp:positionV>
                      <wp:extent cx="601980" cy="419100"/>
                      <wp:effectExtent l="0" t="0" r="26670" b="19050"/>
                      <wp:wrapNone/>
                      <wp:docPr id="2099880796" name="Straight Connector 1"/>
                      <wp:cNvGraphicFramePr/>
                      <a:graphic xmlns:a="http://schemas.openxmlformats.org/drawingml/2006/main">
                        <a:graphicData uri="http://schemas.microsoft.com/office/word/2010/wordprocessingShape">
                          <wps:wsp>
                            <wps:cNvCnPr/>
                            <wps:spPr>
                              <a:xfrm flipV="1">
                                <a:off x="0" y="0"/>
                                <a:ext cx="601980" cy="419100"/>
                              </a:xfrm>
                              <a:prstGeom prst="line">
                                <a:avLst/>
                              </a:prstGeom>
                              <a:noFill/>
                              <a:ln w="6350" cap="flat" cmpd="sng" algn="ctr">
                                <a:solidFill>
                                  <a:srgbClr val="0070C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D7D83C9" id="Straight Connector 1" o:spid="_x0000_s1026" style="position:absolute;flip:y;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5pt,133.35pt" to="41.25pt,16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" strokecolor="#0070c0" strokeweight=".5pt">
                      <v:stroke joinstyle="miter"/>
                    </v:line>
                  </w:pict>
                </mc:Fallback>
              </mc:AlternateContent>
            </w:r>
            <w:r w:rsidR="004263F4" w:rsidRPr="0026287E">
              <w:rPr>
                <w:rFonts w:cs="Calibri"/>
                <w:noProof/>
                <w:sz w:val="20"/>
                <w:szCs w:val="20"/>
                <w:lang w:eastAsia="en-US"/>
              </w:rPr>
              <mc:AlternateContent>
                <mc:Choice Requires="wps">
                  <w:drawing>
                    <wp:anchor distT="0" distB="0" distL="114300" distR="114300" simplePos="0" relativeHeight="251664384" behindDoc="0" locked="0" layoutInCell="1" allowOverlap="1" wp14:anchorId="3BE3D05A" wp14:editId="405A9F87">
                      <wp:simplePos x="0" y="0"/>
                      <wp:positionH relativeFrom="column">
                        <wp:posOffset>-68580</wp:posOffset>
                      </wp:positionH>
                      <wp:positionV relativeFrom="paragraph">
                        <wp:posOffset>935990</wp:posOffset>
                      </wp:positionV>
                      <wp:extent cx="556260" cy="0"/>
                      <wp:effectExtent l="0" t="0" r="0" b="0"/>
                      <wp:wrapNone/>
                      <wp:docPr id="457288341" name="Straight Connector 1"/>
                      <wp:cNvGraphicFramePr/>
                      <a:graphic xmlns:a="http://schemas.openxmlformats.org/drawingml/2006/main">
                        <a:graphicData uri="http://schemas.microsoft.com/office/word/2010/wordprocessingShape">
                          <wps:wsp>
                            <wps:cNvCnPr/>
                            <wps:spPr>
                              <a:xfrm flipV="1">
                                <a:off x="0" y="0"/>
                                <a:ext cx="556260" cy="0"/>
                              </a:xfrm>
                              <a:prstGeom prst="line">
                                <a:avLst/>
                              </a:prstGeom>
                              <a:noFill/>
                              <a:ln w="6350" cap="flat" cmpd="sng" algn="ctr">
                                <a:solidFill>
                                  <a:srgbClr val="FF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D1F67DE" id="Straight Connector 1" o:spid="_x0000_s1026" style="position:absolute;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4pt,73.7pt" to="38.4pt,7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" strokecolor="red" strokeweight=".5pt">
                      <v:stroke joinstyle="miter"/>
                    </v:line>
                  </w:pict>
                </mc:Fallback>
              </mc:AlternateContent>
            </w:r>
            <w:r w:rsidR="004263F4" w:rsidRPr="0026287E">
              <w:rPr>
                <w:rFonts w:cs="Calibri"/>
                <w:noProof/>
                <w:sz w:val="20"/>
                <w:szCs w:val="20"/>
                <w:lang w:eastAsia="en-US"/>
              </w:rPr>
              <mc:AlternateContent>
                <mc:Choice Requires="wps">
                  <w:drawing>
                    <wp:anchor distT="0" distB="0" distL="114300" distR="114300" simplePos="0" relativeHeight="251665408" behindDoc="0" locked="0" layoutInCell="1" allowOverlap="1" wp14:anchorId="58807F2D" wp14:editId="00977A4E">
                      <wp:simplePos x="0" y="0"/>
                      <wp:positionH relativeFrom="column">
                        <wp:posOffset>-68580</wp:posOffset>
                      </wp:positionH>
                      <wp:positionV relativeFrom="paragraph">
                        <wp:posOffset>1217930</wp:posOffset>
                      </wp:positionV>
                      <wp:extent cx="586740" cy="0"/>
                      <wp:effectExtent l="0" t="0" r="0" b="0"/>
                      <wp:wrapNone/>
                      <wp:docPr id="1834661025" name="Straight Connector 1"/>
                      <wp:cNvGraphicFramePr/>
                      <a:graphic xmlns:a="http://schemas.openxmlformats.org/drawingml/2006/main">
                        <a:graphicData uri="http://schemas.microsoft.com/office/word/2010/wordprocessingShape">
                          <wps:wsp>
                            <wps:cNvCnPr/>
                            <wps:spPr>
                              <a:xfrm flipV="1">
                                <a:off x="0" y="0"/>
                                <a:ext cx="586740" cy="0"/>
                              </a:xfrm>
                              <a:prstGeom prst="line">
                                <a:avLst/>
                              </a:prstGeom>
                              <a:noFill/>
                              <a:ln w="6350" cap="flat" cmpd="sng" algn="ctr">
                                <a:solidFill>
                                  <a:srgbClr val="0070C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0E38C58" id="Straight Connector 1" o:spid="_x0000_s1026" style="position:absolute;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4pt,95.9pt" to="40.8pt,9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" strokecolor="#0070c0" strokeweight=".5pt">
                      <v:stroke joinstyle="miter"/>
                    </v:line>
                  </w:pict>
                </mc:Fallback>
              </mc:AlternateContent>
            </w:r>
            <w:r w:rsidR="004263F4" w:rsidRPr="0026287E">
              <w:rPr>
                <w:rFonts w:cs="Calibri"/>
                <w:noProof/>
                <w:sz w:val="20"/>
                <w:szCs w:val="20"/>
                <w:lang w:eastAsia="en-US"/>
              </w:rPr>
              <mc:AlternateContent>
                <mc:Choice Requires="wps">
                  <w:drawing>
                    <wp:anchor distT="0" distB="0" distL="114300" distR="114300" simplePos="0" relativeHeight="251666432" behindDoc="0" locked="0" layoutInCell="1" allowOverlap="1" wp14:anchorId="77547BFE" wp14:editId="01A082F8">
                      <wp:simplePos x="0" y="0"/>
                      <wp:positionH relativeFrom="column">
                        <wp:posOffset>-68580</wp:posOffset>
                      </wp:positionH>
                      <wp:positionV relativeFrom="paragraph">
                        <wp:posOffset>1728470</wp:posOffset>
                      </wp:positionV>
                      <wp:extent cx="601980" cy="1600200"/>
                      <wp:effectExtent l="0" t="0" r="26670" b="19050"/>
                      <wp:wrapNone/>
                      <wp:docPr id="1195362253" name="Straight Connector 1"/>
                      <wp:cNvGraphicFramePr/>
                      <a:graphic xmlns:a="http://schemas.openxmlformats.org/drawingml/2006/main">
                        <a:graphicData uri="http://schemas.microsoft.com/office/word/2010/wordprocessingShape">
                          <wps:wsp>
                            <wps:cNvCnPr/>
                            <wps:spPr>
                              <a:xfrm>
                                <a:off x="0" y="0"/>
                                <a:ext cx="601980" cy="1600200"/>
                              </a:xfrm>
                              <a:prstGeom prst="line">
                                <a:avLst/>
                              </a:prstGeom>
                              <a:noFill/>
                              <a:ln w="6350" cap="flat" cmpd="sng" algn="ctr">
                                <a:solidFill>
                                  <a:srgbClr val="FFC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AC2625A" id="Straight Connector 1"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4pt,136.1pt" to="42pt,26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" strokecolor="#ffc000" strokeweight=".5pt">
                      <v:stroke joinstyle="miter"/>
                    </v:line>
                  </w:pict>
                </mc:Fallback>
              </mc:AlternateContent>
            </w:r>
            <w:r w:rsidR="004263F4" w:rsidRPr="0026287E">
              <w:rPr>
                <w:rFonts w:cs="Calibri"/>
                <w:noProof/>
                <w:sz w:val="20"/>
                <w:szCs w:val="20"/>
                <w:lang w:eastAsia="en-US"/>
              </w:rPr>
              <mc:AlternateContent>
                <mc:Choice Requires="wps">
                  <w:drawing>
                    <wp:anchor distT="0" distB="0" distL="114300" distR="114300" simplePos="0" relativeHeight="251668480" behindDoc="0" locked="0" layoutInCell="1" allowOverlap="1" wp14:anchorId="7A0CD87E" wp14:editId="5A9A6C05">
                      <wp:simplePos x="0" y="0"/>
                      <wp:positionH relativeFrom="column">
                        <wp:posOffset>-60960</wp:posOffset>
                      </wp:positionH>
                      <wp:positionV relativeFrom="paragraph">
                        <wp:posOffset>2147570</wp:posOffset>
                      </wp:positionV>
                      <wp:extent cx="594360" cy="678180"/>
                      <wp:effectExtent l="0" t="0" r="34290" b="26670"/>
                      <wp:wrapNone/>
                      <wp:docPr id="1547196640" name="Straight Connector 1"/>
                      <wp:cNvGraphicFramePr/>
                      <a:graphic xmlns:a="http://schemas.openxmlformats.org/drawingml/2006/main">
                        <a:graphicData uri="http://schemas.microsoft.com/office/word/2010/wordprocessingShape">
                          <wps:wsp>
                            <wps:cNvCnPr/>
                            <wps:spPr>
                              <a:xfrm flipV="1">
                                <a:off x="0" y="0"/>
                                <a:ext cx="594360" cy="678180"/>
                              </a:xfrm>
                              <a:prstGeom prst="line">
                                <a:avLst/>
                              </a:prstGeom>
                              <a:noFill/>
                              <a:ln w="6350" cap="flat" cmpd="sng" algn="ctr">
                                <a:solidFill>
                                  <a:srgbClr val="00B05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F077D7B" id="Straight Connector 1" o:spid="_x0000_s1026" style="position:absolute;flip: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8pt,169.1pt" to="42pt,2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" strokecolor="#00b050" strokeweight=".5pt">
                      <v:stroke joinstyle="miter"/>
                    </v:line>
                  </w:pict>
                </mc:Fallback>
              </mc:AlternateContent>
            </w:r>
            <w:r w:rsidR="004263F4" w:rsidRPr="0026287E">
              <w:rPr>
                <w:rFonts w:cs="Calibri"/>
                <w:noProof/>
                <w:sz w:val="20"/>
                <w:szCs w:val="20"/>
                <w:lang w:eastAsia="en-US"/>
              </w:rPr>
              <mc:AlternateContent>
                <mc:Choice Requires="wps">
                  <w:drawing>
                    <wp:anchor distT="0" distB="0" distL="114300" distR="114300" simplePos="0" relativeHeight="251667456" behindDoc="0" locked="0" layoutInCell="1" allowOverlap="1" wp14:anchorId="483F2A66" wp14:editId="48567318">
                      <wp:simplePos x="0" y="0"/>
                      <wp:positionH relativeFrom="column">
                        <wp:posOffset>-60960</wp:posOffset>
                      </wp:positionH>
                      <wp:positionV relativeFrom="paragraph">
                        <wp:posOffset>2528570</wp:posOffset>
                      </wp:positionV>
                      <wp:extent cx="601980" cy="259080"/>
                      <wp:effectExtent l="0" t="0" r="26670" b="26670"/>
                      <wp:wrapNone/>
                      <wp:docPr id="388853349" name="Straight Connector 1"/>
                      <wp:cNvGraphicFramePr/>
                      <a:graphic xmlns:a="http://schemas.openxmlformats.org/drawingml/2006/main">
                        <a:graphicData uri="http://schemas.microsoft.com/office/word/2010/wordprocessingShape">
                          <wps:wsp>
                            <wps:cNvCnPr/>
                            <wps:spPr>
                              <a:xfrm>
                                <a:off x="0" y="0"/>
                                <a:ext cx="601980" cy="259080"/>
                              </a:xfrm>
                              <a:prstGeom prst="line">
                                <a:avLst/>
                              </a:prstGeom>
                              <a:noFill/>
                              <a:ln w="6350" cap="flat" cmpd="sng" algn="ctr">
                                <a:solidFill>
                                  <a:srgbClr val="7030A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39B0AD8" id="Straight Connector 1"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8pt,199.1pt" to="42.6pt,2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" strokecolor="#7030a0" strokeweight=".5pt">
                      <v:stroke joinstyle="miter"/>
                    </v:line>
                  </w:pict>
                </mc:Fallback>
              </mc:AlternateContent>
            </w:r>
            <w:r w:rsidR="004263F4" w:rsidRPr="0026287E">
              <w:rPr>
                <w:rFonts w:cs="Calibri"/>
                <w:noProof/>
                <w:sz w:val="20"/>
                <w:szCs w:val="20"/>
                <w:lang w:eastAsia="en-US"/>
              </w:rPr>
              <mc:AlternateContent>
                <mc:Choice Requires="wps">
                  <w:drawing>
                    <wp:anchor distT="0" distB="0" distL="114300" distR="114300" simplePos="0" relativeHeight="251670528" behindDoc="0" locked="0" layoutInCell="1" allowOverlap="1" wp14:anchorId="55F11150" wp14:editId="578193D6">
                      <wp:simplePos x="0" y="0"/>
                      <wp:positionH relativeFrom="column">
                        <wp:posOffset>-68580</wp:posOffset>
                      </wp:positionH>
                      <wp:positionV relativeFrom="paragraph">
                        <wp:posOffset>2452370</wp:posOffset>
                      </wp:positionV>
                      <wp:extent cx="601980" cy="784860"/>
                      <wp:effectExtent l="0" t="0" r="26670" b="34290"/>
                      <wp:wrapNone/>
                      <wp:docPr id="916982902" name="Straight Connector 1"/>
                      <wp:cNvGraphicFramePr/>
                      <a:graphic xmlns:a="http://schemas.openxmlformats.org/drawingml/2006/main">
                        <a:graphicData uri="http://schemas.microsoft.com/office/word/2010/wordprocessingShape">
                          <wps:wsp>
                            <wps:cNvCnPr/>
                            <wps:spPr>
                              <a:xfrm flipV="1">
                                <a:off x="0" y="0"/>
                                <a:ext cx="601980" cy="784860"/>
                              </a:xfrm>
                              <a:prstGeom prst="line">
                                <a:avLst/>
                              </a:prstGeom>
                              <a:noFill/>
                              <a:ln w="6350" cap="flat" cmpd="sng" algn="ctr">
                                <a:solidFill>
                                  <a:srgbClr val="C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0D75909" id="Straight Connector 1" o:spid="_x0000_s1026" style="position:absolute;flip:y;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4pt,193.1pt" to="42pt,25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" strokecolor="#c00000" strokeweight=".5pt">
                      <v:stroke joinstyle="miter"/>
                    </v:line>
                  </w:pict>
                </mc:Fallback>
              </mc:AlternateContent>
            </w:r>
            <w:r w:rsidR="004263F4" w:rsidRPr="0026287E">
              <w:rPr>
                <w:rFonts w:cs="Calibri"/>
                <w:noProof/>
                <w:sz w:val="20"/>
                <w:szCs w:val="20"/>
                <w:lang w:eastAsia="en-US"/>
              </w:rPr>
              <mc:AlternateContent>
                <mc:Choice Requires="wps">
                  <w:drawing>
                    <wp:anchor distT="0" distB="0" distL="114300" distR="114300" simplePos="0" relativeHeight="251671552" behindDoc="0" locked="0" layoutInCell="1" allowOverlap="1" wp14:anchorId="415B1929" wp14:editId="36F61461">
                      <wp:simplePos x="0" y="0"/>
                      <wp:positionH relativeFrom="column">
                        <wp:posOffset>-68580</wp:posOffset>
                      </wp:positionH>
                      <wp:positionV relativeFrom="paragraph">
                        <wp:posOffset>3763010</wp:posOffset>
                      </wp:positionV>
                      <wp:extent cx="594360" cy="518160"/>
                      <wp:effectExtent l="0" t="0" r="34290" b="34290"/>
                      <wp:wrapNone/>
                      <wp:docPr id="1633464405" name="Straight Connector 1"/>
                      <wp:cNvGraphicFramePr/>
                      <a:graphic xmlns:a="http://schemas.openxmlformats.org/drawingml/2006/main">
                        <a:graphicData uri="http://schemas.microsoft.com/office/word/2010/wordprocessingShape">
                          <wps:wsp>
                            <wps:cNvCnPr/>
                            <wps:spPr>
                              <a:xfrm>
                                <a:off x="0" y="0"/>
                                <a:ext cx="594360" cy="51816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D06A54E" id="Straight Connector 1"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4pt,296.3pt" to="41.4pt,33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" strokecolor="windowText" strokeweight=".5pt">
                      <v:stroke joinstyle="miter"/>
                    </v:line>
                  </w:pict>
                </mc:Fallback>
              </mc:AlternateContent>
            </w:r>
            <w:r w:rsidR="004263F4" w:rsidRPr="0026287E">
              <w:rPr>
                <w:rFonts w:cs="Calibri"/>
                <w:noProof/>
                <w:sz w:val="20"/>
                <w:szCs w:val="20"/>
                <w:lang w:eastAsia="en-US"/>
              </w:rPr>
              <mc:AlternateContent>
                <mc:Choice Requires="wps">
                  <w:drawing>
                    <wp:anchor distT="0" distB="0" distL="114300" distR="114300" simplePos="0" relativeHeight="251672576" behindDoc="0" locked="0" layoutInCell="1" allowOverlap="1" wp14:anchorId="29EE2FCE" wp14:editId="1626DB58">
                      <wp:simplePos x="0" y="0"/>
                      <wp:positionH relativeFrom="column">
                        <wp:posOffset>-83820</wp:posOffset>
                      </wp:positionH>
                      <wp:positionV relativeFrom="paragraph">
                        <wp:posOffset>3778250</wp:posOffset>
                      </wp:positionV>
                      <wp:extent cx="624840" cy="548640"/>
                      <wp:effectExtent l="0" t="0" r="22860" b="22860"/>
                      <wp:wrapNone/>
                      <wp:docPr id="874989040" name="Straight Connector 1"/>
                      <wp:cNvGraphicFramePr/>
                      <a:graphic xmlns:a="http://schemas.openxmlformats.org/drawingml/2006/main">
                        <a:graphicData uri="http://schemas.microsoft.com/office/word/2010/wordprocessingShape">
                          <wps:wsp>
                            <wps:cNvCnPr/>
                            <wps:spPr>
                              <a:xfrm flipV="1">
                                <a:off x="0" y="0"/>
                                <a:ext cx="624840" cy="548640"/>
                              </a:xfrm>
                              <a:prstGeom prst="line">
                                <a:avLst/>
                              </a:prstGeom>
                              <a:noFill/>
                              <a:ln w="6350" cap="flat" cmpd="sng" algn="ctr">
                                <a:solidFill>
                                  <a:srgbClr val="00B0F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D7E53C7" id="Straight Connector 1" o:spid="_x0000_s1026" style="position:absolute;flip:y;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6pt,297.5pt" to="42.6pt,34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" strokecolor="#00b0f0" strokeweight=".5pt">
                      <v:stroke joinstyle="miter"/>
                    </v:line>
                  </w:pict>
                </mc:Fallback>
              </mc:AlternateContent>
            </w:r>
            <w:r w:rsidR="004263F4" w:rsidRPr="0026287E">
              <w:rPr>
                <w:rFonts w:cs="Calibri"/>
                <w:noProof/>
                <w:sz w:val="20"/>
                <w:szCs w:val="20"/>
                <w:lang w:eastAsia="en-US"/>
              </w:rPr>
              <mc:AlternateContent>
                <mc:Choice Requires="wps">
                  <w:drawing>
                    <wp:anchor distT="0" distB="0" distL="114300" distR="114300" simplePos="0" relativeHeight="251673600" behindDoc="0" locked="0" layoutInCell="1" allowOverlap="1" wp14:anchorId="4C3CA6F6" wp14:editId="37C8973F">
                      <wp:simplePos x="0" y="0"/>
                      <wp:positionH relativeFrom="column">
                        <wp:posOffset>-60960</wp:posOffset>
                      </wp:positionH>
                      <wp:positionV relativeFrom="paragraph">
                        <wp:posOffset>4678045</wp:posOffset>
                      </wp:positionV>
                      <wp:extent cx="579120" cy="0"/>
                      <wp:effectExtent l="0" t="0" r="0" b="0"/>
                      <wp:wrapNone/>
                      <wp:docPr id="2084669510" name="Straight Connector 1"/>
                      <wp:cNvGraphicFramePr/>
                      <a:graphic xmlns:a="http://schemas.openxmlformats.org/drawingml/2006/main">
                        <a:graphicData uri="http://schemas.microsoft.com/office/word/2010/wordprocessingShape">
                          <wps:wsp>
                            <wps:cNvCnPr/>
                            <wps:spPr>
                              <a:xfrm flipV="1">
                                <a:off x="0" y="0"/>
                                <a:ext cx="579120" cy="0"/>
                              </a:xfrm>
                              <a:prstGeom prst="line">
                                <a:avLst/>
                              </a:prstGeom>
                              <a:noFill/>
                              <a:ln w="6350" cap="flat" cmpd="sng" algn="ctr">
                                <a:solidFill>
                                  <a:srgbClr val="E97132"/>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9106B16" id="Straight Connector 1" o:spid="_x0000_s1026" style="position:absolute;flip:y;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8pt,368.35pt" to="40.8pt,36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" strokecolor="#e97132" strokeweight=".5pt">
                      <v:stroke joinstyle="miter"/>
                    </v:line>
                  </w:pict>
                </mc:Fallback>
              </mc:AlternateContent>
            </w:r>
          </w:p>
        </w:tc>
        <w:tc>
          <w:tcPr>
            <w:tcW w:w="534" w:type="pct"/>
            <w:vAlign w:val="center"/>
          </w:tcPr>
          <w:p w14:paraId="23165E68" w14:textId="77777777" w:rsidR="00CD3152" w:rsidRPr="00AE0984" w:rsidRDefault="00CD3152" w:rsidP="00F032B4">
            <w:pPr>
              <w:spacing w:line="240" w:lineRule="auto"/>
              <w:jc w:val="center"/>
              <w:rPr>
                <w:rFonts w:cs="Calibri"/>
                <w:sz w:val="20"/>
                <w:szCs w:val="20"/>
                <w:lang w:eastAsia="en-US"/>
              </w:rPr>
            </w:pPr>
          </w:p>
        </w:tc>
        <w:tc>
          <w:tcPr>
            <w:tcW w:w="835" w:type="pct"/>
            <w:vAlign w:val="center"/>
          </w:tcPr>
          <w:p w14:paraId="2C307CF8" w14:textId="2954E973" w:rsidR="00CD3152" w:rsidRPr="00AE0984" w:rsidRDefault="00CD3152" w:rsidP="00F032B4">
            <w:pPr>
              <w:spacing w:line="240" w:lineRule="auto"/>
              <w:jc w:val="center"/>
              <w:rPr>
                <w:rFonts w:cs="Calibri"/>
                <w:b/>
                <w:bCs/>
                <w:sz w:val="20"/>
                <w:szCs w:val="20"/>
                <w:lang w:eastAsia="en-US"/>
              </w:rPr>
            </w:pPr>
            <w:r w:rsidRPr="00AE0984">
              <w:rPr>
                <w:rFonts w:cs="Calibri"/>
                <w:b/>
                <w:bCs/>
                <w:sz w:val="20"/>
                <w:szCs w:val="20"/>
                <w:lang w:eastAsia="en-US"/>
              </w:rPr>
              <w:t>Ierarhia în 202</w:t>
            </w:r>
            <w:r w:rsidR="00292B1C">
              <w:rPr>
                <w:rFonts w:cs="Calibri"/>
                <w:b/>
                <w:bCs/>
                <w:sz w:val="20"/>
                <w:szCs w:val="20"/>
                <w:lang w:eastAsia="en-US"/>
              </w:rPr>
              <w:t>3</w:t>
            </w:r>
          </w:p>
        </w:tc>
        <w:tc>
          <w:tcPr>
            <w:tcW w:w="568" w:type="pct"/>
            <w:vAlign w:val="center"/>
          </w:tcPr>
          <w:p w14:paraId="5B3710FB" w14:textId="77777777" w:rsidR="00CD3152" w:rsidRPr="00AE0984" w:rsidRDefault="00CD3152" w:rsidP="00F032B4">
            <w:pPr>
              <w:spacing w:line="240" w:lineRule="auto"/>
              <w:jc w:val="center"/>
              <w:rPr>
                <w:rFonts w:cs="Calibri"/>
                <w:b/>
                <w:bCs/>
                <w:sz w:val="20"/>
                <w:szCs w:val="20"/>
                <w:lang w:eastAsia="en-US"/>
              </w:rPr>
            </w:pPr>
            <w:r w:rsidRPr="00AE0984">
              <w:rPr>
                <w:rFonts w:cs="Calibri"/>
                <w:b/>
                <w:bCs/>
                <w:sz w:val="20"/>
                <w:szCs w:val="20"/>
                <w:lang w:eastAsia="en-US"/>
              </w:rPr>
              <w:t>DALYs la 100000 loc.</w:t>
            </w:r>
          </w:p>
        </w:tc>
        <w:tc>
          <w:tcPr>
            <w:tcW w:w="590" w:type="pct"/>
            <w:vAlign w:val="center"/>
          </w:tcPr>
          <w:p w14:paraId="6A9353AF" w14:textId="7DB6BED7" w:rsidR="00CD3152" w:rsidRPr="00AE0984" w:rsidRDefault="00CD3152" w:rsidP="00F032B4">
            <w:pPr>
              <w:spacing w:line="240" w:lineRule="auto"/>
              <w:jc w:val="center"/>
              <w:rPr>
                <w:rFonts w:cs="Calibri"/>
                <w:b/>
                <w:bCs/>
                <w:sz w:val="20"/>
                <w:szCs w:val="20"/>
                <w:lang w:eastAsia="en-US"/>
              </w:rPr>
            </w:pPr>
            <w:r w:rsidRPr="00AE0984">
              <w:rPr>
                <w:rFonts w:cs="Calibri"/>
                <w:b/>
                <w:bCs/>
                <w:sz w:val="20"/>
                <w:szCs w:val="20"/>
                <w:lang w:eastAsia="en-US"/>
              </w:rPr>
              <w:t>% schimbare în perioada 201</w:t>
            </w:r>
            <w:r w:rsidR="00292B1C">
              <w:rPr>
                <w:rFonts w:cs="Calibri"/>
                <w:b/>
                <w:bCs/>
                <w:sz w:val="20"/>
                <w:szCs w:val="20"/>
                <w:lang w:eastAsia="en-US"/>
              </w:rPr>
              <w:t>3</w:t>
            </w:r>
            <w:r w:rsidRPr="00AE0984">
              <w:rPr>
                <w:rFonts w:cs="Calibri"/>
                <w:b/>
                <w:bCs/>
                <w:sz w:val="20"/>
                <w:szCs w:val="20"/>
                <w:lang w:eastAsia="en-US"/>
              </w:rPr>
              <w:t>-202</w:t>
            </w:r>
            <w:r w:rsidR="00292B1C">
              <w:rPr>
                <w:rFonts w:cs="Calibri"/>
                <w:b/>
                <w:bCs/>
                <w:sz w:val="20"/>
                <w:szCs w:val="20"/>
                <w:lang w:eastAsia="en-US"/>
              </w:rPr>
              <w:t>3</w:t>
            </w:r>
          </w:p>
        </w:tc>
      </w:tr>
      <w:tr w:rsidR="00CD3152" w:rsidRPr="00AE0984" w14:paraId="35EBE056" w14:textId="77777777" w:rsidTr="004C5CB8">
        <w:tc>
          <w:tcPr>
            <w:tcW w:w="835" w:type="pct"/>
            <w:vAlign w:val="center"/>
          </w:tcPr>
          <w:p w14:paraId="26DCA61C" w14:textId="77777777" w:rsidR="00CD3152" w:rsidRPr="00AE0984" w:rsidRDefault="00CD3152" w:rsidP="00F032B4">
            <w:pPr>
              <w:spacing w:line="240" w:lineRule="auto"/>
              <w:rPr>
                <w:rFonts w:cs="Calibri"/>
                <w:sz w:val="20"/>
                <w:szCs w:val="20"/>
                <w:lang w:eastAsia="en-US"/>
              </w:rPr>
            </w:pPr>
            <w:r w:rsidRPr="00AE0984">
              <w:rPr>
                <w:rFonts w:cs="Calibri"/>
                <w:sz w:val="20"/>
                <w:szCs w:val="20"/>
                <w:lang w:eastAsia="en-US"/>
              </w:rPr>
              <w:t>Hipertensiune arterială</w:t>
            </w:r>
          </w:p>
        </w:tc>
        <w:tc>
          <w:tcPr>
            <w:tcW w:w="568" w:type="pct"/>
            <w:vAlign w:val="center"/>
          </w:tcPr>
          <w:p w14:paraId="79DD40FB" w14:textId="28C662FD" w:rsidR="00CD3152" w:rsidRPr="00AE0984" w:rsidRDefault="00CE7965" w:rsidP="00F032B4">
            <w:pPr>
              <w:spacing w:line="240" w:lineRule="auto"/>
              <w:jc w:val="center"/>
              <w:rPr>
                <w:rFonts w:cs="Calibri"/>
                <w:sz w:val="20"/>
                <w:szCs w:val="20"/>
                <w:lang w:eastAsia="en-US"/>
              </w:rPr>
            </w:pPr>
            <w:r w:rsidRPr="00CE7965">
              <w:rPr>
                <w:rFonts w:cs="Calibri"/>
                <w:sz w:val="20"/>
                <w:szCs w:val="20"/>
                <w:lang w:eastAsia="en-US"/>
              </w:rPr>
              <w:t>4519,91</w:t>
            </w:r>
          </w:p>
        </w:tc>
        <w:tc>
          <w:tcPr>
            <w:tcW w:w="546" w:type="pct"/>
            <w:vAlign w:val="center"/>
          </w:tcPr>
          <w:p w14:paraId="3812E1F5" w14:textId="77777777" w:rsidR="00CD3152" w:rsidRPr="00AE0984" w:rsidRDefault="00CD3152" w:rsidP="00566182">
            <w:pPr>
              <w:spacing w:line="240" w:lineRule="auto"/>
              <w:rPr>
                <w:rFonts w:cs="Calibri"/>
                <w:sz w:val="20"/>
                <w:szCs w:val="20"/>
                <w:lang w:eastAsia="en-US"/>
              </w:rPr>
            </w:pPr>
            <w:r w:rsidRPr="00AE0984">
              <w:rPr>
                <w:rFonts w:cs="Calibri"/>
                <w:color w:val="FF0000"/>
                <w:sz w:val="20"/>
                <w:szCs w:val="20"/>
                <w:lang w:eastAsia="en-US"/>
              </w:rPr>
              <w:t>①</w:t>
            </w:r>
          </w:p>
        </w:tc>
        <w:tc>
          <w:tcPr>
            <w:tcW w:w="524" w:type="pct"/>
            <w:vMerge/>
            <w:vAlign w:val="center"/>
          </w:tcPr>
          <w:p w14:paraId="477348BF" w14:textId="77777777" w:rsidR="00CD3152" w:rsidRPr="00AE0984" w:rsidRDefault="00CD3152" w:rsidP="00F032B4">
            <w:pPr>
              <w:spacing w:line="240" w:lineRule="auto"/>
              <w:rPr>
                <w:rFonts w:cs="Calibri"/>
                <w:sz w:val="20"/>
                <w:szCs w:val="20"/>
                <w:lang w:eastAsia="en-US"/>
              </w:rPr>
            </w:pPr>
          </w:p>
        </w:tc>
        <w:tc>
          <w:tcPr>
            <w:tcW w:w="534" w:type="pct"/>
            <w:vAlign w:val="center"/>
          </w:tcPr>
          <w:p w14:paraId="2CBAB1F0" w14:textId="77777777" w:rsidR="00CD3152" w:rsidRPr="00AE0984" w:rsidRDefault="00CD3152" w:rsidP="009631A3">
            <w:pPr>
              <w:spacing w:line="240" w:lineRule="auto"/>
              <w:jc w:val="center"/>
              <w:rPr>
                <w:rFonts w:cs="Calibri"/>
                <w:sz w:val="20"/>
                <w:szCs w:val="20"/>
                <w:lang w:eastAsia="en-US"/>
              </w:rPr>
            </w:pPr>
            <w:r w:rsidRPr="00AE0984">
              <w:rPr>
                <w:rFonts w:cs="Calibri"/>
                <w:color w:val="FF0000"/>
                <w:sz w:val="20"/>
                <w:szCs w:val="20"/>
                <w:lang w:eastAsia="en-US"/>
              </w:rPr>
              <w:t>①</w:t>
            </w:r>
          </w:p>
        </w:tc>
        <w:tc>
          <w:tcPr>
            <w:tcW w:w="835" w:type="pct"/>
            <w:vAlign w:val="center"/>
          </w:tcPr>
          <w:p w14:paraId="114902E8" w14:textId="77777777" w:rsidR="00CD3152" w:rsidRPr="00AE0984" w:rsidRDefault="00CD3152" w:rsidP="00F032B4">
            <w:pPr>
              <w:spacing w:line="240" w:lineRule="auto"/>
              <w:rPr>
                <w:rFonts w:cs="Calibri"/>
                <w:sz w:val="20"/>
                <w:szCs w:val="20"/>
                <w:lang w:eastAsia="en-US"/>
              </w:rPr>
            </w:pPr>
            <w:r w:rsidRPr="00AE0984">
              <w:rPr>
                <w:rFonts w:cs="Calibri"/>
                <w:sz w:val="20"/>
                <w:szCs w:val="20"/>
                <w:lang w:eastAsia="en-US"/>
              </w:rPr>
              <w:t>Hipertensiune arterială</w:t>
            </w:r>
          </w:p>
        </w:tc>
        <w:tc>
          <w:tcPr>
            <w:tcW w:w="568" w:type="pct"/>
            <w:vAlign w:val="center"/>
          </w:tcPr>
          <w:p w14:paraId="39013308" w14:textId="1BF14D84" w:rsidR="00CD3152" w:rsidRPr="00AE0984" w:rsidRDefault="00892B95" w:rsidP="00F032B4">
            <w:pPr>
              <w:spacing w:line="240" w:lineRule="auto"/>
              <w:jc w:val="center"/>
              <w:rPr>
                <w:rFonts w:cs="Calibri"/>
                <w:sz w:val="20"/>
                <w:szCs w:val="20"/>
                <w:lang w:eastAsia="en-US"/>
              </w:rPr>
            </w:pPr>
            <w:r w:rsidRPr="00892B95">
              <w:rPr>
                <w:rFonts w:cs="Calibri"/>
                <w:sz w:val="20"/>
                <w:szCs w:val="20"/>
                <w:lang w:eastAsia="en-US"/>
              </w:rPr>
              <w:t>3680.61</w:t>
            </w:r>
          </w:p>
        </w:tc>
        <w:tc>
          <w:tcPr>
            <w:tcW w:w="590" w:type="pct"/>
            <w:vAlign w:val="center"/>
          </w:tcPr>
          <w:p w14:paraId="7E0F8EF2" w14:textId="623EEC96" w:rsidR="00CD3152" w:rsidRPr="00AE0984" w:rsidRDefault="00892B95" w:rsidP="00F032B4">
            <w:pPr>
              <w:spacing w:line="240" w:lineRule="auto"/>
              <w:jc w:val="center"/>
              <w:rPr>
                <w:rFonts w:cs="Calibri"/>
                <w:sz w:val="20"/>
                <w:szCs w:val="20"/>
                <w:lang w:eastAsia="en-US"/>
              </w:rPr>
            </w:pPr>
            <w:r w:rsidRPr="00892B95">
              <w:rPr>
                <w:rFonts w:cs="Calibri"/>
                <w:sz w:val="20"/>
                <w:szCs w:val="20"/>
                <w:lang w:eastAsia="en-US"/>
              </w:rPr>
              <w:t>-18.57</w:t>
            </w:r>
            <w:r w:rsidR="00CD3152" w:rsidRPr="00AE0984">
              <w:rPr>
                <w:rFonts w:cs="Calibri"/>
                <w:sz w:val="20"/>
                <w:szCs w:val="20"/>
                <w:lang w:eastAsia="en-US"/>
              </w:rPr>
              <w:t>%</w:t>
            </w:r>
          </w:p>
        </w:tc>
      </w:tr>
      <w:tr w:rsidR="00CD3152" w:rsidRPr="00AE0984" w14:paraId="0090BC62" w14:textId="77777777" w:rsidTr="004C5CB8">
        <w:tc>
          <w:tcPr>
            <w:tcW w:w="835" w:type="pct"/>
            <w:vAlign w:val="center"/>
          </w:tcPr>
          <w:p w14:paraId="350A17FD" w14:textId="77777777" w:rsidR="00CD3152" w:rsidRPr="00E42ADC" w:rsidRDefault="00CD3152" w:rsidP="00F032B4">
            <w:pPr>
              <w:spacing w:line="240" w:lineRule="auto"/>
              <w:rPr>
                <w:rFonts w:cs="Calibri"/>
                <w:b/>
                <w:bCs/>
                <w:sz w:val="20"/>
                <w:szCs w:val="20"/>
                <w:lang w:eastAsia="en-US"/>
              </w:rPr>
            </w:pPr>
            <w:r w:rsidRPr="00E42ADC">
              <w:rPr>
                <w:rFonts w:cs="Calibri"/>
                <w:b/>
                <w:bCs/>
                <w:color w:val="E41D48" w:themeColor="accent2"/>
                <w:sz w:val="20"/>
                <w:szCs w:val="20"/>
                <w:lang w:eastAsia="en-US"/>
              </w:rPr>
              <w:t>Fumat</w:t>
            </w:r>
          </w:p>
        </w:tc>
        <w:tc>
          <w:tcPr>
            <w:tcW w:w="568" w:type="pct"/>
            <w:vAlign w:val="center"/>
          </w:tcPr>
          <w:p w14:paraId="5F470918" w14:textId="01CA24AD" w:rsidR="00CD3152" w:rsidRPr="00AE0984" w:rsidRDefault="00CE7965" w:rsidP="00F032B4">
            <w:pPr>
              <w:spacing w:line="240" w:lineRule="auto"/>
              <w:jc w:val="center"/>
              <w:rPr>
                <w:rFonts w:cs="Calibri"/>
                <w:sz w:val="20"/>
                <w:szCs w:val="20"/>
                <w:lang w:eastAsia="en-US"/>
              </w:rPr>
            </w:pPr>
            <w:r w:rsidRPr="00CE7965">
              <w:rPr>
                <w:rFonts w:cs="Calibri"/>
                <w:sz w:val="20"/>
                <w:szCs w:val="20"/>
                <w:lang w:eastAsia="en-US"/>
              </w:rPr>
              <w:t>3142,85</w:t>
            </w:r>
          </w:p>
        </w:tc>
        <w:tc>
          <w:tcPr>
            <w:tcW w:w="546" w:type="pct"/>
            <w:vAlign w:val="center"/>
          </w:tcPr>
          <w:p w14:paraId="4334C2CC" w14:textId="77777777" w:rsidR="00CD3152" w:rsidRPr="00AE0984" w:rsidRDefault="00CD3152" w:rsidP="00566182">
            <w:pPr>
              <w:spacing w:line="240" w:lineRule="auto"/>
              <w:rPr>
                <w:rFonts w:cs="Calibri"/>
                <w:sz w:val="20"/>
                <w:szCs w:val="20"/>
                <w:lang w:eastAsia="en-US"/>
              </w:rPr>
            </w:pPr>
            <w:r w:rsidRPr="00AE0984">
              <w:rPr>
                <w:rFonts w:cs="Calibri"/>
                <w:color w:val="007BB8"/>
                <w:sz w:val="20"/>
                <w:szCs w:val="20"/>
                <w:lang w:eastAsia="en-US"/>
              </w:rPr>
              <w:t>②</w:t>
            </w:r>
          </w:p>
        </w:tc>
        <w:tc>
          <w:tcPr>
            <w:tcW w:w="524" w:type="pct"/>
            <w:vMerge/>
            <w:vAlign w:val="center"/>
          </w:tcPr>
          <w:p w14:paraId="5A21E739" w14:textId="77777777" w:rsidR="00CD3152" w:rsidRPr="00AE0984" w:rsidRDefault="00CD3152" w:rsidP="00F032B4">
            <w:pPr>
              <w:spacing w:line="240" w:lineRule="auto"/>
              <w:rPr>
                <w:rFonts w:cs="Calibri"/>
                <w:sz w:val="20"/>
                <w:szCs w:val="20"/>
                <w:lang w:eastAsia="en-US"/>
              </w:rPr>
            </w:pPr>
          </w:p>
        </w:tc>
        <w:tc>
          <w:tcPr>
            <w:tcW w:w="534" w:type="pct"/>
            <w:vAlign w:val="center"/>
          </w:tcPr>
          <w:p w14:paraId="61B04AC0" w14:textId="77777777" w:rsidR="00CD3152" w:rsidRPr="00AE0984" w:rsidRDefault="00CD3152" w:rsidP="009631A3">
            <w:pPr>
              <w:spacing w:line="240" w:lineRule="auto"/>
              <w:jc w:val="center"/>
              <w:rPr>
                <w:rFonts w:cs="Calibri"/>
                <w:sz w:val="20"/>
                <w:szCs w:val="20"/>
                <w:lang w:eastAsia="en-US"/>
              </w:rPr>
            </w:pPr>
            <w:r w:rsidRPr="00AE0984">
              <w:rPr>
                <w:rFonts w:cs="Calibri"/>
                <w:color w:val="007BB8"/>
                <w:sz w:val="20"/>
                <w:szCs w:val="20"/>
                <w:lang w:eastAsia="en-US"/>
              </w:rPr>
              <w:t>②</w:t>
            </w:r>
          </w:p>
        </w:tc>
        <w:tc>
          <w:tcPr>
            <w:tcW w:w="835" w:type="pct"/>
            <w:vAlign w:val="center"/>
          </w:tcPr>
          <w:p w14:paraId="433087CF" w14:textId="77777777" w:rsidR="00CD3152" w:rsidRPr="00E42ADC" w:rsidRDefault="00CD3152" w:rsidP="00F032B4">
            <w:pPr>
              <w:spacing w:line="240" w:lineRule="auto"/>
              <w:rPr>
                <w:rFonts w:cs="Calibri"/>
                <w:b/>
                <w:bCs/>
                <w:sz w:val="20"/>
                <w:szCs w:val="20"/>
                <w:lang w:eastAsia="en-US"/>
              </w:rPr>
            </w:pPr>
            <w:r w:rsidRPr="00E42ADC">
              <w:rPr>
                <w:rFonts w:cs="Calibri"/>
                <w:b/>
                <w:bCs/>
                <w:color w:val="E41D48" w:themeColor="accent2"/>
                <w:sz w:val="20"/>
                <w:szCs w:val="20"/>
                <w:lang w:eastAsia="en-US"/>
              </w:rPr>
              <w:t>Fumat</w:t>
            </w:r>
          </w:p>
        </w:tc>
        <w:tc>
          <w:tcPr>
            <w:tcW w:w="568" w:type="pct"/>
            <w:vAlign w:val="center"/>
          </w:tcPr>
          <w:p w14:paraId="37D6E4CB" w14:textId="7664111F" w:rsidR="00CD3152" w:rsidRPr="00AE0984" w:rsidRDefault="00892B95" w:rsidP="00F032B4">
            <w:pPr>
              <w:spacing w:line="240" w:lineRule="auto"/>
              <w:jc w:val="center"/>
              <w:rPr>
                <w:rFonts w:cs="Calibri"/>
                <w:sz w:val="20"/>
                <w:szCs w:val="20"/>
                <w:lang w:eastAsia="en-US"/>
              </w:rPr>
            </w:pPr>
            <w:r w:rsidRPr="00892B95">
              <w:rPr>
                <w:rFonts w:cs="Calibri"/>
                <w:sz w:val="20"/>
                <w:szCs w:val="20"/>
                <w:lang w:eastAsia="en-US"/>
              </w:rPr>
              <w:t>2817.9</w:t>
            </w:r>
          </w:p>
        </w:tc>
        <w:tc>
          <w:tcPr>
            <w:tcW w:w="590" w:type="pct"/>
            <w:vAlign w:val="center"/>
          </w:tcPr>
          <w:p w14:paraId="4A141C5B" w14:textId="23073439" w:rsidR="00CD3152" w:rsidRPr="00AE0984" w:rsidRDefault="00892B95" w:rsidP="00F032B4">
            <w:pPr>
              <w:spacing w:line="240" w:lineRule="auto"/>
              <w:jc w:val="center"/>
              <w:rPr>
                <w:rFonts w:cs="Calibri"/>
                <w:sz w:val="20"/>
                <w:szCs w:val="20"/>
                <w:lang w:eastAsia="en-US"/>
              </w:rPr>
            </w:pPr>
            <w:r w:rsidRPr="00892B95">
              <w:rPr>
                <w:rFonts w:cs="Calibri"/>
                <w:sz w:val="20"/>
                <w:szCs w:val="20"/>
                <w:lang w:eastAsia="en-US"/>
              </w:rPr>
              <w:t>-10.34</w:t>
            </w:r>
            <w:r w:rsidR="00CD3152" w:rsidRPr="00AE0984">
              <w:rPr>
                <w:rFonts w:cs="Calibri"/>
                <w:sz w:val="20"/>
                <w:szCs w:val="20"/>
                <w:lang w:eastAsia="en-US"/>
              </w:rPr>
              <w:t>%</w:t>
            </w:r>
          </w:p>
        </w:tc>
      </w:tr>
      <w:tr w:rsidR="00566182" w:rsidRPr="00AE0984" w14:paraId="5CD14187" w14:textId="77777777" w:rsidTr="004C5CB8">
        <w:tc>
          <w:tcPr>
            <w:tcW w:w="835" w:type="pct"/>
            <w:vAlign w:val="center"/>
          </w:tcPr>
          <w:p w14:paraId="571E5A33" w14:textId="4B6E9557" w:rsidR="00566182" w:rsidRPr="00AE0984" w:rsidRDefault="00566182" w:rsidP="00566182">
            <w:pPr>
              <w:spacing w:line="240" w:lineRule="auto"/>
              <w:rPr>
                <w:rFonts w:cs="Calibri"/>
                <w:sz w:val="20"/>
                <w:szCs w:val="20"/>
                <w:lang w:eastAsia="en-US"/>
              </w:rPr>
            </w:pPr>
            <w:r w:rsidRPr="004C5CB8">
              <w:rPr>
                <w:rFonts w:cs="Calibri"/>
                <w:sz w:val="20"/>
                <w:szCs w:val="20"/>
                <w:lang w:eastAsia="en-US"/>
              </w:rPr>
              <w:lastRenderedPageBreak/>
              <w:t>Poluarea mediului cu particule în suspensie</w:t>
            </w:r>
          </w:p>
        </w:tc>
        <w:tc>
          <w:tcPr>
            <w:tcW w:w="568" w:type="pct"/>
            <w:vAlign w:val="center"/>
          </w:tcPr>
          <w:p w14:paraId="4277407A" w14:textId="73718C87" w:rsidR="00566182" w:rsidRPr="00AE0984" w:rsidRDefault="00566182" w:rsidP="00566182">
            <w:pPr>
              <w:spacing w:line="240" w:lineRule="auto"/>
              <w:jc w:val="center"/>
              <w:rPr>
                <w:rFonts w:cs="Calibri"/>
                <w:sz w:val="20"/>
                <w:szCs w:val="20"/>
                <w:lang w:eastAsia="en-US"/>
              </w:rPr>
            </w:pPr>
            <w:r w:rsidRPr="004C5CB8">
              <w:rPr>
                <w:rFonts w:cs="Calibri"/>
                <w:sz w:val="20"/>
                <w:szCs w:val="20"/>
                <w:lang w:eastAsia="en-US"/>
              </w:rPr>
              <w:t>1726.04</w:t>
            </w:r>
          </w:p>
        </w:tc>
        <w:tc>
          <w:tcPr>
            <w:tcW w:w="546" w:type="pct"/>
            <w:vAlign w:val="center"/>
          </w:tcPr>
          <w:p w14:paraId="73F15C03" w14:textId="7C5B4525" w:rsidR="00566182" w:rsidRPr="00AE0984" w:rsidRDefault="00566182" w:rsidP="00566182">
            <w:pPr>
              <w:spacing w:line="240" w:lineRule="auto"/>
              <w:rPr>
                <w:rFonts w:cs="Calibri"/>
                <w:color w:val="FFC000"/>
                <w:sz w:val="20"/>
                <w:szCs w:val="20"/>
                <w:lang w:eastAsia="en-US"/>
              </w:rPr>
            </w:pPr>
            <w:r w:rsidRPr="004C5CB8">
              <w:rPr>
                <w:rFonts w:cs="Calibri"/>
                <w:color w:val="FFC000"/>
                <w:sz w:val="20"/>
                <w:szCs w:val="20"/>
                <w:lang w:eastAsia="en-US"/>
              </w:rPr>
              <w:t>③</w:t>
            </w:r>
          </w:p>
        </w:tc>
        <w:tc>
          <w:tcPr>
            <w:tcW w:w="524" w:type="pct"/>
            <w:vMerge/>
            <w:vAlign w:val="center"/>
          </w:tcPr>
          <w:p w14:paraId="0D63DB2D" w14:textId="77777777" w:rsidR="00566182" w:rsidRPr="00AE0984" w:rsidRDefault="00566182" w:rsidP="00566182">
            <w:pPr>
              <w:spacing w:line="240" w:lineRule="auto"/>
              <w:rPr>
                <w:rFonts w:cs="Calibri"/>
                <w:sz w:val="20"/>
                <w:szCs w:val="20"/>
                <w:lang w:eastAsia="en-US"/>
              </w:rPr>
            </w:pPr>
          </w:p>
        </w:tc>
        <w:tc>
          <w:tcPr>
            <w:tcW w:w="534" w:type="pct"/>
            <w:vAlign w:val="center"/>
          </w:tcPr>
          <w:p w14:paraId="4ADBF908" w14:textId="7A534BAC" w:rsidR="00566182" w:rsidRPr="003F5542" w:rsidRDefault="00566182" w:rsidP="009631A3">
            <w:pPr>
              <w:snapToGrid w:val="0"/>
              <w:spacing w:before="60" w:after="60" w:line="240" w:lineRule="auto"/>
              <w:contextualSpacing/>
              <w:jc w:val="center"/>
              <w:rPr>
                <w:rFonts w:cs="Calibri"/>
                <w:color w:val="215E99"/>
                <w:sz w:val="20"/>
                <w:szCs w:val="20"/>
                <w:lang w:eastAsia="en-US"/>
              </w:rPr>
            </w:pPr>
            <w:r w:rsidRPr="003F5542">
              <w:rPr>
                <w:rFonts w:cs="Calibri"/>
                <w:color w:val="215E99"/>
                <w:sz w:val="20"/>
                <w:szCs w:val="20"/>
                <w:lang w:eastAsia="en-US"/>
              </w:rPr>
              <w:t>③</w:t>
            </w:r>
          </w:p>
        </w:tc>
        <w:tc>
          <w:tcPr>
            <w:tcW w:w="835" w:type="pct"/>
            <w:vAlign w:val="center"/>
          </w:tcPr>
          <w:p w14:paraId="292A4AFC" w14:textId="77777777" w:rsidR="00566182" w:rsidRPr="00892B95" w:rsidRDefault="00566182" w:rsidP="00566182">
            <w:pPr>
              <w:spacing w:line="240" w:lineRule="auto"/>
              <w:rPr>
                <w:rFonts w:cs="Calibri"/>
                <w:sz w:val="20"/>
                <w:szCs w:val="20"/>
                <w:lang w:eastAsia="en-US"/>
              </w:rPr>
            </w:pPr>
            <w:r w:rsidRPr="00892B95">
              <w:rPr>
                <w:rFonts w:cs="Calibri"/>
                <w:sz w:val="20"/>
                <w:szCs w:val="20"/>
                <w:lang w:eastAsia="en-US"/>
              </w:rPr>
              <w:t xml:space="preserve">IMC </w:t>
            </w:r>
          </w:p>
          <w:p w14:paraId="73ED7DC5" w14:textId="568B6037" w:rsidR="00566182" w:rsidRPr="00AE0984" w:rsidRDefault="00566182" w:rsidP="00566182">
            <w:pPr>
              <w:spacing w:line="240" w:lineRule="auto"/>
              <w:rPr>
                <w:rFonts w:cs="Calibri"/>
                <w:sz w:val="20"/>
                <w:szCs w:val="20"/>
                <w:lang w:eastAsia="en-US"/>
              </w:rPr>
            </w:pPr>
            <w:r w:rsidRPr="00892B95">
              <w:rPr>
                <w:rFonts w:cs="Calibri"/>
                <w:sz w:val="20"/>
                <w:szCs w:val="20"/>
                <w:lang w:eastAsia="en-US"/>
              </w:rPr>
              <w:t>crescut</w:t>
            </w:r>
          </w:p>
        </w:tc>
        <w:tc>
          <w:tcPr>
            <w:tcW w:w="568" w:type="pct"/>
            <w:vAlign w:val="center"/>
          </w:tcPr>
          <w:p w14:paraId="78FEF4E9" w14:textId="757D9501" w:rsidR="00566182" w:rsidRPr="00AE0984" w:rsidRDefault="00566182" w:rsidP="00566182">
            <w:pPr>
              <w:spacing w:line="240" w:lineRule="auto"/>
              <w:jc w:val="center"/>
              <w:rPr>
                <w:rFonts w:cs="Calibri"/>
                <w:sz w:val="20"/>
                <w:szCs w:val="20"/>
                <w:lang w:eastAsia="en-US"/>
              </w:rPr>
            </w:pPr>
            <w:r w:rsidRPr="00892B95">
              <w:rPr>
                <w:rFonts w:cs="Calibri"/>
                <w:sz w:val="20"/>
                <w:szCs w:val="20"/>
                <w:lang w:eastAsia="en-US"/>
              </w:rPr>
              <w:t>1681.06</w:t>
            </w:r>
          </w:p>
        </w:tc>
        <w:tc>
          <w:tcPr>
            <w:tcW w:w="590" w:type="pct"/>
            <w:vAlign w:val="center"/>
          </w:tcPr>
          <w:p w14:paraId="680682B5" w14:textId="7C9E71CB" w:rsidR="00566182" w:rsidRPr="00AE0984" w:rsidRDefault="00566182" w:rsidP="00566182">
            <w:pPr>
              <w:spacing w:line="240" w:lineRule="auto"/>
              <w:jc w:val="center"/>
              <w:rPr>
                <w:rFonts w:cs="Calibri"/>
                <w:sz w:val="20"/>
                <w:szCs w:val="20"/>
                <w:lang w:eastAsia="en-US"/>
              </w:rPr>
            </w:pPr>
            <w:r w:rsidRPr="00892B95">
              <w:rPr>
                <w:rFonts w:cs="Calibri"/>
                <w:sz w:val="20"/>
                <w:szCs w:val="20"/>
                <w:lang w:eastAsia="en-US"/>
              </w:rPr>
              <w:t>-0.02</w:t>
            </w:r>
            <w:r>
              <w:rPr>
                <w:rFonts w:cs="Calibri"/>
                <w:sz w:val="20"/>
                <w:szCs w:val="20"/>
                <w:lang w:eastAsia="en-US"/>
              </w:rPr>
              <w:t>%</w:t>
            </w:r>
          </w:p>
        </w:tc>
      </w:tr>
      <w:tr w:rsidR="00566182" w:rsidRPr="00AE0984" w14:paraId="3AD9BC19" w14:textId="77777777" w:rsidTr="004C5CB8">
        <w:tc>
          <w:tcPr>
            <w:tcW w:w="835" w:type="pct"/>
            <w:vAlign w:val="center"/>
          </w:tcPr>
          <w:p w14:paraId="4B97AF9A" w14:textId="77777777" w:rsidR="00566182" w:rsidRPr="00AE0984" w:rsidRDefault="00566182" w:rsidP="00566182">
            <w:pPr>
              <w:spacing w:line="240" w:lineRule="auto"/>
              <w:rPr>
                <w:rFonts w:cs="Calibri"/>
                <w:sz w:val="20"/>
                <w:szCs w:val="20"/>
                <w:lang w:eastAsia="en-US"/>
              </w:rPr>
            </w:pPr>
            <w:r w:rsidRPr="00AE0984">
              <w:rPr>
                <w:rFonts w:cs="Calibri"/>
                <w:sz w:val="20"/>
                <w:szCs w:val="20"/>
                <w:lang w:eastAsia="en-US"/>
              </w:rPr>
              <w:t xml:space="preserve">IMC </w:t>
            </w:r>
          </w:p>
          <w:p w14:paraId="15388309" w14:textId="77777777" w:rsidR="00566182" w:rsidRPr="00AE0984" w:rsidRDefault="00566182" w:rsidP="00566182">
            <w:pPr>
              <w:spacing w:line="240" w:lineRule="auto"/>
              <w:rPr>
                <w:rFonts w:cs="Calibri"/>
                <w:sz w:val="20"/>
                <w:szCs w:val="20"/>
                <w:lang w:eastAsia="en-US"/>
              </w:rPr>
            </w:pPr>
            <w:r w:rsidRPr="00AE0984">
              <w:rPr>
                <w:rFonts w:cs="Calibri"/>
                <w:sz w:val="20"/>
                <w:szCs w:val="20"/>
                <w:lang w:eastAsia="en-US"/>
              </w:rPr>
              <w:t>crescut</w:t>
            </w:r>
          </w:p>
        </w:tc>
        <w:tc>
          <w:tcPr>
            <w:tcW w:w="568" w:type="pct"/>
            <w:vAlign w:val="center"/>
          </w:tcPr>
          <w:p w14:paraId="3407B847" w14:textId="2D6857B2" w:rsidR="00566182" w:rsidRPr="00AE0984" w:rsidRDefault="00566182" w:rsidP="00566182">
            <w:pPr>
              <w:spacing w:line="240" w:lineRule="auto"/>
              <w:jc w:val="center"/>
              <w:rPr>
                <w:rFonts w:cs="Calibri"/>
                <w:sz w:val="20"/>
                <w:szCs w:val="20"/>
                <w:lang w:eastAsia="en-US"/>
              </w:rPr>
            </w:pPr>
            <w:r w:rsidRPr="004C5CB8">
              <w:rPr>
                <w:rFonts w:cs="Calibri"/>
                <w:sz w:val="20"/>
                <w:szCs w:val="20"/>
                <w:lang w:eastAsia="en-US"/>
              </w:rPr>
              <w:t>1681.41</w:t>
            </w:r>
          </w:p>
        </w:tc>
        <w:tc>
          <w:tcPr>
            <w:tcW w:w="546" w:type="pct"/>
            <w:vAlign w:val="center"/>
          </w:tcPr>
          <w:p w14:paraId="273544A0" w14:textId="34FBDEF0" w:rsidR="00566182" w:rsidRPr="00AE0984" w:rsidRDefault="00566182" w:rsidP="00566182">
            <w:pPr>
              <w:spacing w:line="240" w:lineRule="auto"/>
              <w:rPr>
                <w:rFonts w:cs="Calibri"/>
                <w:sz w:val="20"/>
                <w:szCs w:val="20"/>
                <w:lang w:eastAsia="en-US"/>
              </w:rPr>
            </w:pPr>
            <w:r w:rsidRPr="00AE0984">
              <w:rPr>
                <w:rFonts w:cs="Calibri"/>
                <w:color w:val="215E99"/>
                <w:sz w:val="20"/>
                <w:szCs w:val="20"/>
                <w:lang w:eastAsia="en-US"/>
              </w:rPr>
              <w:t>④</w:t>
            </w:r>
          </w:p>
        </w:tc>
        <w:tc>
          <w:tcPr>
            <w:tcW w:w="524" w:type="pct"/>
            <w:vMerge/>
            <w:vAlign w:val="center"/>
          </w:tcPr>
          <w:p w14:paraId="419676E1" w14:textId="77777777" w:rsidR="00566182" w:rsidRPr="00AE0984" w:rsidRDefault="00566182" w:rsidP="00566182">
            <w:pPr>
              <w:spacing w:line="240" w:lineRule="auto"/>
              <w:rPr>
                <w:rFonts w:cs="Calibri"/>
                <w:sz w:val="20"/>
                <w:szCs w:val="20"/>
                <w:lang w:eastAsia="en-US"/>
              </w:rPr>
            </w:pPr>
          </w:p>
        </w:tc>
        <w:tc>
          <w:tcPr>
            <w:tcW w:w="534" w:type="pct"/>
            <w:vAlign w:val="center"/>
          </w:tcPr>
          <w:p w14:paraId="445B7DE3" w14:textId="688AF221" w:rsidR="00566182" w:rsidRPr="00AE0984" w:rsidRDefault="00566182" w:rsidP="009631A3">
            <w:pPr>
              <w:snapToGrid w:val="0"/>
              <w:spacing w:before="60" w:after="60" w:line="240" w:lineRule="auto"/>
              <w:contextualSpacing/>
              <w:jc w:val="center"/>
              <w:rPr>
                <w:rFonts w:cs="Calibri"/>
                <w:sz w:val="20"/>
                <w:szCs w:val="20"/>
                <w:lang w:eastAsia="en-US"/>
              </w:rPr>
            </w:pPr>
            <w:r w:rsidRPr="004263F4">
              <w:rPr>
                <w:rFonts w:cs="Calibri"/>
                <w:color w:val="00B050"/>
                <w:sz w:val="20"/>
                <w:szCs w:val="20"/>
                <w:lang w:eastAsia="en-US"/>
              </w:rPr>
              <w:t>④</w:t>
            </w:r>
          </w:p>
        </w:tc>
        <w:tc>
          <w:tcPr>
            <w:tcW w:w="835" w:type="pct"/>
            <w:vAlign w:val="center"/>
          </w:tcPr>
          <w:p w14:paraId="6CF46D31" w14:textId="5B106A97" w:rsidR="00566182" w:rsidRPr="00AE0984" w:rsidRDefault="00566182" w:rsidP="00566182">
            <w:pPr>
              <w:spacing w:line="240" w:lineRule="auto"/>
              <w:rPr>
                <w:rFonts w:cs="Calibri"/>
                <w:sz w:val="20"/>
                <w:szCs w:val="20"/>
                <w:lang w:eastAsia="en-US"/>
              </w:rPr>
            </w:pPr>
            <w:r w:rsidRPr="00892B95">
              <w:rPr>
                <w:rFonts w:cs="Calibri"/>
                <w:sz w:val="20"/>
                <w:szCs w:val="20"/>
                <w:lang w:eastAsia="en-US"/>
              </w:rPr>
              <w:t>Glicemie a jeun crescută</w:t>
            </w:r>
          </w:p>
        </w:tc>
        <w:tc>
          <w:tcPr>
            <w:tcW w:w="568" w:type="pct"/>
            <w:vAlign w:val="center"/>
          </w:tcPr>
          <w:p w14:paraId="780DE037" w14:textId="23A77629" w:rsidR="00566182" w:rsidRPr="00AE0984" w:rsidRDefault="00566182" w:rsidP="00566182">
            <w:pPr>
              <w:spacing w:line="240" w:lineRule="auto"/>
              <w:jc w:val="center"/>
              <w:rPr>
                <w:rFonts w:cs="Calibri"/>
                <w:sz w:val="20"/>
                <w:szCs w:val="20"/>
                <w:lang w:eastAsia="en-US"/>
              </w:rPr>
            </w:pPr>
            <w:r w:rsidRPr="00892B95">
              <w:rPr>
                <w:rFonts w:cs="Calibri"/>
                <w:sz w:val="20"/>
                <w:szCs w:val="20"/>
                <w:lang w:eastAsia="en-US"/>
              </w:rPr>
              <w:t>1484.46</w:t>
            </w:r>
          </w:p>
        </w:tc>
        <w:tc>
          <w:tcPr>
            <w:tcW w:w="590" w:type="pct"/>
            <w:vAlign w:val="center"/>
          </w:tcPr>
          <w:p w14:paraId="475FA214" w14:textId="1CE339DC" w:rsidR="00566182" w:rsidRPr="00AE0984" w:rsidRDefault="00566182" w:rsidP="00566182">
            <w:pPr>
              <w:spacing w:line="240" w:lineRule="auto"/>
              <w:jc w:val="center"/>
              <w:rPr>
                <w:rFonts w:cs="Calibri"/>
                <w:sz w:val="20"/>
                <w:szCs w:val="20"/>
                <w:lang w:eastAsia="en-US"/>
              </w:rPr>
            </w:pPr>
            <w:r>
              <w:rPr>
                <w:rFonts w:cs="Calibri"/>
                <w:sz w:val="20"/>
                <w:szCs w:val="20"/>
                <w:lang w:eastAsia="en-US"/>
              </w:rPr>
              <w:t>+</w:t>
            </w:r>
            <w:r w:rsidRPr="00892B95">
              <w:rPr>
                <w:rFonts w:cs="Calibri"/>
                <w:sz w:val="20"/>
                <w:szCs w:val="20"/>
                <w:lang w:eastAsia="en-US"/>
              </w:rPr>
              <w:t xml:space="preserve">3.52 </w:t>
            </w:r>
            <w:r w:rsidRPr="00AE0984">
              <w:rPr>
                <w:rFonts w:cs="Calibri"/>
                <w:sz w:val="20"/>
                <w:szCs w:val="20"/>
                <w:lang w:eastAsia="en-US"/>
              </w:rPr>
              <w:t>%</w:t>
            </w:r>
          </w:p>
        </w:tc>
      </w:tr>
      <w:tr w:rsidR="00566182" w:rsidRPr="00AE0984" w14:paraId="0BD48148" w14:textId="77777777" w:rsidTr="004C5CB8">
        <w:tc>
          <w:tcPr>
            <w:tcW w:w="835" w:type="pct"/>
            <w:vAlign w:val="center"/>
          </w:tcPr>
          <w:p w14:paraId="4E11D4F6" w14:textId="77777777" w:rsidR="00566182" w:rsidRPr="00AE0984" w:rsidRDefault="00566182" w:rsidP="00566182">
            <w:pPr>
              <w:spacing w:line="240" w:lineRule="auto"/>
              <w:rPr>
                <w:rFonts w:cs="Calibri"/>
                <w:sz w:val="20"/>
                <w:szCs w:val="20"/>
                <w:lang w:eastAsia="en-US"/>
              </w:rPr>
            </w:pPr>
            <w:r w:rsidRPr="00AE0984">
              <w:rPr>
                <w:rFonts w:cs="Calibri"/>
                <w:sz w:val="20"/>
                <w:szCs w:val="20"/>
                <w:lang w:eastAsia="en-US"/>
              </w:rPr>
              <w:t>LDL colesterol crescut</w:t>
            </w:r>
          </w:p>
        </w:tc>
        <w:tc>
          <w:tcPr>
            <w:tcW w:w="568" w:type="pct"/>
            <w:vAlign w:val="center"/>
          </w:tcPr>
          <w:p w14:paraId="1D23BEF4" w14:textId="79339EA4" w:rsidR="00566182" w:rsidRPr="00AE0984" w:rsidRDefault="00566182" w:rsidP="00566182">
            <w:pPr>
              <w:spacing w:line="240" w:lineRule="auto"/>
              <w:jc w:val="center"/>
              <w:rPr>
                <w:rFonts w:cs="Calibri"/>
                <w:sz w:val="20"/>
                <w:szCs w:val="20"/>
                <w:lang w:eastAsia="en-US"/>
              </w:rPr>
            </w:pPr>
            <w:r w:rsidRPr="004C5CB8">
              <w:rPr>
                <w:rFonts w:cs="Calibri"/>
                <w:sz w:val="20"/>
                <w:szCs w:val="20"/>
                <w:lang w:eastAsia="en-US"/>
              </w:rPr>
              <w:t>1638.64</w:t>
            </w:r>
          </w:p>
        </w:tc>
        <w:tc>
          <w:tcPr>
            <w:tcW w:w="546" w:type="pct"/>
            <w:vAlign w:val="center"/>
          </w:tcPr>
          <w:p w14:paraId="7F616B75" w14:textId="31E14C7F" w:rsidR="00566182" w:rsidRPr="00AE0984" w:rsidRDefault="00566182" w:rsidP="00566182">
            <w:pPr>
              <w:spacing w:line="240" w:lineRule="auto"/>
              <w:rPr>
                <w:rFonts w:cs="Calibri"/>
                <w:sz w:val="20"/>
                <w:szCs w:val="20"/>
                <w:lang w:eastAsia="en-US"/>
              </w:rPr>
            </w:pPr>
            <w:r w:rsidRPr="00F52B90">
              <w:rPr>
                <w:rFonts w:eastAsia="DengXian" w:cs="Calibri"/>
                <w:color w:val="7030A0"/>
                <w:sz w:val="20"/>
                <w:szCs w:val="20"/>
                <w:lang w:eastAsia="en-US"/>
              </w:rPr>
              <w:t>⑤</w:t>
            </w:r>
          </w:p>
        </w:tc>
        <w:tc>
          <w:tcPr>
            <w:tcW w:w="524" w:type="pct"/>
            <w:vMerge/>
            <w:vAlign w:val="center"/>
          </w:tcPr>
          <w:p w14:paraId="57645905" w14:textId="77777777" w:rsidR="00566182" w:rsidRPr="00AE0984" w:rsidRDefault="00566182" w:rsidP="00566182">
            <w:pPr>
              <w:spacing w:line="240" w:lineRule="auto"/>
              <w:rPr>
                <w:rFonts w:cs="Calibri"/>
                <w:sz w:val="20"/>
                <w:szCs w:val="20"/>
                <w:lang w:eastAsia="en-US"/>
              </w:rPr>
            </w:pPr>
          </w:p>
        </w:tc>
        <w:tc>
          <w:tcPr>
            <w:tcW w:w="534" w:type="pct"/>
            <w:vAlign w:val="center"/>
          </w:tcPr>
          <w:p w14:paraId="3FB7F5D9" w14:textId="3577C484" w:rsidR="00566182" w:rsidRPr="00566182" w:rsidRDefault="00566182" w:rsidP="009631A3">
            <w:pPr>
              <w:spacing w:line="240" w:lineRule="auto"/>
              <w:jc w:val="center"/>
              <w:rPr>
                <w:rFonts w:cs="Calibri"/>
                <w:color w:val="C00000"/>
                <w:sz w:val="20"/>
                <w:szCs w:val="20"/>
                <w:lang w:eastAsia="en-US"/>
              </w:rPr>
            </w:pPr>
            <w:r w:rsidRPr="00566182">
              <w:rPr>
                <w:rFonts w:cs="Calibri"/>
                <w:color w:val="C00000"/>
                <w:sz w:val="20"/>
                <w:szCs w:val="20"/>
                <w:lang w:eastAsia="en-US"/>
              </w:rPr>
              <w:t>⑤</w:t>
            </w:r>
          </w:p>
        </w:tc>
        <w:tc>
          <w:tcPr>
            <w:tcW w:w="835" w:type="pct"/>
            <w:vAlign w:val="center"/>
          </w:tcPr>
          <w:p w14:paraId="0F5F684B" w14:textId="74E60739" w:rsidR="00566182" w:rsidRPr="00AE0984" w:rsidRDefault="00566182" w:rsidP="00566182">
            <w:pPr>
              <w:spacing w:line="240" w:lineRule="auto"/>
              <w:rPr>
                <w:rFonts w:cs="Calibri"/>
                <w:sz w:val="20"/>
                <w:szCs w:val="20"/>
                <w:lang w:eastAsia="en-US"/>
              </w:rPr>
            </w:pPr>
            <w:r w:rsidRPr="00B10301">
              <w:rPr>
                <w:rFonts w:cs="Calibri"/>
                <w:sz w:val="20"/>
                <w:szCs w:val="20"/>
                <w:lang w:eastAsia="en-US"/>
              </w:rPr>
              <w:t>Consum nociv de alcool</w:t>
            </w:r>
          </w:p>
        </w:tc>
        <w:tc>
          <w:tcPr>
            <w:tcW w:w="568" w:type="pct"/>
            <w:vAlign w:val="center"/>
          </w:tcPr>
          <w:p w14:paraId="5A30AC48" w14:textId="77777777" w:rsidR="00566182" w:rsidRPr="00AE0984" w:rsidRDefault="00566182" w:rsidP="00566182">
            <w:pPr>
              <w:spacing w:line="240" w:lineRule="auto"/>
              <w:jc w:val="center"/>
              <w:rPr>
                <w:rFonts w:cs="Calibri"/>
                <w:sz w:val="20"/>
                <w:szCs w:val="20"/>
                <w:lang w:eastAsia="en-US"/>
              </w:rPr>
            </w:pPr>
            <w:r w:rsidRPr="00AE0984">
              <w:rPr>
                <w:rFonts w:cs="Calibri"/>
                <w:sz w:val="20"/>
                <w:szCs w:val="20"/>
                <w:lang w:eastAsia="en-US"/>
              </w:rPr>
              <w:t>3079.95</w:t>
            </w:r>
          </w:p>
        </w:tc>
        <w:tc>
          <w:tcPr>
            <w:tcW w:w="590" w:type="pct"/>
            <w:vAlign w:val="center"/>
          </w:tcPr>
          <w:p w14:paraId="184E385A" w14:textId="77777777" w:rsidR="00566182" w:rsidRPr="00AE0984" w:rsidRDefault="00566182" w:rsidP="00566182">
            <w:pPr>
              <w:spacing w:line="240" w:lineRule="auto"/>
              <w:jc w:val="center"/>
              <w:rPr>
                <w:rFonts w:cs="Calibri"/>
                <w:sz w:val="20"/>
                <w:szCs w:val="20"/>
                <w:lang w:eastAsia="en-US"/>
              </w:rPr>
            </w:pPr>
            <w:r w:rsidRPr="00AE0984">
              <w:rPr>
                <w:rFonts w:cs="Calibri"/>
                <w:sz w:val="20"/>
                <w:szCs w:val="20"/>
                <w:lang w:eastAsia="en-US"/>
              </w:rPr>
              <w:t>+0.26%</w:t>
            </w:r>
          </w:p>
        </w:tc>
      </w:tr>
      <w:tr w:rsidR="00566182" w:rsidRPr="00AE0984" w14:paraId="04BA3695" w14:textId="77777777" w:rsidTr="004C5CB8">
        <w:tc>
          <w:tcPr>
            <w:tcW w:w="835" w:type="pct"/>
            <w:vAlign w:val="center"/>
          </w:tcPr>
          <w:p w14:paraId="72705D8D" w14:textId="05071EAC" w:rsidR="00566182" w:rsidRPr="00AE0984" w:rsidRDefault="00566182" w:rsidP="00566182">
            <w:pPr>
              <w:spacing w:line="240" w:lineRule="auto"/>
              <w:rPr>
                <w:rFonts w:cs="Calibri"/>
                <w:sz w:val="20"/>
                <w:szCs w:val="20"/>
                <w:lang w:eastAsia="en-US"/>
              </w:rPr>
            </w:pPr>
            <w:r w:rsidRPr="00E70C3B">
              <w:rPr>
                <w:rFonts w:cs="Calibri"/>
                <w:sz w:val="20"/>
                <w:szCs w:val="20"/>
                <w:lang w:eastAsia="en-US"/>
              </w:rPr>
              <w:t>Glicemie a jeun crescută</w:t>
            </w:r>
          </w:p>
        </w:tc>
        <w:tc>
          <w:tcPr>
            <w:tcW w:w="568" w:type="pct"/>
            <w:vAlign w:val="center"/>
          </w:tcPr>
          <w:p w14:paraId="5BC1E57A" w14:textId="6FF0085D" w:rsidR="00566182" w:rsidRPr="00AE0984" w:rsidRDefault="00566182" w:rsidP="00566182">
            <w:pPr>
              <w:spacing w:line="240" w:lineRule="auto"/>
              <w:jc w:val="center"/>
              <w:rPr>
                <w:rFonts w:cs="Calibri"/>
                <w:sz w:val="20"/>
                <w:szCs w:val="20"/>
                <w:lang w:eastAsia="en-US"/>
              </w:rPr>
            </w:pPr>
            <w:r w:rsidRPr="00E70C3B">
              <w:rPr>
                <w:rFonts w:cs="Calibri"/>
                <w:sz w:val="20"/>
                <w:szCs w:val="20"/>
                <w:lang w:eastAsia="en-US"/>
              </w:rPr>
              <w:t>1433.99</w:t>
            </w:r>
          </w:p>
        </w:tc>
        <w:tc>
          <w:tcPr>
            <w:tcW w:w="546" w:type="pct"/>
            <w:vAlign w:val="center"/>
          </w:tcPr>
          <w:p w14:paraId="388D71E1" w14:textId="6E111439" w:rsidR="00566182" w:rsidRPr="00AE0984" w:rsidRDefault="00566182" w:rsidP="00566182">
            <w:pPr>
              <w:spacing w:line="240" w:lineRule="auto"/>
              <w:rPr>
                <w:rFonts w:cs="Calibri"/>
                <w:sz w:val="20"/>
                <w:szCs w:val="20"/>
                <w:lang w:eastAsia="en-US"/>
              </w:rPr>
            </w:pPr>
            <w:r w:rsidRPr="00D60863">
              <w:rPr>
                <w:rFonts w:cs="Calibri"/>
                <w:color w:val="00B050"/>
                <w:sz w:val="20"/>
                <w:szCs w:val="20"/>
                <w:lang w:eastAsia="en-US"/>
              </w:rPr>
              <w:t>⑥</w:t>
            </w:r>
          </w:p>
        </w:tc>
        <w:tc>
          <w:tcPr>
            <w:tcW w:w="524" w:type="pct"/>
            <w:vMerge/>
            <w:vAlign w:val="center"/>
          </w:tcPr>
          <w:p w14:paraId="2556A88B" w14:textId="77777777" w:rsidR="00566182" w:rsidRPr="00AE0984" w:rsidRDefault="00566182" w:rsidP="00566182">
            <w:pPr>
              <w:spacing w:line="240" w:lineRule="auto"/>
              <w:rPr>
                <w:rFonts w:cs="Calibri"/>
                <w:sz w:val="20"/>
                <w:szCs w:val="20"/>
                <w:lang w:eastAsia="en-US"/>
              </w:rPr>
            </w:pPr>
          </w:p>
        </w:tc>
        <w:tc>
          <w:tcPr>
            <w:tcW w:w="534" w:type="pct"/>
            <w:vAlign w:val="center"/>
          </w:tcPr>
          <w:p w14:paraId="088CB43E" w14:textId="4EBABE57" w:rsidR="00566182" w:rsidRPr="00AE0984" w:rsidRDefault="00566182" w:rsidP="009631A3">
            <w:pPr>
              <w:spacing w:line="240" w:lineRule="auto"/>
              <w:jc w:val="center"/>
              <w:rPr>
                <w:rFonts w:cs="Calibri"/>
                <w:sz w:val="20"/>
                <w:szCs w:val="20"/>
                <w:lang w:eastAsia="en-US"/>
              </w:rPr>
            </w:pPr>
            <w:r w:rsidRPr="00AE0984">
              <w:rPr>
                <w:rFonts w:cs="Calibri"/>
                <w:color w:val="7030A0"/>
                <w:sz w:val="20"/>
                <w:szCs w:val="20"/>
                <w:lang w:eastAsia="en-US"/>
              </w:rPr>
              <w:t>⑥</w:t>
            </w:r>
          </w:p>
        </w:tc>
        <w:tc>
          <w:tcPr>
            <w:tcW w:w="835" w:type="pct"/>
            <w:vAlign w:val="center"/>
          </w:tcPr>
          <w:p w14:paraId="18EB568A" w14:textId="29F19C33" w:rsidR="00566182" w:rsidRPr="00AE0984" w:rsidRDefault="00566182" w:rsidP="00566182">
            <w:pPr>
              <w:spacing w:line="240" w:lineRule="auto"/>
              <w:rPr>
                <w:rFonts w:cs="Calibri"/>
                <w:sz w:val="20"/>
                <w:szCs w:val="20"/>
                <w:lang w:eastAsia="en-US"/>
              </w:rPr>
            </w:pPr>
            <w:r w:rsidRPr="00B10301">
              <w:rPr>
                <w:rFonts w:cs="Calibri"/>
                <w:sz w:val="20"/>
                <w:szCs w:val="20"/>
                <w:lang w:eastAsia="en-US"/>
              </w:rPr>
              <w:t>LDL colesterol crescut</w:t>
            </w:r>
          </w:p>
        </w:tc>
        <w:tc>
          <w:tcPr>
            <w:tcW w:w="568" w:type="pct"/>
            <w:vAlign w:val="center"/>
          </w:tcPr>
          <w:p w14:paraId="17639F76" w14:textId="5FF6497B" w:rsidR="00566182" w:rsidRPr="00AE0984" w:rsidRDefault="009631A3" w:rsidP="00566182">
            <w:pPr>
              <w:spacing w:line="240" w:lineRule="auto"/>
              <w:jc w:val="center"/>
              <w:rPr>
                <w:rFonts w:cs="Calibri"/>
                <w:sz w:val="20"/>
                <w:szCs w:val="20"/>
                <w:lang w:eastAsia="en-US"/>
              </w:rPr>
            </w:pPr>
            <w:r w:rsidRPr="009631A3">
              <w:rPr>
                <w:rFonts w:cs="Calibri"/>
                <w:sz w:val="20"/>
                <w:szCs w:val="20"/>
                <w:lang w:eastAsia="en-US"/>
              </w:rPr>
              <w:t>1359.55</w:t>
            </w:r>
          </w:p>
        </w:tc>
        <w:tc>
          <w:tcPr>
            <w:tcW w:w="590" w:type="pct"/>
            <w:vAlign w:val="center"/>
          </w:tcPr>
          <w:p w14:paraId="63E9359A" w14:textId="4630BDC6" w:rsidR="00566182" w:rsidRPr="00AE0984" w:rsidRDefault="009631A3" w:rsidP="00566182">
            <w:pPr>
              <w:spacing w:line="240" w:lineRule="auto"/>
              <w:jc w:val="center"/>
              <w:rPr>
                <w:rFonts w:cs="Calibri"/>
                <w:sz w:val="20"/>
                <w:szCs w:val="20"/>
                <w:lang w:eastAsia="en-US"/>
              </w:rPr>
            </w:pPr>
            <w:r w:rsidRPr="009631A3">
              <w:rPr>
                <w:rFonts w:cs="Calibri"/>
                <w:sz w:val="20"/>
                <w:szCs w:val="20"/>
                <w:lang w:eastAsia="en-US"/>
              </w:rPr>
              <w:t>-17.03</w:t>
            </w:r>
            <w:r>
              <w:rPr>
                <w:rFonts w:cs="Calibri"/>
                <w:sz w:val="20"/>
                <w:szCs w:val="20"/>
                <w:lang w:eastAsia="en-US"/>
              </w:rPr>
              <w:t>%</w:t>
            </w:r>
          </w:p>
        </w:tc>
      </w:tr>
      <w:tr w:rsidR="00566182" w:rsidRPr="00AE0984" w14:paraId="6F91566A" w14:textId="77777777" w:rsidTr="004C5CB8">
        <w:tc>
          <w:tcPr>
            <w:tcW w:w="835" w:type="pct"/>
            <w:vAlign w:val="center"/>
          </w:tcPr>
          <w:p w14:paraId="76CC993D" w14:textId="0805A45A" w:rsidR="00566182" w:rsidRPr="00AE0984" w:rsidRDefault="00566182" w:rsidP="00566182">
            <w:pPr>
              <w:spacing w:line="240" w:lineRule="auto"/>
              <w:rPr>
                <w:rFonts w:cs="Calibri"/>
                <w:sz w:val="20"/>
                <w:szCs w:val="20"/>
                <w:lang w:eastAsia="en-US"/>
              </w:rPr>
            </w:pPr>
            <w:r w:rsidRPr="00E70C3B">
              <w:rPr>
                <w:rFonts w:cs="Calibri"/>
                <w:sz w:val="20"/>
                <w:szCs w:val="20"/>
                <w:lang w:eastAsia="en-US"/>
              </w:rPr>
              <w:t>Consum nociv de alcool</w:t>
            </w:r>
          </w:p>
        </w:tc>
        <w:tc>
          <w:tcPr>
            <w:tcW w:w="568" w:type="pct"/>
            <w:vAlign w:val="center"/>
          </w:tcPr>
          <w:p w14:paraId="221FB252" w14:textId="51648DBD" w:rsidR="00566182" w:rsidRPr="00AE0984" w:rsidRDefault="00566182" w:rsidP="00566182">
            <w:pPr>
              <w:spacing w:line="240" w:lineRule="auto"/>
              <w:jc w:val="center"/>
              <w:rPr>
                <w:rFonts w:cs="Calibri"/>
                <w:sz w:val="20"/>
                <w:szCs w:val="20"/>
                <w:lang w:eastAsia="en-US"/>
              </w:rPr>
            </w:pPr>
            <w:r w:rsidRPr="00E70C3B">
              <w:rPr>
                <w:rFonts w:cs="Calibri"/>
                <w:sz w:val="20"/>
                <w:szCs w:val="20"/>
                <w:lang w:eastAsia="en-US"/>
              </w:rPr>
              <w:t>1258.44</w:t>
            </w:r>
          </w:p>
        </w:tc>
        <w:tc>
          <w:tcPr>
            <w:tcW w:w="546" w:type="pct"/>
            <w:vAlign w:val="center"/>
          </w:tcPr>
          <w:p w14:paraId="3508C2B1" w14:textId="240CB1E1" w:rsidR="00566182" w:rsidRPr="00AE0984" w:rsidRDefault="00566182" w:rsidP="00566182">
            <w:pPr>
              <w:spacing w:line="240" w:lineRule="auto"/>
              <w:rPr>
                <w:rFonts w:cs="Calibri"/>
                <w:sz w:val="20"/>
                <w:szCs w:val="20"/>
                <w:lang w:eastAsia="en-US"/>
              </w:rPr>
            </w:pPr>
            <w:r w:rsidRPr="00D60863">
              <w:rPr>
                <w:rFonts w:cs="Calibri"/>
                <w:color w:val="C00000"/>
                <w:sz w:val="20"/>
                <w:szCs w:val="20"/>
                <w:lang w:eastAsia="en-US"/>
              </w:rPr>
              <w:t>⑦</w:t>
            </w:r>
          </w:p>
        </w:tc>
        <w:tc>
          <w:tcPr>
            <w:tcW w:w="524" w:type="pct"/>
            <w:vMerge/>
            <w:vAlign w:val="center"/>
          </w:tcPr>
          <w:p w14:paraId="2C21BE0B" w14:textId="77777777" w:rsidR="00566182" w:rsidRPr="00AE0984" w:rsidRDefault="00566182" w:rsidP="00566182">
            <w:pPr>
              <w:spacing w:line="240" w:lineRule="auto"/>
              <w:rPr>
                <w:rFonts w:cs="Calibri"/>
                <w:sz w:val="20"/>
                <w:szCs w:val="20"/>
                <w:lang w:eastAsia="en-US"/>
              </w:rPr>
            </w:pPr>
          </w:p>
        </w:tc>
        <w:tc>
          <w:tcPr>
            <w:tcW w:w="534" w:type="pct"/>
            <w:vAlign w:val="center"/>
          </w:tcPr>
          <w:p w14:paraId="25847940" w14:textId="6D24E6E5" w:rsidR="00566182" w:rsidRPr="00566182" w:rsidRDefault="00566182" w:rsidP="009631A3">
            <w:pPr>
              <w:spacing w:line="240" w:lineRule="auto"/>
              <w:jc w:val="center"/>
              <w:rPr>
                <w:rFonts w:cs="Calibri"/>
                <w:color w:val="FFC000"/>
                <w:sz w:val="20"/>
                <w:szCs w:val="20"/>
                <w:lang w:eastAsia="en-US"/>
              </w:rPr>
            </w:pPr>
            <w:r w:rsidRPr="00566182">
              <w:rPr>
                <w:rFonts w:cs="Calibri"/>
                <w:color w:val="FFC000"/>
                <w:sz w:val="20"/>
                <w:szCs w:val="20"/>
                <w:lang w:eastAsia="en-US"/>
              </w:rPr>
              <w:t>⑦</w:t>
            </w:r>
          </w:p>
        </w:tc>
        <w:tc>
          <w:tcPr>
            <w:tcW w:w="835" w:type="pct"/>
            <w:vAlign w:val="center"/>
          </w:tcPr>
          <w:p w14:paraId="662C4A24" w14:textId="4DD65C5A" w:rsidR="00566182" w:rsidRPr="00AE0984" w:rsidRDefault="00566182" w:rsidP="00566182">
            <w:pPr>
              <w:spacing w:line="240" w:lineRule="auto"/>
              <w:rPr>
                <w:rFonts w:cs="Calibri"/>
                <w:sz w:val="20"/>
                <w:szCs w:val="20"/>
                <w:lang w:eastAsia="en-US"/>
              </w:rPr>
            </w:pPr>
            <w:r w:rsidRPr="00B10301">
              <w:rPr>
                <w:rFonts w:cs="Calibri"/>
                <w:sz w:val="20"/>
                <w:szCs w:val="20"/>
                <w:lang w:eastAsia="en-US"/>
              </w:rPr>
              <w:t>Poluarea mediului cu particule în suspensie</w:t>
            </w:r>
          </w:p>
        </w:tc>
        <w:tc>
          <w:tcPr>
            <w:tcW w:w="568" w:type="pct"/>
            <w:vAlign w:val="center"/>
          </w:tcPr>
          <w:p w14:paraId="4C252244" w14:textId="792CE18D" w:rsidR="00566182" w:rsidRPr="00AE0984" w:rsidRDefault="009631A3" w:rsidP="00566182">
            <w:pPr>
              <w:spacing w:line="240" w:lineRule="auto"/>
              <w:jc w:val="center"/>
              <w:rPr>
                <w:rFonts w:cs="Calibri"/>
                <w:sz w:val="20"/>
                <w:szCs w:val="20"/>
                <w:lang w:eastAsia="en-US"/>
              </w:rPr>
            </w:pPr>
            <w:r w:rsidRPr="009631A3">
              <w:rPr>
                <w:rFonts w:cs="Calibri"/>
                <w:sz w:val="20"/>
                <w:szCs w:val="20"/>
                <w:lang w:eastAsia="en-US"/>
              </w:rPr>
              <w:t>1156.4</w:t>
            </w:r>
          </w:p>
        </w:tc>
        <w:tc>
          <w:tcPr>
            <w:tcW w:w="590" w:type="pct"/>
            <w:vAlign w:val="center"/>
          </w:tcPr>
          <w:p w14:paraId="47A066B7" w14:textId="75C035CF" w:rsidR="00566182" w:rsidRPr="00AE0984" w:rsidRDefault="009631A3" w:rsidP="00566182">
            <w:pPr>
              <w:spacing w:line="240" w:lineRule="auto"/>
              <w:jc w:val="center"/>
              <w:rPr>
                <w:rFonts w:cs="Calibri"/>
                <w:sz w:val="20"/>
                <w:szCs w:val="20"/>
                <w:lang w:eastAsia="en-US"/>
              </w:rPr>
            </w:pPr>
            <w:r w:rsidRPr="009631A3">
              <w:rPr>
                <w:rFonts w:cs="Calibri"/>
                <w:sz w:val="20"/>
                <w:szCs w:val="20"/>
                <w:lang w:eastAsia="en-US"/>
              </w:rPr>
              <w:t>-33.0</w:t>
            </w:r>
            <w:r>
              <w:rPr>
                <w:rFonts w:cs="Calibri"/>
                <w:sz w:val="20"/>
                <w:szCs w:val="20"/>
                <w:lang w:eastAsia="en-US"/>
              </w:rPr>
              <w:t>%</w:t>
            </w:r>
          </w:p>
        </w:tc>
      </w:tr>
      <w:tr w:rsidR="004C5CB8" w:rsidRPr="00AE0984" w14:paraId="019B51EB" w14:textId="77777777" w:rsidTr="004C5CB8">
        <w:tc>
          <w:tcPr>
            <w:tcW w:w="835" w:type="pct"/>
            <w:vAlign w:val="center"/>
          </w:tcPr>
          <w:p w14:paraId="35AD1BD7" w14:textId="282B0625" w:rsidR="004C5CB8" w:rsidRPr="00AE0984" w:rsidRDefault="00E70C3B" w:rsidP="004C5CB8">
            <w:pPr>
              <w:spacing w:line="240" w:lineRule="auto"/>
              <w:rPr>
                <w:rFonts w:cs="Calibri"/>
                <w:sz w:val="20"/>
                <w:szCs w:val="20"/>
                <w:lang w:eastAsia="en-US"/>
              </w:rPr>
            </w:pPr>
            <w:r w:rsidRPr="00E70C3B">
              <w:rPr>
                <w:rFonts w:cs="Calibri"/>
                <w:sz w:val="20"/>
                <w:szCs w:val="20"/>
                <w:lang w:eastAsia="en-US"/>
              </w:rPr>
              <w:t>Dietă cu conținut crescut în sodiu</w:t>
            </w:r>
          </w:p>
        </w:tc>
        <w:tc>
          <w:tcPr>
            <w:tcW w:w="568" w:type="pct"/>
            <w:vAlign w:val="center"/>
          </w:tcPr>
          <w:p w14:paraId="4D11E058" w14:textId="7AAAE57D" w:rsidR="004C5CB8" w:rsidRPr="00AE0984" w:rsidRDefault="00E70C3B" w:rsidP="004C5CB8">
            <w:pPr>
              <w:spacing w:line="240" w:lineRule="auto"/>
              <w:jc w:val="center"/>
              <w:rPr>
                <w:rFonts w:cs="Calibri"/>
                <w:sz w:val="20"/>
                <w:szCs w:val="20"/>
                <w:lang w:eastAsia="en-US"/>
              </w:rPr>
            </w:pPr>
            <w:r w:rsidRPr="00E70C3B">
              <w:rPr>
                <w:rFonts w:cs="Calibri"/>
                <w:sz w:val="20"/>
                <w:szCs w:val="20"/>
                <w:lang w:eastAsia="en-US"/>
              </w:rPr>
              <w:t>1180.22</w:t>
            </w:r>
          </w:p>
        </w:tc>
        <w:tc>
          <w:tcPr>
            <w:tcW w:w="546" w:type="pct"/>
            <w:vAlign w:val="center"/>
          </w:tcPr>
          <w:p w14:paraId="41D8769F" w14:textId="111DA97C" w:rsidR="004C5CB8" w:rsidRPr="00AE0984" w:rsidRDefault="00F52B90" w:rsidP="00566182">
            <w:pPr>
              <w:spacing w:line="240" w:lineRule="auto"/>
              <w:rPr>
                <w:rFonts w:cs="Calibri"/>
                <w:sz w:val="20"/>
                <w:szCs w:val="20"/>
                <w:lang w:eastAsia="en-US"/>
              </w:rPr>
            </w:pPr>
            <w:r w:rsidRPr="00D60863">
              <w:rPr>
                <w:rFonts w:cs="Calibri"/>
                <w:sz w:val="20"/>
                <w:szCs w:val="20"/>
                <w:lang w:eastAsia="en-US"/>
              </w:rPr>
              <w:t>⑧</w:t>
            </w:r>
          </w:p>
        </w:tc>
        <w:tc>
          <w:tcPr>
            <w:tcW w:w="524" w:type="pct"/>
            <w:vMerge/>
            <w:vAlign w:val="center"/>
          </w:tcPr>
          <w:p w14:paraId="284B85C2" w14:textId="77777777" w:rsidR="004C5CB8" w:rsidRPr="00AE0984" w:rsidRDefault="004C5CB8" w:rsidP="004C5CB8">
            <w:pPr>
              <w:spacing w:line="240" w:lineRule="auto"/>
              <w:rPr>
                <w:rFonts w:cs="Calibri"/>
                <w:sz w:val="20"/>
                <w:szCs w:val="20"/>
                <w:lang w:eastAsia="en-US"/>
              </w:rPr>
            </w:pPr>
          </w:p>
        </w:tc>
        <w:tc>
          <w:tcPr>
            <w:tcW w:w="534" w:type="pct"/>
            <w:vAlign w:val="center"/>
          </w:tcPr>
          <w:p w14:paraId="74572EB4" w14:textId="49ABD0B6" w:rsidR="004C5CB8" w:rsidRPr="00566182" w:rsidRDefault="00566182" w:rsidP="009631A3">
            <w:pPr>
              <w:spacing w:line="240" w:lineRule="auto"/>
              <w:jc w:val="center"/>
              <w:rPr>
                <w:rFonts w:cs="Calibri"/>
                <w:color w:val="00B0F0"/>
                <w:sz w:val="20"/>
                <w:szCs w:val="20"/>
                <w:lang w:eastAsia="en-US"/>
              </w:rPr>
            </w:pPr>
            <w:r w:rsidRPr="00566182">
              <w:rPr>
                <w:rFonts w:cs="Calibri"/>
                <w:color w:val="00B0F0"/>
                <w:sz w:val="20"/>
                <w:szCs w:val="20"/>
                <w:lang w:eastAsia="en-US"/>
              </w:rPr>
              <w:t>⑧</w:t>
            </w:r>
          </w:p>
        </w:tc>
        <w:tc>
          <w:tcPr>
            <w:tcW w:w="835" w:type="pct"/>
            <w:vAlign w:val="center"/>
          </w:tcPr>
          <w:p w14:paraId="4FA79751" w14:textId="7BDA6B1C" w:rsidR="004C5CB8" w:rsidRPr="00AE0984" w:rsidRDefault="00B10301" w:rsidP="004C5CB8">
            <w:pPr>
              <w:spacing w:line="240" w:lineRule="auto"/>
              <w:rPr>
                <w:rFonts w:cs="Calibri"/>
                <w:sz w:val="20"/>
                <w:szCs w:val="20"/>
                <w:lang w:eastAsia="en-US"/>
              </w:rPr>
            </w:pPr>
            <w:r w:rsidRPr="00B10301">
              <w:rPr>
                <w:rFonts w:cs="Calibri"/>
                <w:sz w:val="20"/>
                <w:szCs w:val="20"/>
                <w:lang w:eastAsia="en-US"/>
              </w:rPr>
              <w:t>Disfuncție renală</w:t>
            </w:r>
          </w:p>
        </w:tc>
        <w:tc>
          <w:tcPr>
            <w:tcW w:w="568" w:type="pct"/>
            <w:vAlign w:val="center"/>
          </w:tcPr>
          <w:p w14:paraId="6B64D5DD" w14:textId="2FEF9524" w:rsidR="004C5CB8" w:rsidRPr="00AE0984" w:rsidRDefault="009631A3" w:rsidP="004C5CB8">
            <w:pPr>
              <w:spacing w:line="240" w:lineRule="auto"/>
              <w:jc w:val="center"/>
              <w:rPr>
                <w:rFonts w:cs="Calibri"/>
                <w:sz w:val="20"/>
                <w:szCs w:val="20"/>
                <w:lang w:eastAsia="en-US"/>
              </w:rPr>
            </w:pPr>
            <w:r w:rsidRPr="009631A3">
              <w:rPr>
                <w:rFonts w:cs="Calibri"/>
                <w:sz w:val="20"/>
                <w:szCs w:val="20"/>
                <w:lang w:eastAsia="en-US"/>
              </w:rPr>
              <w:t>1128.77</w:t>
            </w:r>
          </w:p>
        </w:tc>
        <w:tc>
          <w:tcPr>
            <w:tcW w:w="590" w:type="pct"/>
            <w:vAlign w:val="center"/>
          </w:tcPr>
          <w:p w14:paraId="166D7E84" w14:textId="7F07373E" w:rsidR="004C5CB8" w:rsidRPr="00AE0984" w:rsidRDefault="009631A3" w:rsidP="004C5CB8">
            <w:pPr>
              <w:spacing w:line="240" w:lineRule="auto"/>
              <w:jc w:val="center"/>
              <w:rPr>
                <w:rFonts w:cs="Calibri"/>
                <w:sz w:val="20"/>
                <w:szCs w:val="20"/>
                <w:lang w:eastAsia="en-US"/>
              </w:rPr>
            </w:pPr>
            <w:r>
              <w:rPr>
                <w:rFonts w:cs="Calibri"/>
                <w:sz w:val="20"/>
                <w:szCs w:val="20"/>
                <w:lang w:eastAsia="en-US"/>
              </w:rPr>
              <w:t>+</w:t>
            </w:r>
            <w:r w:rsidRPr="009631A3">
              <w:rPr>
                <w:rFonts w:cs="Calibri"/>
                <w:sz w:val="20"/>
                <w:szCs w:val="20"/>
                <w:lang w:eastAsia="en-US"/>
              </w:rPr>
              <w:t>2.38</w:t>
            </w:r>
            <w:r>
              <w:rPr>
                <w:rFonts w:cs="Calibri"/>
                <w:sz w:val="20"/>
                <w:szCs w:val="20"/>
                <w:lang w:eastAsia="en-US"/>
              </w:rPr>
              <w:t>%</w:t>
            </w:r>
          </w:p>
        </w:tc>
      </w:tr>
      <w:tr w:rsidR="004C5CB8" w:rsidRPr="00AE0984" w14:paraId="2EB16A84" w14:textId="77777777" w:rsidTr="004C5CB8">
        <w:tc>
          <w:tcPr>
            <w:tcW w:w="835" w:type="pct"/>
            <w:vAlign w:val="center"/>
          </w:tcPr>
          <w:p w14:paraId="3EA24E2E" w14:textId="1EDB576B" w:rsidR="004C5CB8" w:rsidRPr="00AE0984" w:rsidRDefault="00F52B90" w:rsidP="004C5CB8">
            <w:pPr>
              <w:spacing w:line="240" w:lineRule="auto"/>
              <w:rPr>
                <w:rFonts w:cs="Calibri"/>
                <w:sz w:val="20"/>
                <w:szCs w:val="20"/>
                <w:lang w:eastAsia="en-US"/>
              </w:rPr>
            </w:pPr>
            <w:r w:rsidRPr="00F52B90">
              <w:rPr>
                <w:rFonts w:cs="Calibri"/>
                <w:sz w:val="20"/>
                <w:szCs w:val="20"/>
                <w:lang w:eastAsia="en-US"/>
              </w:rPr>
              <w:t>Disfuncție renală</w:t>
            </w:r>
          </w:p>
        </w:tc>
        <w:tc>
          <w:tcPr>
            <w:tcW w:w="568" w:type="pct"/>
            <w:vAlign w:val="center"/>
          </w:tcPr>
          <w:p w14:paraId="739E222F" w14:textId="0B282E68" w:rsidR="004C5CB8" w:rsidRPr="00AE0984" w:rsidRDefault="00F52B90" w:rsidP="004C5CB8">
            <w:pPr>
              <w:spacing w:line="240" w:lineRule="auto"/>
              <w:jc w:val="center"/>
              <w:rPr>
                <w:rFonts w:cs="Calibri"/>
                <w:sz w:val="20"/>
                <w:szCs w:val="20"/>
                <w:lang w:eastAsia="en-US"/>
              </w:rPr>
            </w:pPr>
            <w:r w:rsidRPr="00F52B90">
              <w:rPr>
                <w:rFonts w:cs="Calibri"/>
                <w:sz w:val="20"/>
                <w:szCs w:val="20"/>
                <w:lang w:eastAsia="en-US"/>
              </w:rPr>
              <w:t>1102.55</w:t>
            </w:r>
          </w:p>
        </w:tc>
        <w:tc>
          <w:tcPr>
            <w:tcW w:w="546" w:type="pct"/>
            <w:vAlign w:val="center"/>
          </w:tcPr>
          <w:p w14:paraId="14926AD3" w14:textId="1C8B73C2" w:rsidR="004C5CB8" w:rsidRPr="00AE0984" w:rsidRDefault="00F52B90" w:rsidP="00566182">
            <w:pPr>
              <w:spacing w:line="240" w:lineRule="auto"/>
              <w:rPr>
                <w:rFonts w:cs="Calibri"/>
                <w:sz w:val="20"/>
                <w:szCs w:val="20"/>
                <w:lang w:eastAsia="en-US"/>
              </w:rPr>
            </w:pPr>
            <w:r w:rsidRPr="00D60863">
              <w:rPr>
                <w:rFonts w:cs="Calibri"/>
                <w:color w:val="00B0F0"/>
                <w:sz w:val="20"/>
                <w:szCs w:val="20"/>
                <w:lang w:eastAsia="en-US"/>
              </w:rPr>
              <w:t>⑨</w:t>
            </w:r>
          </w:p>
        </w:tc>
        <w:tc>
          <w:tcPr>
            <w:tcW w:w="524" w:type="pct"/>
            <w:vMerge/>
            <w:vAlign w:val="center"/>
          </w:tcPr>
          <w:p w14:paraId="5018DCF8" w14:textId="77777777" w:rsidR="004C5CB8" w:rsidRPr="00AE0984" w:rsidRDefault="004C5CB8" w:rsidP="004C5CB8">
            <w:pPr>
              <w:spacing w:line="240" w:lineRule="auto"/>
              <w:rPr>
                <w:rFonts w:cs="Calibri"/>
                <w:sz w:val="20"/>
                <w:szCs w:val="20"/>
                <w:lang w:eastAsia="en-US"/>
              </w:rPr>
            </w:pPr>
          </w:p>
        </w:tc>
        <w:tc>
          <w:tcPr>
            <w:tcW w:w="534" w:type="pct"/>
            <w:vAlign w:val="center"/>
          </w:tcPr>
          <w:p w14:paraId="64E1F866" w14:textId="122E2F0C" w:rsidR="004C5CB8" w:rsidRPr="00AE0984" w:rsidRDefault="00566182" w:rsidP="009631A3">
            <w:pPr>
              <w:spacing w:line="240" w:lineRule="auto"/>
              <w:jc w:val="center"/>
              <w:rPr>
                <w:rFonts w:cs="Calibri"/>
                <w:sz w:val="20"/>
                <w:szCs w:val="20"/>
                <w:lang w:eastAsia="en-US"/>
              </w:rPr>
            </w:pPr>
            <w:r w:rsidRPr="00566182">
              <w:rPr>
                <w:rFonts w:cs="Calibri"/>
                <w:sz w:val="20"/>
                <w:szCs w:val="20"/>
                <w:lang w:eastAsia="en-US"/>
              </w:rPr>
              <w:t>⑨</w:t>
            </w:r>
          </w:p>
        </w:tc>
        <w:tc>
          <w:tcPr>
            <w:tcW w:w="835" w:type="pct"/>
            <w:vAlign w:val="center"/>
          </w:tcPr>
          <w:p w14:paraId="4C0346E2" w14:textId="532096A5" w:rsidR="004C5CB8" w:rsidRPr="00AE0984" w:rsidRDefault="00B10301" w:rsidP="004C5CB8">
            <w:pPr>
              <w:spacing w:line="240" w:lineRule="auto"/>
              <w:rPr>
                <w:rFonts w:cs="Calibri"/>
                <w:sz w:val="20"/>
                <w:szCs w:val="20"/>
                <w:lang w:eastAsia="en-US"/>
              </w:rPr>
            </w:pPr>
            <w:r w:rsidRPr="00B10301">
              <w:rPr>
                <w:rFonts w:cs="Calibri"/>
                <w:sz w:val="20"/>
                <w:szCs w:val="20"/>
                <w:lang w:eastAsia="en-US"/>
              </w:rPr>
              <w:t>Dietă cu conținut crescut în sodiu</w:t>
            </w:r>
          </w:p>
        </w:tc>
        <w:tc>
          <w:tcPr>
            <w:tcW w:w="568" w:type="pct"/>
            <w:vAlign w:val="center"/>
          </w:tcPr>
          <w:p w14:paraId="34C3202C" w14:textId="3697722D" w:rsidR="004C5CB8" w:rsidRPr="00AE0984" w:rsidRDefault="009631A3" w:rsidP="004C5CB8">
            <w:pPr>
              <w:spacing w:line="240" w:lineRule="auto"/>
              <w:jc w:val="center"/>
              <w:rPr>
                <w:rFonts w:cs="Calibri"/>
                <w:sz w:val="20"/>
                <w:szCs w:val="20"/>
                <w:lang w:eastAsia="en-US"/>
              </w:rPr>
            </w:pPr>
            <w:r w:rsidRPr="009631A3">
              <w:rPr>
                <w:rFonts w:cs="Calibri"/>
                <w:sz w:val="20"/>
                <w:szCs w:val="20"/>
                <w:lang w:eastAsia="en-US"/>
              </w:rPr>
              <w:t>1024.31</w:t>
            </w:r>
          </w:p>
        </w:tc>
        <w:tc>
          <w:tcPr>
            <w:tcW w:w="590" w:type="pct"/>
            <w:vAlign w:val="center"/>
          </w:tcPr>
          <w:p w14:paraId="3CB60A2E" w14:textId="79A67030" w:rsidR="004C5CB8" w:rsidRPr="00AE0984" w:rsidRDefault="009631A3" w:rsidP="004C5CB8">
            <w:pPr>
              <w:spacing w:line="240" w:lineRule="auto"/>
              <w:jc w:val="center"/>
              <w:rPr>
                <w:rFonts w:cs="Calibri"/>
                <w:sz w:val="20"/>
                <w:szCs w:val="20"/>
                <w:lang w:eastAsia="en-US"/>
              </w:rPr>
            </w:pPr>
            <w:r w:rsidRPr="009631A3">
              <w:rPr>
                <w:rFonts w:cs="Calibri"/>
                <w:sz w:val="20"/>
                <w:szCs w:val="20"/>
                <w:lang w:eastAsia="en-US"/>
              </w:rPr>
              <w:t>-13.21</w:t>
            </w:r>
            <w:r>
              <w:rPr>
                <w:rFonts w:cs="Calibri"/>
                <w:sz w:val="20"/>
                <w:szCs w:val="20"/>
                <w:lang w:eastAsia="en-US"/>
              </w:rPr>
              <w:t>%</w:t>
            </w:r>
          </w:p>
        </w:tc>
      </w:tr>
      <w:tr w:rsidR="004C5CB8" w:rsidRPr="00AE0984" w14:paraId="620E6CC0" w14:textId="77777777" w:rsidTr="004C5CB8">
        <w:tc>
          <w:tcPr>
            <w:tcW w:w="835" w:type="pct"/>
            <w:vAlign w:val="center"/>
          </w:tcPr>
          <w:p w14:paraId="675021B1" w14:textId="3EFFC954" w:rsidR="004C5CB8" w:rsidRPr="00AE0984" w:rsidRDefault="00F52B90" w:rsidP="004C5CB8">
            <w:pPr>
              <w:spacing w:line="240" w:lineRule="auto"/>
              <w:rPr>
                <w:rFonts w:cs="Calibri"/>
                <w:sz w:val="20"/>
                <w:szCs w:val="20"/>
                <w:lang w:eastAsia="en-US"/>
              </w:rPr>
            </w:pPr>
            <w:r w:rsidRPr="00F52B90">
              <w:rPr>
                <w:rFonts w:cs="Calibri"/>
                <w:sz w:val="20"/>
                <w:szCs w:val="20"/>
                <w:lang w:eastAsia="en-US"/>
              </w:rPr>
              <w:t>Temperaturi scăzute</w:t>
            </w:r>
          </w:p>
        </w:tc>
        <w:tc>
          <w:tcPr>
            <w:tcW w:w="568" w:type="pct"/>
            <w:vAlign w:val="center"/>
          </w:tcPr>
          <w:p w14:paraId="0829780B" w14:textId="5D7F28D7" w:rsidR="004C5CB8" w:rsidRPr="00AE0984" w:rsidRDefault="00F52B90" w:rsidP="004C5CB8">
            <w:pPr>
              <w:spacing w:line="240" w:lineRule="auto"/>
              <w:jc w:val="center"/>
              <w:rPr>
                <w:rFonts w:cs="Calibri"/>
                <w:sz w:val="20"/>
                <w:szCs w:val="20"/>
                <w:lang w:eastAsia="en-US"/>
              </w:rPr>
            </w:pPr>
            <w:r w:rsidRPr="00F52B90">
              <w:rPr>
                <w:rFonts w:cs="Calibri"/>
                <w:sz w:val="20"/>
                <w:szCs w:val="20"/>
                <w:lang w:eastAsia="en-US"/>
              </w:rPr>
              <w:t>980.14</w:t>
            </w:r>
          </w:p>
        </w:tc>
        <w:tc>
          <w:tcPr>
            <w:tcW w:w="546" w:type="pct"/>
            <w:vAlign w:val="center"/>
          </w:tcPr>
          <w:p w14:paraId="39EEF153" w14:textId="1F171AEA" w:rsidR="004C5CB8" w:rsidRPr="00AE0984" w:rsidRDefault="00F52B90" w:rsidP="00566182">
            <w:pPr>
              <w:spacing w:line="240" w:lineRule="auto"/>
              <w:rPr>
                <w:rFonts w:cs="Calibri"/>
                <w:sz w:val="20"/>
                <w:szCs w:val="20"/>
                <w:lang w:eastAsia="en-US"/>
              </w:rPr>
            </w:pPr>
            <w:r w:rsidRPr="00D60863">
              <w:rPr>
                <w:rFonts w:cs="Calibri"/>
                <w:color w:val="E97132"/>
                <w:sz w:val="20"/>
                <w:szCs w:val="20"/>
                <w:lang w:eastAsia="en-US"/>
              </w:rPr>
              <w:t>⑩</w:t>
            </w:r>
          </w:p>
        </w:tc>
        <w:tc>
          <w:tcPr>
            <w:tcW w:w="524" w:type="pct"/>
            <w:vMerge/>
            <w:vAlign w:val="center"/>
          </w:tcPr>
          <w:p w14:paraId="1EACC0E4" w14:textId="77777777" w:rsidR="004C5CB8" w:rsidRPr="00AE0984" w:rsidRDefault="004C5CB8" w:rsidP="004C5CB8">
            <w:pPr>
              <w:spacing w:line="240" w:lineRule="auto"/>
              <w:rPr>
                <w:rFonts w:cs="Calibri"/>
                <w:sz w:val="20"/>
                <w:szCs w:val="20"/>
                <w:lang w:eastAsia="en-US"/>
              </w:rPr>
            </w:pPr>
          </w:p>
        </w:tc>
        <w:tc>
          <w:tcPr>
            <w:tcW w:w="534" w:type="pct"/>
            <w:vAlign w:val="center"/>
          </w:tcPr>
          <w:p w14:paraId="6470A618" w14:textId="10CFA9D7" w:rsidR="004C5CB8" w:rsidRPr="00AE0984" w:rsidRDefault="00B10301" w:rsidP="009631A3">
            <w:pPr>
              <w:spacing w:line="240" w:lineRule="auto"/>
              <w:jc w:val="center"/>
              <w:rPr>
                <w:rFonts w:cs="Calibri"/>
                <w:sz w:val="20"/>
                <w:szCs w:val="20"/>
                <w:lang w:eastAsia="en-US"/>
              </w:rPr>
            </w:pPr>
            <w:r w:rsidRPr="00AE0984">
              <w:rPr>
                <w:rFonts w:cs="Calibri"/>
                <w:color w:val="E97132"/>
                <w:sz w:val="20"/>
                <w:szCs w:val="20"/>
                <w:lang w:eastAsia="en-US"/>
              </w:rPr>
              <w:t>⑩</w:t>
            </w:r>
          </w:p>
        </w:tc>
        <w:tc>
          <w:tcPr>
            <w:tcW w:w="835" w:type="pct"/>
            <w:vAlign w:val="center"/>
          </w:tcPr>
          <w:p w14:paraId="50A0DA8F" w14:textId="5F371FCD" w:rsidR="004C5CB8" w:rsidRPr="00AE0984" w:rsidRDefault="00B10301" w:rsidP="004C5CB8">
            <w:pPr>
              <w:spacing w:line="240" w:lineRule="auto"/>
              <w:rPr>
                <w:rFonts w:cs="Calibri"/>
                <w:sz w:val="20"/>
                <w:szCs w:val="20"/>
                <w:lang w:eastAsia="en-US"/>
              </w:rPr>
            </w:pPr>
            <w:r w:rsidRPr="00B10301">
              <w:rPr>
                <w:rFonts w:cs="Calibri"/>
                <w:sz w:val="20"/>
                <w:szCs w:val="20"/>
                <w:lang w:eastAsia="en-US"/>
              </w:rPr>
              <w:t>Temperaturi scăzute</w:t>
            </w:r>
          </w:p>
        </w:tc>
        <w:tc>
          <w:tcPr>
            <w:tcW w:w="568" w:type="pct"/>
            <w:vAlign w:val="center"/>
          </w:tcPr>
          <w:p w14:paraId="45ED72BF" w14:textId="048C842F" w:rsidR="004C5CB8" w:rsidRPr="00AE0984" w:rsidRDefault="009631A3" w:rsidP="004C5CB8">
            <w:pPr>
              <w:spacing w:line="240" w:lineRule="auto"/>
              <w:jc w:val="center"/>
              <w:rPr>
                <w:rFonts w:cs="Calibri"/>
                <w:sz w:val="20"/>
                <w:szCs w:val="20"/>
                <w:lang w:eastAsia="en-US"/>
              </w:rPr>
            </w:pPr>
            <w:r w:rsidRPr="009631A3">
              <w:rPr>
                <w:rFonts w:cs="Calibri"/>
                <w:sz w:val="20"/>
                <w:szCs w:val="20"/>
                <w:lang w:eastAsia="en-US"/>
              </w:rPr>
              <w:t>1015.33</w:t>
            </w:r>
          </w:p>
        </w:tc>
        <w:tc>
          <w:tcPr>
            <w:tcW w:w="590" w:type="pct"/>
            <w:vAlign w:val="center"/>
          </w:tcPr>
          <w:p w14:paraId="4157D836" w14:textId="2836C078" w:rsidR="004C5CB8" w:rsidRPr="00AE0984" w:rsidRDefault="0026287E" w:rsidP="004C5CB8">
            <w:pPr>
              <w:spacing w:line="240" w:lineRule="auto"/>
              <w:jc w:val="center"/>
              <w:rPr>
                <w:rFonts w:cs="Calibri"/>
                <w:sz w:val="20"/>
                <w:szCs w:val="20"/>
                <w:lang w:eastAsia="en-US"/>
              </w:rPr>
            </w:pPr>
            <w:r>
              <w:rPr>
                <w:rFonts w:cs="Calibri"/>
                <w:sz w:val="20"/>
                <w:szCs w:val="20"/>
                <w:lang w:eastAsia="en-US"/>
              </w:rPr>
              <w:t>+</w:t>
            </w:r>
            <w:r w:rsidR="009631A3" w:rsidRPr="009631A3">
              <w:rPr>
                <w:rFonts w:cs="Calibri"/>
                <w:sz w:val="20"/>
                <w:szCs w:val="20"/>
                <w:lang w:eastAsia="en-US"/>
              </w:rPr>
              <w:t>3.59</w:t>
            </w:r>
            <w:r w:rsidR="009631A3">
              <w:rPr>
                <w:rFonts w:cs="Calibri"/>
                <w:sz w:val="20"/>
                <w:szCs w:val="20"/>
                <w:lang w:eastAsia="en-US"/>
              </w:rPr>
              <w:t>%</w:t>
            </w:r>
          </w:p>
        </w:tc>
      </w:tr>
    </w:tbl>
    <w:p w14:paraId="0EF90160" w14:textId="77777777" w:rsidR="00CD3152" w:rsidRDefault="00CD3152" w:rsidP="00CD3152">
      <w:pPr>
        <w:jc w:val="both"/>
      </w:pPr>
    </w:p>
    <w:p w14:paraId="0A5F22CE" w14:textId="4B69D36C" w:rsidR="00671F9E" w:rsidRDefault="00671F9E" w:rsidP="00CD3152">
      <w:pPr>
        <w:ind w:firstLine="708"/>
        <w:jc w:val="both"/>
      </w:pPr>
      <w:r>
        <w:t>Î</w:t>
      </w:r>
      <w:r w:rsidRPr="00671F9E">
        <w:t xml:space="preserve">n perioada 2013–2023, fumatul își menține poziția de al doilea factor de risc ca impact asupra poverii de boală în România, după hipertensiunea arterială sistolică ridicată. În anul 2023, </w:t>
      </w:r>
      <w:r>
        <w:t>fumatul</w:t>
      </w:r>
      <w:r w:rsidRPr="00671F9E">
        <w:t xml:space="preserve"> înregistrează o valoare de 2817,90 DALYs la 100.000 locuitori, comparativ cu 3142,85 DALYs la 100.000 locuitori în anul 2013, evidențiind o reducere moderată a poverii atribuibile. Cu toate acestea, poziția ierarhică rămâne neschimbată, ceea ce indică persistența fumatului ca principal factor comportamental modificabil asociat mortalității premature și dizabilității în populația României</w:t>
      </w:r>
      <w:r w:rsidR="00AC5B1C">
        <w:fldChar w:fldCharType="begin"/>
      </w:r>
      <w:r w:rsidR="00D4526D">
        <w:instrText xml:space="preserve"> ADDIN EN.CITE &lt;EndNote&gt;&lt;Cite&gt;&lt;Author&gt;IHME&lt;/Author&gt;&lt;Year&gt;2025&lt;/Year&gt;&lt;RecNum&gt;9764&lt;/RecNum&gt;&lt;DisplayText&gt;&lt;style size="10"&gt;[15]&lt;/style&gt;&lt;/DisplayText&gt;&lt;record&gt;&lt;rec-number&gt;9764&lt;/rec-number&gt;&lt;foreign-keys&gt;&lt;key app="EN" db-id="fw0prtesnvf55cepezbx255wwza5zw0ssatt" timestamp="1781675119"&gt;9764&lt;/key&gt;&lt;/foreign-keys&gt;&lt;ref-type name="Web Page"&gt;12&lt;/ref-type&gt;&lt;contributors&gt;&lt;authors&gt;&lt;author&gt;&lt;style face="normal" font="default" charset="238" size="100%"&gt;IHME&lt;/style&gt;&lt;/author&gt;&lt;/authors&gt;&lt;/contributors&gt;&lt;titles&gt;&lt;title&gt;Global Burden of Disease Study 2023&lt;/title&gt;&lt;/titles&gt;&lt;dates&gt;&lt;year&gt;&lt;style face="normal" font="default" charset="238" size="100%"&gt;2025&lt;/style&gt;&lt;/year&gt;&lt;/dates&gt;&lt;urls&gt;&lt;related-urls&gt;&lt;url&gt;https://vizhub.healthdata.org/gbd-results/&lt;/url&gt;&lt;/related-urls&gt;&lt;/urls&gt;&lt;/record&gt;&lt;/Cite&gt;&lt;/EndNote&gt;</w:instrText>
      </w:r>
      <w:r w:rsidR="00AC5B1C">
        <w:fldChar w:fldCharType="separate"/>
      </w:r>
      <w:r w:rsidR="00D4526D" w:rsidRPr="00D4526D">
        <w:rPr>
          <w:noProof/>
          <w:sz w:val="20"/>
        </w:rPr>
        <w:t>[15]</w:t>
      </w:r>
      <w:r w:rsidR="00AC5B1C">
        <w:fldChar w:fldCharType="end"/>
      </w:r>
      <w:r w:rsidRPr="00671F9E">
        <w:t>.</w:t>
      </w:r>
    </w:p>
    <w:p w14:paraId="2F6D55DC" w14:textId="77777777" w:rsidR="00671F9E" w:rsidRDefault="00671F9E" w:rsidP="00CD3152">
      <w:pPr>
        <w:ind w:firstLine="708"/>
        <w:jc w:val="both"/>
      </w:pPr>
    </w:p>
    <w:p w14:paraId="38278DEE" w14:textId="1DB270DF" w:rsidR="00CD3152" w:rsidRDefault="00CB0AB2" w:rsidP="00CD3152">
      <w:pPr>
        <w:keepNext/>
        <w:jc w:val="both"/>
      </w:pPr>
      <w:r w:rsidRPr="00CB0AB2">
        <w:rPr>
          <w:noProof/>
        </w:rPr>
        <w:drawing>
          <wp:inline distT="0" distB="0" distL="0" distR="0" wp14:anchorId="61A0E244" wp14:editId="049333CB">
            <wp:extent cx="5849620" cy="3164840"/>
            <wp:effectExtent l="0" t="0" r="0" b="0"/>
            <wp:docPr id="7352115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5211571" name=""/>
                    <pic:cNvPicPr/>
                  </pic:nvPicPr>
                  <pic:blipFill>
                    <a:blip r:embed="rId67"/>
                    <a:stretch>
                      <a:fillRect/>
                    </a:stretch>
                  </pic:blipFill>
                  <pic:spPr>
                    <a:xfrm>
                      <a:off x="0" y="0"/>
                      <a:ext cx="5849620" cy="3164840"/>
                    </a:xfrm>
                    <a:prstGeom prst="rect">
                      <a:avLst/>
                    </a:prstGeom>
                  </pic:spPr>
                </pic:pic>
              </a:graphicData>
            </a:graphic>
          </wp:inline>
        </w:drawing>
      </w:r>
    </w:p>
    <w:p w14:paraId="607CA638" w14:textId="10C6DED8" w:rsidR="00CD3152" w:rsidRDefault="00CD3152" w:rsidP="00785885">
      <w:pPr>
        <w:pStyle w:val="Caption"/>
        <w:jc w:val="center"/>
      </w:pPr>
      <w:bookmarkStart w:id="83" w:name="_Ref211576206"/>
      <w:r>
        <w:t xml:space="preserve">Figura </w:t>
      </w:r>
      <w:fldSimple w:instr=" STYLEREF 1 \s ">
        <w:r w:rsidR="0080370C">
          <w:rPr>
            <w:noProof/>
          </w:rPr>
          <w:t>III</w:t>
        </w:r>
      </w:fldSimple>
      <w:r w:rsidR="0080370C">
        <w:t>.</w:t>
      </w:r>
      <w:fldSimple w:instr=" SEQ Figura \* ARABIC \s 1 ">
        <w:r w:rsidR="0080370C">
          <w:rPr>
            <w:noProof/>
          </w:rPr>
          <w:t>7</w:t>
        </w:r>
      </w:fldSimple>
      <w:bookmarkEnd w:id="83"/>
      <w:r>
        <w:t xml:space="preserve"> </w:t>
      </w:r>
      <w:r w:rsidR="00785885">
        <w:t>Procentul anilor</w:t>
      </w:r>
      <w:r>
        <w:t xml:space="preserve"> de viață ajustați pentru dizabilitate (DALYs) atribuiți consumului de tutun, Sursa</w:t>
      </w:r>
      <w:r w:rsidRPr="001A1C0B">
        <w:rPr>
          <w:lang w:val="fr-FR"/>
        </w:rPr>
        <w:t>:</w:t>
      </w:r>
      <w:r>
        <w:t xml:space="preserve"> GBD 202</w:t>
      </w:r>
      <w:r w:rsidR="00CB0AB2">
        <w:t>3</w:t>
      </w:r>
    </w:p>
    <w:p w14:paraId="33EDB726" w14:textId="5273807F" w:rsidR="008A7029" w:rsidRDefault="00CD3152" w:rsidP="00CD3152">
      <w:pPr>
        <w:ind w:firstLine="708"/>
        <w:jc w:val="both"/>
      </w:pPr>
      <w:r w:rsidRPr="002755CC">
        <w:lastRenderedPageBreak/>
        <w:t>La nivel mondial, o mare parte din povara îmbolnăvirilor estimată prin DALY se datorează consumului de tutun, România înregistrând un procent de 1</w:t>
      </w:r>
      <w:r w:rsidR="007E0BDC">
        <w:t>1</w:t>
      </w:r>
      <w:r w:rsidRPr="002755CC">
        <w:t>.</w:t>
      </w:r>
      <w:r w:rsidR="007E0BDC">
        <w:t>87</w:t>
      </w:r>
      <w:r w:rsidRPr="002755CC">
        <w:t>% conform datelor din 20</w:t>
      </w:r>
      <w:r>
        <w:t>2</w:t>
      </w:r>
      <w:r w:rsidR="007E0BDC">
        <w:t>3</w:t>
      </w:r>
      <w:r w:rsidR="00AC5B1C">
        <w:fldChar w:fldCharType="begin"/>
      </w:r>
      <w:r w:rsidR="00D4526D">
        <w:instrText xml:space="preserve"> ADDIN EN.CITE &lt;EndNote&gt;&lt;Cite&gt;&lt;Author&gt;IHME&lt;/Author&gt;&lt;Year&gt;2025&lt;/Year&gt;&lt;RecNum&gt;9764&lt;/RecNum&gt;&lt;DisplayText&gt;&lt;style size="10"&gt;[15]&lt;/style&gt;&lt;/DisplayText&gt;&lt;record&gt;&lt;rec-number&gt;9764&lt;/rec-number&gt;&lt;foreign-keys&gt;&lt;key app="EN" db-id="fw0prtesnvf55cepezbx255wwza5zw0ssatt" timestamp="1781675119"&gt;9764&lt;/key&gt;&lt;/foreign-keys&gt;&lt;ref-type name="Web Page"&gt;12&lt;/ref-type&gt;&lt;contributors&gt;&lt;authors&gt;&lt;author&gt;&lt;style face="normal" font="default" charset="238" size="100%"&gt;IHME&lt;/style&gt;&lt;/author&gt;&lt;/authors&gt;&lt;/contributors&gt;&lt;titles&gt;&lt;title&gt;Global Burden of Disease Study 2023&lt;/title&gt;&lt;/titles&gt;&lt;dates&gt;&lt;year&gt;&lt;style face="normal" font="default" charset="238" size="100%"&gt;2025&lt;/style&gt;&lt;/year&gt;&lt;/dates&gt;&lt;urls&gt;&lt;related-urls&gt;&lt;url&gt;https://vizhub.healthdata.org/gbd-results/&lt;/url&gt;&lt;/related-urls&gt;&lt;/urls&gt;&lt;/record&gt;&lt;/Cite&gt;&lt;/EndNote&gt;</w:instrText>
      </w:r>
      <w:r w:rsidR="00AC5B1C">
        <w:fldChar w:fldCharType="separate"/>
      </w:r>
      <w:r w:rsidR="00D4526D" w:rsidRPr="00D4526D">
        <w:rPr>
          <w:noProof/>
          <w:sz w:val="20"/>
        </w:rPr>
        <w:t>[15]</w:t>
      </w:r>
      <w:r w:rsidR="00AC5B1C">
        <w:fldChar w:fldCharType="end"/>
      </w:r>
      <w:r w:rsidRPr="002755CC">
        <w:t xml:space="preserve">. </w:t>
      </w:r>
      <w:r>
        <w:t>(</w:t>
      </w:r>
      <w:r>
        <w:fldChar w:fldCharType="begin"/>
      </w:r>
      <w:r>
        <w:instrText xml:space="preserve"> REF _Ref211576206 \h </w:instrText>
      </w:r>
      <w:r>
        <w:fldChar w:fldCharType="separate"/>
      </w:r>
      <w:r>
        <w:t xml:space="preserve">Figura </w:t>
      </w:r>
      <w:r>
        <w:rPr>
          <w:noProof/>
        </w:rPr>
        <w:t>III</w:t>
      </w:r>
      <w:r>
        <w:t>.</w:t>
      </w:r>
      <w:r>
        <w:rPr>
          <w:noProof/>
        </w:rPr>
        <w:t>8</w:t>
      </w:r>
      <w:r>
        <w:fldChar w:fldCharType="end"/>
      </w:r>
      <w:r>
        <w:t>).</w:t>
      </w:r>
      <w:r w:rsidRPr="002755CC">
        <w:t xml:space="preserve"> </w:t>
      </w:r>
    </w:p>
    <w:p w14:paraId="6E5E355E" w14:textId="77777777" w:rsidR="008A7029" w:rsidRDefault="008A7029" w:rsidP="00CD3152">
      <w:pPr>
        <w:ind w:firstLine="708"/>
        <w:jc w:val="both"/>
      </w:pPr>
    </w:p>
    <w:p w14:paraId="1E4DCC14" w14:textId="568528BD" w:rsidR="001F24F8" w:rsidRDefault="00143C46" w:rsidP="00CD3152">
      <w:pPr>
        <w:ind w:firstLine="708"/>
        <w:jc w:val="both"/>
      </w:pPr>
      <w:r>
        <w:rPr>
          <w:noProof/>
        </w:rPr>
        <w:drawing>
          <wp:inline distT="0" distB="0" distL="0" distR="0" wp14:anchorId="4D78C283" wp14:editId="7D7DCB45">
            <wp:extent cx="5040000" cy="2520000"/>
            <wp:effectExtent l="0" t="0" r="8255" b="13970"/>
            <wp:docPr id="1149395977" name="Chart 1">
              <a:extLst xmlns:a="http://schemas.openxmlformats.org/drawingml/2006/main">
                <a:ext uri="{FF2B5EF4-FFF2-40B4-BE49-F238E27FC236}">
                  <a16:creationId xmlns:a16="http://schemas.microsoft.com/office/drawing/2014/main" id="{B5ECF57D-D582-4B28-9455-B8F453EE04C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inline>
        </w:drawing>
      </w:r>
    </w:p>
    <w:p w14:paraId="24F1B7EA" w14:textId="104E0B71" w:rsidR="00CD3152" w:rsidRDefault="00CD3152" w:rsidP="007164FC">
      <w:pPr>
        <w:pStyle w:val="Caption"/>
        <w:jc w:val="center"/>
      </w:pPr>
      <w:bookmarkStart w:id="84" w:name="_Ref211576316"/>
      <w:r>
        <w:t xml:space="preserve">Figura </w:t>
      </w:r>
      <w:fldSimple w:instr=" STYLEREF 1 \s ">
        <w:r w:rsidR="0080370C">
          <w:rPr>
            <w:noProof/>
          </w:rPr>
          <w:t>III</w:t>
        </w:r>
      </w:fldSimple>
      <w:r w:rsidR="0080370C">
        <w:t>.</w:t>
      </w:r>
      <w:fldSimple w:instr=" SEQ Figura \* ARABIC \s 1 ">
        <w:r w:rsidR="0080370C">
          <w:rPr>
            <w:noProof/>
          </w:rPr>
          <w:t>8</w:t>
        </w:r>
      </w:fldSimple>
      <w:bookmarkEnd w:id="84"/>
      <w:r>
        <w:t xml:space="preserve"> Număr DALYs atribuibili consumului de tutun în România, pe cauze de boală,  Sursa IHME, GBD 202</w:t>
      </w:r>
      <w:r w:rsidR="00143C46">
        <w:t>3</w:t>
      </w:r>
    </w:p>
    <w:p w14:paraId="6829421B" w14:textId="562BB374" w:rsidR="00CD3152" w:rsidRDefault="00CD3152" w:rsidP="00CD3152">
      <w:pPr>
        <w:ind w:firstLine="708"/>
        <w:jc w:val="both"/>
      </w:pPr>
      <w:r>
        <w:t xml:space="preserve">Analizând </w:t>
      </w:r>
      <w:r w:rsidRPr="004C55E5">
        <w:t>distribuția numărului de ani de viață ajustați în funcție de dizabilitate (DALYs) atribui</w:t>
      </w:r>
      <w:r>
        <w:t>bili</w:t>
      </w:r>
      <w:r w:rsidRPr="004C55E5">
        <w:t xml:space="preserve"> fumatului în România, pentru principalele categorii de afecțiuni și cauze de boală</w:t>
      </w:r>
      <w:r>
        <w:t>, se observă că principala contribuție o au DALYs datorați bolii ischemice cardiace (</w:t>
      </w:r>
      <w:r w:rsidR="00143C46" w:rsidRPr="00143C46">
        <w:t>217199</w:t>
      </w:r>
      <w:r>
        <w:t xml:space="preserve"> DALYs), accidentelor vasculare cerebrale (</w:t>
      </w:r>
      <w:r w:rsidR="00652FBB" w:rsidRPr="00652FBB">
        <w:t>10584</w:t>
      </w:r>
      <w:r w:rsidR="00652FBB">
        <w:t>4</w:t>
      </w:r>
      <w:r w:rsidRPr="00361E92">
        <w:t xml:space="preserve"> DALYs)</w:t>
      </w:r>
      <w:r>
        <w:t>), cancerului bronhopulmonar(</w:t>
      </w:r>
      <w:r w:rsidR="00652FBB" w:rsidRPr="00652FBB">
        <w:t>18189</w:t>
      </w:r>
      <w:r w:rsidR="00652FBB">
        <w:t xml:space="preserve">1 </w:t>
      </w:r>
      <w:r w:rsidRPr="00361E92">
        <w:t>DALYs)</w:t>
      </w:r>
      <w:r>
        <w:t>), BPOC (</w:t>
      </w:r>
      <w:r w:rsidR="00652FBB" w:rsidRPr="00652FBB">
        <w:t>84998</w:t>
      </w:r>
      <w:r w:rsidRPr="00361E92">
        <w:t xml:space="preserve"> DALYs)</w:t>
      </w:r>
      <w:r>
        <w:t>) și cancerului de laringe (</w:t>
      </w:r>
      <w:r w:rsidR="00652FBB" w:rsidRPr="00652FBB">
        <w:t>21624</w:t>
      </w:r>
      <w:r w:rsidR="00652FBB">
        <w:t xml:space="preserve"> </w:t>
      </w:r>
      <w:r w:rsidRPr="00361E92">
        <w:t>DALYs)</w:t>
      </w:r>
      <w:r>
        <w:t>) (</w:t>
      </w:r>
      <w:r>
        <w:fldChar w:fldCharType="begin"/>
      </w:r>
      <w:r>
        <w:instrText xml:space="preserve"> REF _Ref211576316 \h </w:instrText>
      </w:r>
      <w:r>
        <w:fldChar w:fldCharType="separate"/>
      </w:r>
      <w:r>
        <w:t xml:space="preserve">Figura </w:t>
      </w:r>
      <w:r>
        <w:rPr>
          <w:noProof/>
        </w:rPr>
        <w:t>III</w:t>
      </w:r>
      <w:r>
        <w:t>.</w:t>
      </w:r>
      <w:r>
        <w:rPr>
          <w:noProof/>
        </w:rPr>
        <w:t>9</w:t>
      </w:r>
      <w:r>
        <w:fldChar w:fldCharType="end"/>
      </w:r>
      <w:r>
        <w:t>).</w:t>
      </w:r>
    </w:p>
    <w:p w14:paraId="4C38D14C" w14:textId="60B2E496" w:rsidR="007164FC" w:rsidRDefault="007164FC" w:rsidP="00CD3152">
      <w:pPr>
        <w:ind w:firstLine="708"/>
        <w:jc w:val="both"/>
      </w:pPr>
      <w:r>
        <w:rPr>
          <w:noProof/>
        </w:rPr>
        <w:drawing>
          <wp:inline distT="0" distB="0" distL="0" distR="0" wp14:anchorId="49F847BA" wp14:editId="60493B14">
            <wp:extent cx="5039995" cy="2689860"/>
            <wp:effectExtent l="0" t="0" r="8255" b="15240"/>
            <wp:docPr id="1731213227" name="Chart 1">
              <a:extLst xmlns:a="http://schemas.openxmlformats.org/drawingml/2006/main">
                <a:ext uri="{FF2B5EF4-FFF2-40B4-BE49-F238E27FC236}">
                  <a16:creationId xmlns:a16="http://schemas.microsoft.com/office/drawing/2014/main" id="{92249210-B555-4212-8176-29AEA730B64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inline>
        </w:drawing>
      </w:r>
    </w:p>
    <w:p w14:paraId="6F3A6B67" w14:textId="12370C16" w:rsidR="00CD3152" w:rsidRDefault="00CD3152" w:rsidP="007164FC">
      <w:pPr>
        <w:pStyle w:val="Caption"/>
        <w:jc w:val="center"/>
      </w:pPr>
      <w:bookmarkStart w:id="85" w:name="_Ref211576566"/>
      <w:r>
        <w:t xml:space="preserve">Figura </w:t>
      </w:r>
      <w:fldSimple w:instr=" STYLEREF 1 \s ">
        <w:r w:rsidR="0080370C">
          <w:rPr>
            <w:noProof/>
          </w:rPr>
          <w:t>III</w:t>
        </w:r>
      </w:fldSimple>
      <w:r w:rsidR="0080370C">
        <w:t>.</w:t>
      </w:r>
      <w:fldSimple w:instr=" SEQ Figura \* ARABIC \s 1 ">
        <w:r w:rsidR="0080370C">
          <w:rPr>
            <w:noProof/>
          </w:rPr>
          <w:t>9</w:t>
        </w:r>
      </w:fldSimple>
      <w:bookmarkEnd w:id="85"/>
      <w:r>
        <w:t xml:space="preserve"> Procent DALYs din total DALYs per cauze de boală, România comparativ cu media Europa, </w:t>
      </w:r>
      <w:r w:rsidRPr="00D617C0">
        <w:t>Sursa IHME, GBD 202</w:t>
      </w:r>
      <w:r w:rsidR="007164FC">
        <w:t>3</w:t>
      </w:r>
    </w:p>
    <w:p w14:paraId="2F37501F" w14:textId="77777777" w:rsidR="00CD3152" w:rsidRDefault="00CD3152" w:rsidP="00CD3152">
      <w:pPr>
        <w:ind w:firstLine="708"/>
        <w:jc w:val="both"/>
      </w:pPr>
      <w:r>
        <w:t>În România, pierderea totală de ani sănătoși datorată fumatului este concentrată în principal în afecțiunile maligne și respiratorii, unde contribuția tutunului depășește 40–80% din totalul DALYs aferenți acestor boli.</w:t>
      </w:r>
    </w:p>
    <w:p w14:paraId="780978EB" w14:textId="0586BBCB" w:rsidR="00CD3152" w:rsidRDefault="00CD3152" w:rsidP="00CD3152">
      <w:pPr>
        <w:ind w:firstLine="708"/>
        <w:jc w:val="both"/>
      </w:pPr>
      <w:r>
        <w:t>Cele mai mari ponderi ale DALYs atribuiți fumatului se datorează: cancerului de laringe (7</w:t>
      </w:r>
      <w:r w:rsidR="00E84402">
        <w:t>9</w:t>
      </w:r>
      <w:r>
        <w:t>,</w:t>
      </w:r>
      <w:r w:rsidR="00E84402">
        <w:t>95</w:t>
      </w:r>
      <w:r>
        <w:t>% în România vs. 7</w:t>
      </w:r>
      <w:r w:rsidR="00E84402">
        <w:t>6,63</w:t>
      </w:r>
      <w:r>
        <w:t>% în Europa), cancerului bronhopulmonar (</w:t>
      </w:r>
      <w:r w:rsidR="00E84402">
        <w:t>70,61</w:t>
      </w:r>
      <w:r>
        <w:t>% vs. 67,</w:t>
      </w:r>
      <w:r w:rsidR="00E84402">
        <w:t>47</w:t>
      </w:r>
      <w:r>
        <w:t xml:space="preserve">%), și altor neoplasme </w:t>
      </w:r>
      <w:r>
        <w:lastRenderedPageBreak/>
        <w:t>ale faringelui (</w:t>
      </w:r>
      <w:r w:rsidR="00E84402">
        <w:t>51</w:t>
      </w:r>
      <w:r>
        <w:t>% vs. 4</w:t>
      </w:r>
      <w:r w:rsidR="00E84402">
        <w:t>6</w:t>
      </w:r>
      <w:r>
        <w:t>,2</w:t>
      </w:r>
      <w:r w:rsidR="00E84402">
        <w:t>9</w:t>
      </w:r>
      <w:r>
        <w:t>%), anevrismului aortic (4</w:t>
      </w:r>
      <w:r w:rsidR="00E84402">
        <w:t>7</w:t>
      </w:r>
      <w:r>
        <w:t>% vs 45,</w:t>
      </w:r>
      <w:r w:rsidR="00E84402">
        <w:t>42</w:t>
      </w:r>
      <w:r>
        <w:t>%) și BPOC (4</w:t>
      </w:r>
      <w:r w:rsidR="00E84402">
        <w:t>6</w:t>
      </w:r>
      <w:r>
        <w:t>,</w:t>
      </w:r>
      <w:r w:rsidR="00E84402">
        <w:t>01</w:t>
      </w:r>
      <w:r>
        <w:t>% vs 4</w:t>
      </w:r>
      <w:r w:rsidR="00E84402">
        <w:t>3</w:t>
      </w:r>
      <w:r>
        <w:t>,</w:t>
      </w:r>
      <w:r w:rsidR="00E84402">
        <w:t>70</w:t>
      </w:r>
      <w:r>
        <w:t>%)</w:t>
      </w:r>
      <w:r w:rsidR="00657AE1">
        <w:t xml:space="preserve"> </w:t>
      </w:r>
      <w:r>
        <w:t>(</w:t>
      </w:r>
      <w:r>
        <w:fldChar w:fldCharType="begin"/>
      </w:r>
      <w:r>
        <w:instrText xml:space="preserve"> REF _Ref211576566 \h </w:instrText>
      </w:r>
      <w:r>
        <w:fldChar w:fldCharType="separate"/>
      </w:r>
      <w:r>
        <w:t xml:space="preserve">Figura </w:t>
      </w:r>
      <w:r>
        <w:rPr>
          <w:noProof/>
        </w:rPr>
        <w:t>III</w:t>
      </w:r>
      <w:r>
        <w:t>.</w:t>
      </w:r>
      <w:r>
        <w:rPr>
          <w:noProof/>
        </w:rPr>
        <w:t>10</w:t>
      </w:r>
      <w:r>
        <w:fldChar w:fldCharType="end"/>
      </w:r>
      <w:r>
        <w:t>).</w:t>
      </w:r>
    </w:p>
    <w:p w14:paraId="34A74D14" w14:textId="5EDB9C15" w:rsidR="00657AE1" w:rsidRDefault="00657AE1" w:rsidP="00CD3152">
      <w:pPr>
        <w:ind w:firstLine="708"/>
        <w:jc w:val="both"/>
      </w:pPr>
      <w:r>
        <w:rPr>
          <w:noProof/>
        </w:rPr>
        <w:drawing>
          <wp:inline distT="0" distB="0" distL="0" distR="0" wp14:anchorId="29FFC6D2" wp14:editId="1AE383DC">
            <wp:extent cx="5759450" cy="2834640"/>
            <wp:effectExtent l="0" t="0" r="12700" b="3810"/>
            <wp:docPr id="1802665868" name="Chart 1">
              <a:extLst xmlns:a="http://schemas.openxmlformats.org/drawingml/2006/main">
                <a:ext uri="{FF2B5EF4-FFF2-40B4-BE49-F238E27FC236}">
                  <a16:creationId xmlns:a16="http://schemas.microsoft.com/office/drawing/2014/main" id="{95986C5D-177E-440D-BBA8-7C51D2EAE48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inline>
        </w:drawing>
      </w:r>
    </w:p>
    <w:p w14:paraId="68F7AACD" w14:textId="5F951EC7" w:rsidR="00CD3152" w:rsidRDefault="00CD3152" w:rsidP="00141368">
      <w:pPr>
        <w:pStyle w:val="Caption"/>
        <w:jc w:val="center"/>
      </w:pPr>
      <w:bookmarkStart w:id="86" w:name="_Ref211577101"/>
      <w:r>
        <w:t xml:space="preserve">Figura </w:t>
      </w:r>
      <w:fldSimple w:instr=" STYLEREF 1 \s ">
        <w:r w:rsidR="0080370C">
          <w:rPr>
            <w:noProof/>
          </w:rPr>
          <w:t>III</w:t>
        </w:r>
      </w:fldSimple>
      <w:r w:rsidR="0080370C">
        <w:t>.</w:t>
      </w:r>
      <w:fldSimple w:instr=" SEQ Figura \* ARABIC \s 1 ">
        <w:r w:rsidR="0080370C">
          <w:rPr>
            <w:noProof/>
          </w:rPr>
          <w:t>10</w:t>
        </w:r>
      </w:fldSimple>
      <w:bookmarkEnd w:id="86"/>
      <w:r w:rsidRPr="00194281">
        <w:t xml:space="preserve"> </w:t>
      </w:r>
      <w:r>
        <w:t>Rate standardizate cu vârsta pentru</w:t>
      </w:r>
      <w:r w:rsidRPr="00194281">
        <w:t xml:space="preserve"> DALYs per cauze de boală, România comparativ cu media Europa, Sursa IHME, GBD 202</w:t>
      </w:r>
      <w:r w:rsidR="00141368">
        <w:t>3</w:t>
      </w:r>
    </w:p>
    <w:p w14:paraId="00605AD6" w14:textId="4D02A86B" w:rsidR="00CD3152" w:rsidRDefault="00CD3152" w:rsidP="00CD3152">
      <w:pPr>
        <w:ind w:firstLine="708"/>
        <w:jc w:val="both"/>
      </w:pPr>
      <w:r w:rsidRPr="00467E8A">
        <w:t xml:space="preserve">Ratele de </w:t>
      </w:r>
      <w:r>
        <w:t>DALYs</w:t>
      </w:r>
      <w:r w:rsidRPr="00467E8A">
        <w:t xml:space="preserve"> standardizate cu vârsta în România, atribuibil</w:t>
      </w:r>
      <w:r>
        <w:t>i</w:t>
      </w:r>
      <w:r w:rsidRPr="00467E8A">
        <w:t xml:space="preserve"> fumatului pasiv</w:t>
      </w:r>
      <w:r>
        <w:t>,</w:t>
      </w:r>
      <w:r w:rsidRPr="00467E8A">
        <w:t xml:space="preserve"> sunt peste media europeană atât pentru total decese de toate cauzele de boală (</w:t>
      </w:r>
      <w:r>
        <w:t>2</w:t>
      </w:r>
      <w:r w:rsidR="00141368">
        <w:t>817,90</w:t>
      </w:r>
      <w:r w:rsidRPr="00467E8A">
        <w:t xml:space="preserve"> la 100000 locuitori vs </w:t>
      </w:r>
      <w:r w:rsidR="00141368">
        <w:t>17</w:t>
      </w:r>
      <w:r>
        <w:t>73,</w:t>
      </w:r>
      <w:r w:rsidR="00141368">
        <w:t>48</w:t>
      </w:r>
      <w:r w:rsidRPr="00467E8A">
        <w:t xml:space="preserve"> la 100000 locuitori), cât și în cazul bolilor cardiovasculare</w:t>
      </w:r>
      <w:r>
        <w:t xml:space="preserve"> (</w:t>
      </w:r>
      <w:r w:rsidR="00141368">
        <w:t>1000,67</w:t>
      </w:r>
      <w:r>
        <w:t xml:space="preserve"> vs </w:t>
      </w:r>
      <w:r w:rsidR="00141368">
        <w:t>461</w:t>
      </w:r>
      <w:r>
        <w:t>,10)</w:t>
      </w:r>
      <w:r w:rsidRPr="00467E8A">
        <w:t xml:space="preserve"> neoplasmelor </w:t>
      </w:r>
      <w:r>
        <w:t>(9</w:t>
      </w:r>
      <w:r w:rsidR="00141368">
        <w:t>27</w:t>
      </w:r>
      <w:r>
        <w:t>,</w:t>
      </w:r>
      <w:r w:rsidR="00141368">
        <w:t>50</w:t>
      </w:r>
      <w:r>
        <w:t xml:space="preserve"> vs 7</w:t>
      </w:r>
      <w:r w:rsidR="00141368">
        <w:t>21</w:t>
      </w:r>
      <w:r>
        <w:t>,</w:t>
      </w:r>
      <w:r w:rsidR="00141368">
        <w:t>66</w:t>
      </w:r>
      <w:r>
        <w:t xml:space="preserve">) </w:t>
      </w:r>
      <w:r w:rsidRPr="00467E8A">
        <w:t>și afecțiunilor cronice respiratorii</w:t>
      </w:r>
      <w:r>
        <w:t xml:space="preserve"> (2</w:t>
      </w:r>
      <w:r w:rsidR="00141368">
        <w:t>65,19</w:t>
      </w:r>
      <w:r>
        <w:t xml:space="preserve"> vs </w:t>
      </w:r>
      <w:r w:rsidR="00141368">
        <w:t>205,77</w:t>
      </w:r>
      <w:r>
        <w:t>) (</w:t>
      </w:r>
      <w:r>
        <w:fldChar w:fldCharType="begin"/>
      </w:r>
      <w:r>
        <w:instrText xml:space="preserve"> REF _Ref211577101 \h </w:instrText>
      </w:r>
      <w:r>
        <w:fldChar w:fldCharType="separate"/>
      </w:r>
      <w:r>
        <w:t xml:space="preserve">Figura </w:t>
      </w:r>
      <w:r>
        <w:rPr>
          <w:noProof/>
        </w:rPr>
        <w:t>III</w:t>
      </w:r>
      <w:r>
        <w:t>.</w:t>
      </w:r>
      <w:r>
        <w:rPr>
          <w:noProof/>
        </w:rPr>
        <w:t>11</w:t>
      </w:r>
      <w:r>
        <w:fldChar w:fldCharType="end"/>
      </w:r>
      <w:r>
        <w:t>).</w:t>
      </w:r>
    </w:p>
    <w:p w14:paraId="5AEB8998" w14:textId="6B401F57" w:rsidR="00497D21" w:rsidRDefault="00497D21" w:rsidP="00CD3152">
      <w:pPr>
        <w:ind w:firstLine="708"/>
        <w:jc w:val="both"/>
      </w:pPr>
      <w:r>
        <w:rPr>
          <w:noProof/>
        </w:rPr>
        <w:drawing>
          <wp:inline distT="0" distB="0" distL="0" distR="0" wp14:anchorId="15FF4B2A" wp14:editId="6FC2441B">
            <wp:extent cx="5039995" cy="3002280"/>
            <wp:effectExtent l="0" t="0" r="8255" b="7620"/>
            <wp:docPr id="1855381371" name="Chart 1">
              <a:extLst xmlns:a="http://schemas.openxmlformats.org/drawingml/2006/main">
                <a:ext uri="{FF2B5EF4-FFF2-40B4-BE49-F238E27FC236}">
                  <a16:creationId xmlns:a16="http://schemas.microsoft.com/office/drawing/2014/main" id="{36922683-74C8-4483-B1EA-96EC815FF6C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1"/>
              </a:graphicData>
            </a:graphic>
          </wp:inline>
        </w:drawing>
      </w:r>
    </w:p>
    <w:p w14:paraId="3153CC2D" w14:textId="72EE4FB0" w:rsidR="00CD3152" w:rsidRDefault="00CD3152" w:rsidP="00497D21">
      <w:pPr>
        <w:pStyle w:val="Caption"/>
        <w:jc w:val="center"/>
      </w:pPr>
      <w:bookmarkStart w:id="87" w:name="_Ref211576612"/>
      <w:r>
        <w:t xml:space="preserve">Figura </w:t>
      </w:r>
      <w:fldSimple w:instr=" STYLEREF 1 \s ">
        <w:r w:rsidR="0080370C">
          <w:rPr>
            <w:noProof/>
          </w:rPr>
          <w:t>III</w:t>
        </w:r>
      </w:fldSimple>
      <w:r w:rsidR="0080370C">
        <w:t>.</w:t>
      </w:r>
      <w:fldSimple w:instr=" SEQ Figura \* ARABIC \s 1 ">
        <w:r w:rsidR="0080370C">
          <w:rPr>
            <w:noProof/>
          </w:rPr>
          <w:t>11</w:t>
        </w:r>
      </w:fldSimple>
      <w:bookmarkEnd w:id="87"/>
      <w:r>
        <w:t xml:space="preserve"> </w:t>
      </w:r>
      <w:r w:rsidRPr="00F00B0E">
        <w:t xml:space="preserve">Număr DALYs atribuibili fumatului </w:t>
      </w:r>
      <w:r>
        <w:t xml:space="preserve">pasiv, </w:t>
      </w:r>
      <w:r w:rsidRPr="00F00B0E">
        <w:t>pe cauze de boală, România,  Sursa IHME, GBD 202</w:t>
      </w:r>
      <w:r w:rsidR="00497D21">
        <w:t>3</w:t>
      </w:r>
    </w:p>
    <w:p w14:paraId="76CCB12D" w14:textId="7C31014D" w:rsidR="00CD3152" w:rsidRDefault="00CD3152" w:rsidP="00CD3152">
      <w:pPr>
        <w:ind w:firstLine="708"/>
        <w:jc w:val="both"/>
      </w:pPr>
      <w:r>
        <w:t>Cel mai mare număr de ani de viață pierduți din cauza dizabilității cauzate de boli atribuibile fumatului pasiv este aferent bolii ischemice cardiace (</w:t>
      </w:r>
      <w:r w:rsidR="00497D21" w:rsidRPr="00497D21">
        <w:t>53908</w:t>
      </w:r>
      <w:r>
        <w:t xml:space="preserve"> DALYs), AVC (</w:t>
      </w:r>
      <w:r w:rsidR="00C527CD" w:rsidRPr="00C527CD">
        <w:t>2697</w:t>
      </w:r>
      <w:r w:rsidR="00C527CD">
        <w:t>5</w:t>
      </w:r>
      <w:r w:rsidRPr="00C67276">
        <w:t xml:space="preserve"> DALYs</w:t>
      </w:r>
      <w:r>
        <w:t>), cancer bronhopulmonar (</w:t>
      </w:r>
      <w:r w:rsidR="00C527CD" w:rsidRPr="00C527CD">
        <w:t>21313</w:t>
      </w:r>
      <w:r w:rsidR="00C527CD">
        <w:t xml:space="preserve"> </w:t>
      </w:r>
      <w:r w:rsidRPr="00C67276">
        <w:t>DALYs</w:t>
      </w:r>
      <w:r>
        <w:t>) și BPOC (</w:t>
      </w:r>
      <w:r w:rsidR="00C527CD" w:rsidRPr="00C527CD">
        <w:t>21313</w:t>
      </w:r>
      <w:r w:rsidRPr="00C67276">
        <w:t xml:space="preserve"> DALYs</w:t>
      </w:r>
      <w:r>
        <w:t>)(</w:t>
      </w:r>
      <w:r>
        <w:fldChar w:fldCharType="begin"/>
      </w:r>
      <w:r>
        <w:instrText xml:space="preserve"> REF _Ref211576612 \h </w:instrText>
      </w:r>
      <w:r>
        <w:fldChar w:fldCharType="separate"/>
      </w:r>
      <w:r>
        <w:t xml:space="preserve">Figura </w:t>
      </w:r>
      <w:r>
        <w:rPr>
          <w:noProof/>
        </w:rPr>
        <w:t>III</w:t>
      </w:r>
      <w:r>
        <w:t>.</w:t>
      </w:r>
      <w:r>
        <w:rPr>
          <w:noProof/>
        </w:rPr>
        <w:t>12</w:t>
      </w:r>
      <w:r>
        <w:fldChar w:fldCharType="end"/>
      </w:r>
      <w:r>
        <w:t>).</w:t>
      </w:r>
    </w:p>
    <w:p w14:paraId="3AE95411" w14:textId="77777777" w:rsidR="00C527CD" w:rsidRDefault="00C527CD" w:rsidP="00CD3152">
      <w:pPr>
        <w:ind w:firstLine="708"/>
        <w:jc w:val="both"/>
      </w:pPr>
    </w:p>
    <w:p w14:paraId="68BE5019" w14:textId="09845892" w:rsidR="00C527CD" w:rsidRDefault="00C527CD" w:rsidP="00CD3152">
      <w:pPr>
        <w:ind w:firstLine="708"/>
        <w:jc w:val="both"/>
      </w:pPr>
      <w:r>
        <w:rPr>
          <w:noProof/>
        </w:rPr>
        <w:lastRenderedPageBreak/>
        <w:drawing>
          <wp:inline distT="0" distB="0" distL="0" distR="0" wp14:anchorId="35469FFF" wp14:editId="064BBA72">
            <wp:extent cx="5039995" cy="2865120"/>
            <wp:effectExtent l="0" t="0" r="8255" b="11430"/>
            <wp:docPr id="840801748" name="Chart 1">
              <a:extLst xmlns:a="http://schemas.openxmlformats.org/drawingml/2006/main">
                <a:ext uri="{FF2B5EF4-FFF2-40B4-BE49-F238E27FC236}">
                  <a16:creationId xmlns:a16="http://schemas.microsoft.com/office/drawing/2014/main" id="{D7519CA0-9A61-4CA9-94C8-C005435E33F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2"/>
              </a:graphicData>
            </a:graphic>
          </wp:inline>
        </w:drawing>
      </w:r>
    </w:p>
    <w:p w14:paraId="549C79CB" w14:textId="59B9D9F7" w:rsidR="00CD3152" w:rsidRPr="00F00B0E" w:rsidRDefault="00CD3152" w:rsidP="00C527CD">
      <w:pPr>
        <w:pStyle w:val="Caption"/>
        <w:jc w:val="center"/>
      </w:pPr>
      <w:bookmarkStart w:id="88" w:name="_Ref211576682"/>
      <w:r>
        <w:t xml:space="preserve">Figura </w:t>
      </w:r>
      <w:fldSimple w:instr=" STYLEREF 1 \s ">
        <w:r w:rsidR="0080370C">
          <w:rPr>
            <w:noProof/>
          </w:rPr>
          <w:t>III</w:t>
        </w:r>
      </w:fldSimple>
      <w:r w:rsidR="0080370C">
        <w:t>.</w:t>
      </w:r>
      <w:fldSimple w:instr=" SEQ Figura \* ARABIC \s 1 ">
        <w:r w:rsidR="0080370C">
          <w:rPr>
            <w:noProof/>
          </w:rPr>
          <w:t>12</w:t>
        </w:r>
      </w:fldSimple>
      <w:bookmarkEnd w:id="88"/>
      <w:r w:rsidRPr="001F1631">
        <w:t xml:space="preserve"> </w:t>
      </w:r>
      <w:r>
        <w:t>P</w:t>
      </w:r>
      <w:r w:rsidRPr="001F1631">
        <w:t xml:space="preserve">rocent DALYs </w:t>
      </w:r>
      <w:r>
        <w:t xml:space="preserve">atribuibili fumat pasiv </w:t>
      </w:r>
      <w:r w:rsidRPr="001F1631">
        <w:t>din total DALYs pe cauze de boală, România comparativ cu media Europa, Sursa IHME, GBD 202</w:t>
      </w:r>
      <w:r w:rsidR="00C527CD">
        <w:t>3</w:t>
      </w:r>
    </w:p>
    <w:p w14:paraId="11F94B72" w14:textId="1714A0BE" w:rsidR="00CD3152" w:rsidRDefault="00CD3152" w:rsidP="00CD3152">
      <w:pPr>
        <w:ind w:firstLine="708"/>
        <w:jc w:val="both"/>
      </w:pPr>
      <w:r>
        <w:t>În România, c</w:t>
      </w:r>
      <w:r w:rsidRPr="007C5A70">
        <w:t xml:space="preserve">ele mai mari ponderi ale DALYs atribuiți fumatului </w:t>
      </w:r>
      <w:r>
        <w:t>pasiv sunt în cazul BPOC</w:t>
      </w:r>
      <w:r w:rsidRPr="007C5A70">
        <w:t xml:space="preserve"> (</w:t>
      </w:r>
      <w:r w:rsidR="00C527CD">
        <w:t>9</w:t>
      </w:r>
      <w:r w:rsidRPr="007C5A70">
        <w:t xml:space="preserve">%), </w:t>
      </w:r>
      <w:r>
        <w:t>diabet zaharat (</w:t>
      </w:r>
      <w:r w:rsidR="00C527CD">
        <w:t>8</w:t>
      </w:r>
      <w:r>
        <w:t xml:space="preserve">%), </w:t>
      </w:r>
      <w:r w:rsidRPr="007C5A70">
        <w:t>cancerul bronhopulmonar</w:t>
      </w:r>
      <w:r w:rsidR="00C527CD">
        <w:t xml:space="preserve"> (8%)</w:t>
      </w:r>
      <w:r w:rsidRPr="007C5A70">
        <w:t xml:space="preserve">, </w:t>
      </w:r>
      <w:r>
        <w:t>b</w:t>
      </w:r>
      <w:r w:rsidR="00C2232B">
        <w:t>oala</w:t>
      </w:r>
      <w:r>
        <w:t xml:space="preserve"> ischemică cardiacă și AVC (fiecare cu </w:t>
      </w:r>
      <w:r w:rsidR="00C2232B">
        <w:t>6</w:t>
      </w:r>
      <w:r>
        <w:t>%) și boli cardiovasculare (</w:t>
      </w:r>
      <w:r w:rsidR="00C2232B">
        <w:t>4</w:t>
      </w:r>
      <w:r>
        <w:t>%)</w:t>
      </w:r>
      <w:r w:rsidR="00C2232B">
        <w:t xml:space="preserve"> </w:t>
      </w:r>
      <w:r>
        <w:t>(</w:t>
      </w:r>
      <w:r>
        <w:fldChar w:fldCharType="begin"/>
      </w:r>
      <w:r>
        <w:instrText xml:space="preserve"> REF _Ref211576682 \h </w:instrText>
      </w:r>
      <w:r>
        <w:fldChar w:fldCharType="separate"/>
      </w:r>
      <w:r>
        <w:t xml:space="preserve">Figura </w:t>
      </w:r>
      <w:r>
        <w:rPr>
          <w:noProof/>
        </w:rPr>
        <w:t>III</w:t>
      </w:r>
      <w:r>
        <w:t>.</w:t>
      </w:r>
      <w:r>
        <w:rPr>
          <w:noProof/>
        </w:rPr>
        <w:t>13</w:t>
      </w:r>
      <w:r>
        <w:fldChar w:fldCharType="end"/>
      </w:r>
      <w:r>
        <w:t>).</w:t>
      </w:r>
    </w:p>
    <w:p w14:paraId="23D02111" w14:textId="77777777" w:rsidR="00CD3152" w:rsidRDefault="00CD3152" w:rsidP="00CD3152">
      <w:pPr>
        <w:pStyle w:val="Caption"/>
        <w:keepNext/>
      </w:pPr>
    </w:p>
    <w:p w14:paraId="66750DB3" w14:textId="77777777" w:rsidR="00FC6244" w:rsidRPr="00FC6244" w:rsidRDefault="00FC6244" w:rsidP="00FC6244"/>
    <w:p w14:paraId="02915C0D" w14:textId="65731C13" w:rsidR="00CD3152" w:rsidRDefault="00CD3152" w:rsidP="00CD3152">
      <w:pPr>
        <w:pStyle w:val="Caption"/>
        <w:keepNext/>
        <w:jc w:val="both"/>
      </w:pPr>
      <w:bookmarkStart w:id="89" w:name="_Ref211576718"/>
      <w:r>
        <w:t xml:space="preserve">Tabel </w:t>
      </w:r>
      <w:fldSimple w:instr=" STYLEREF 1 \s ">
        <w:r w:rsidR="00501624">
          <w:rPr>
            <w:noProof/>
          </w:rPr>
          <w:t>III</w:t>
        </w:r>
      </w:fldSimple>
      <w:r w:rsidR="00501624">
        <w:noBreakHyphen/>
      </w:r>
      <w:fldSimple w:instr=" SEQ Tabel \* ARABIC \s 1 ">
        <w:r w:rsidR="00501624">
          <w:rPr>
            <w:noProof/>
          </w:rPr>
          <w:t>3</w:t>
        </w:r>
      </w:fldSimple>
      <w:bookmarkEnd w:id="89"/>
      <w:r w:rsidRPr="00B15222">
        <w:t xml:space="preserve"> </w:t>
      </w:r>
      <w:r>
        <w:t>Povara îmbolnăvirii (rate standardizate în funcție de vârstă) atribuibile fumatului în România, în funcție de cauze de îmbolnăvire și de gen, Sursa: GBD 202</w:t>
      </w:r>
      <w:r w:rsidR="007A5780">
        <w:t>3</w:t>
      </w:r>
    </w:p>
    <w:p w14:paraId="1D850E28" w14:textId="77777777" w:rsidR="00CD3152" w:rsidRPr="00467E8A" w:rsidRDefault="00CD3152" w:rsidP="00CD3152">
      <w:pPr>
        <w:pStyle w:val="Caption"/>
        <w:keepNext/>
        <w:rPr>
          <w:i/>
          <w:iCs/>
          <w:sz w:val="16"/>
          <w:szCs w:val="16"/>
        </w:rPr>
      </w:pPr>
      <w:r>
        <w:t xml:space="preserve">* </w:t>
      </w:r>
      <w:r w:rsidRPr="00467E8A">
        <w:rPr>
          <w:i/>
          <w:iCs/>
          <w:sz w:val="16"/>
          <w:szCs w:val="16"/>
        </w:rPr>
        <w:t>Rate standardizate cu vârsta, DALYs la 100000 loc</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49"/>
        <w:gridCol w:w="1506"/>
        <w:gridCol w:w="1530"/>
        <w:gridCol w:w="1440"/>
        <w:gridCol w:w="1377"/>
      </w:tblGrid>
      <w:tr w:rsidR="00CD3152" w:rsidRPr="00882D06" w14:paraId="44AE3DD8" w14:textId="77777777" w:rsidTr="00F032B4">
        <w:trPr>
          <w:trHeight w:hRule="exact" w:val="284"/>
          <w:jc w:val="center"/>
        </w:trPr>
        <w:tc>
          <w:tcPr>
            <w:tcW w:w="3349" w:type="dxa"/>
          </w:tcPr>
          <w:p w14:paraId="147CC730" w14:textId="77777777" w:rsidR="00CD3152" w:rsidRPr="005948E8" w:rsidRDefault="00CD3152" w:rsidP="00F032B4">
            <w:pPr>
              <w:spacing w:line="240" w:lineRule="auto"/>
              <w:ind w:left="-288"/>
              <w:rPr>
                <w:rFonts w:cs="Calibri"/>
                <w:noProof/>
                <w:szCs w:val="24"/>
                <w:lang w:val="en-US" w:eastAsia="en-US"/>
              </w:rPr>
            </w:pPr>
          </w:p>
        </w:tc>
        <w:tc>
          <w:tcPr>
            <w:tcW w:w="3036" w:type="dxa"/>
            <w:gridSpan w:val="2"/>
          </w:tcPr>
          <w:p w14:paraId="11F23ED4" w14:textId="77777777" w:rsidR="00CD3152" w:rsidRPr="005948E8" w:rsidRDefault="00CD3152" w:rsidP="00F032B4">
            <w:pPr>
              <w:spacing w:line="240" w:lineRule="auto"/>
              <w:ind w:left="-288"/>
              <w:jc w:val="center"/>
              <w:rPr>
                <w:rFonts w:cs="Calibri"/>
                <w:b/>
                <w:bCs/>
                <w:noProof/>
                <w:szCs w:val="24"/>
                <w:lang w:val="en-US" w:eastAsia="en-US"/>
              </w:rPr>
            </w:pPr>
            <w:r>
              <w:rPr>
                <w:rFonts w:cs="Calibri"/>
                <w:b/>
                <w:bCs/>
                <w:noProof/>
                <w:szCs w:val="24"/>
                <w:lang w:val="en-US" w:eastAsia="en-US"/>
              </w:rPr>
              <w:t>Ro - DALYs</w:t>
            </w:r>
            <w:r w:rsidRPr="005948E8">
              <w:rPr>
                <w:rFonts w:cs="Calibri"/>
                <w:b/>
                <w:bCs/>
                <w:noProof/>
                <w:szCs w:val="24"/>
                <w:lang w:val="en-US" w:eastAsia="en-US"/>
              </w:rPr>
              <w:t xml:space="preserve"> * </w:t>
            </w:r>
          </w:p>
        </w:tc>
        <w:tc>
          <w:tcPr>
            <w:tcW w:w="2817" w:type="dxa"/>
            <w:gridSpan w:val="2"/>
          </w:tcPr>
          <w:p w14:paraId="1560FBF2" w14:textId="77777777" w:rsidR="00CD3152" w:rsidRPr="005948E8" w:rsidRDefault="00CD3152" w:rsidP="00F032B4">
            <w:pPr>
              <w:spacing w:line="240" w:lineRule="auto"/>
              <w:ind w:left="-288"/>
              <w:jc w:val="center"/>
              <w:rPr>
                <w:rFonts w:cs="Calibri"/>
                <w:b/>
                <w:bCs/>
                <w:noProof/>
                <w:szCs w:val="24"/>
                <w:lang w:val="en-US" w:eastAsia="en-US"/>
              </w:rPr>
            </w:pPr>
            <w:r>
              <w:rPr>
                <w:rFonts w:cs="Calibri"/>
                <w:b/>
                <w:bCs/>
                <w:noProof/>
                <w:szCs w:val="24"/>
                <w:lang w:val="en-US" w:eastAsia="en-US"/>
              </w:rPr>
              <w:t>UE - DALYs</w:t>
            </w:r>
            <w:r w:rsidRPr="005948E8">
              <w:rPr>
                <w:rFonts w:cs="Calibri"/>
                <w:b/>
                <w:bCs/>
                <w:noProof/>
                <w:szCs w:val="24"/>
                <w:lang w:val="en-US" w:eastAsia="en-US"/>
              </w:rPr>
              <w:t xml:space="preserve"> *</w:t>
            </w:r>
          </w:p>
        </w:tc>
      </w:tr>
      <w:tr w:rsidR="00CD3152" w:rsidRPr="00882D06" w14:paraId="04F198C4" w14:textId="77777777" w:rsidTr="00F032B4">
        <w:trPr>
          <w:trHeight w:hRule="exact" w:val="284"/>
          <w:jc w:val="center"/>
        </w:trPr>
        <w:tc>
          <w:tcPr>
            <w:tcW w:w="3349" w:type="dxa"/>
          </w:tcPr>
          <w:p w14:paraId="6B875385" w14:textId="77777777" w:rsidR="00CD3152" w:rsidRPr="005948E8" w:rsidRDefault="00CD3152" w:rsidP="00F032B4">
            <w:pPr>
              <w:spacing w:line="240" w:lineRule="auto"/>
              <w:ind w:left="-288"/>
              <w:rPr>
                <w:rFonts w:cs="Calibri"/>
                <w:noProof/>
                <w:szCs w:val="24"/>
                <w:lang w:val="en-US" w:eastAsia="en-US"/>
              </w:rPr>
            </w:pPr>
          </w:p>
        </w:tc>
        <w:tc>
          <w:tcPr>
            <w:tcW w:w="1506" w:type="dxa"/>
          </w:tcPr>
          <w:p w14:paraId="419BFD2B" w14:textId="77777777" w:rsidR="00CD3152" w:rsidRPr="005948E8" w:rsidRDefault="00CD3152" w:rsidP="00F032B4">
            <w:pPr>
              <w:spacing w:line="240" w:lineRule="auto"/>
              <w:ind w:left="-118"/>
              <w:jc w:val="center"/>
              <w:rPr>
                <w:rFonts w:cs="Calibri"/>
                <w:b/>
                <w:bCs/>
                <w:noProof/>
                <w:szCs w:val="24"/>
                <w:lang w:val="en-US" w:eastAsia="en-US"/>
              </w:rPr>
            </w:pPr>
            <w:r w:rsidRPr="005948E8">
              <w:rPr>
                <w:rFonts w:cs="Calibri"/>
                <w:b/>
                <w:bCs/>
                <w:noProof/>
                <w:szCs w:val="24"/>
                <w:lang w:val="en-US" w:eastAsia="en-US"/>
              </w:rPr>
              <w:t>Bărbați</w:t>
            </w:r>
          </w:p>
        </w:tc>
        <w:tc>
          <w:tcPr>
            <w:tcW w:w="1530" w:type="dxa"/>
          </w:tcPr>
          <w:p w14:paraId="184C2B2C" w14:textId="77777777" w:rsidR="00CD3152" w:rsidRPr="005948E8" w:rsidRDefault="00CD3152" w:rsidP="00F032B4">
            <w:pPr>
              <w:spacing w:line="240" w:lineRule="auto"/>
              <w:ind w:left="-80"/>
              <w:jc w:val="center"/>
              <w:rPr>
                <w:rFonts w:cs="Calibri"/>
                <w:b/>
                <w:bCs/>
                <w:noProof/>
                <w:szCs w:val="24"/>
                <w:lang w:val="en-US" w:eastAsia="en-US"/>
              </w:rPr>
            </w:pPr>
            <w:r w:rsidRPr="005948E8">
              <w:rPr>
                <w:rFonts w:cs="Calibri"/>
                <w:b/>
                <w:bCs/>
                <w:noProof/>
                <w:szCs w:val="24"/>
                <w:lang w:val="en-US" w:eastAsia="en-US"/>
              </w:rPr>
              <w:t>Femei</w:t>
            </w:r>
          </w:p>
        </w:tc>
        <w:tc>
          <w:tcPr>
            <w:tcW w:w="1440" w:type="dxa"/>
          </w:tcPr>
          <w:p w14:paraId="3D20F493" w14:textId="77777777" w:rsidR="00CD3152" w:rsidRPr="005948E8" w:rsidRDefault="00CD3152" w:rsidP="00F032B4">
            <w:pPr>
              <w:spacing w:line="240" w:lineRule="auto"/>
              <w:ind w:left="-80"/>
              <w:jc w:val="center"/>
              <w:rPr>
                <w:rFonts w:cs="Calibri"/>
                <w:b/>
                <w:bCs/>
                <w:noProof/>
                <w:szCs w:val="24"/>
                <w:lang w:val="en-US" w:eastAsia="en-US"/>
              </w:rPr>
            </w:pPr>
            <w:r w:rsidRPr="005948E8">
              <w:rPr>
                <w:rFonts w:cs="Calibri"/>
                <w:b/>
                <w:bCs/>
                <w:noProof/>
                <w:szCs w:val="24"/>
                <w:lang w:val="en-US" w:eastAsia="en-US"/>
              </w:rPr>
              <w:t>Bărbați</w:t>
            </w:r>
          </w:p>
        </w:tc>
        <w:tc>
          <w:tcPr>
            <w:tcW w:w="1377" w:type="dxa"/>
          </w:tcPr>
          <w:p w14:paraId="34539115" w14:textId="77777777" w:rsidR="00CD3152" w:rsidRPr="005948E8" w:rsidRDefault="00CD3152" w:rsidP="00F032B4">
            <w:pPr>
              <w:spacing w:line="240" w:lineRule="auto"/>
              <w:ind w:left="-80"/>
              <w:jc w:val="center"/>
              <w:rPr>
                <w:rFonts w:cs="Calibri"/>
                <w:b/>
                <w:bCs/>
                <w:noProof/>
                <w:szCs w:val="24"/>
                <w:lang w:val="en-US" w:eastAsia="en-US"/>
              </w:rPr>
            </w:pPr>
            <w:r w:rsidRPr="005948E8">
              <w:rPr>
                <w:rFonts w:cs="Calibri"/>
                <w:b/>
                <w:bCs/>
                <w:noProof/>
                <w:szCs w:val="24"/>
                <w:lang w:val="en-US" w:eastAsia="en-US"/>
              </w:rPr>
              <w:t>Femei</w:t>
            </w:r>
          </w:p>
        </w:tc>
      </w:tr>
      <w:tr w:rsidR="00CD3152" w:rsidRPr="00882D06" w14:paraId="4B94F757" w14:textId="77777777" w:rsidTr="00F032B4">
        <w:trPr>
          <w:trHeight w:hRule="exact" w:val="284"/>
          <w:jc w:val="center"/>
        </w:trPr>
        <w:tc>
          <w:tcPr>
            <w:tcW w:w="3349" w:type="dxa"/>
          </w:tcPr>
          <w:p w14:paraId="437E4B47" w14:textId="77777777" w:rsidR="00CD3152" w:rsidRPr="005948E8" w:rsidRDefault="00CD3152" w:rsidP="00F032B4">
            <w:pPr>
              <w:spacing w:line="240" w:lineRule="auto"/>
              <w:ind w:left="-288" w:right="-180" w:firstLine="277"/>
              <w:rPr>
                <w:rFonts w:cs="Calibri"/>
                <w:b/>
                <w:bCs/>
                <w:noProof/>
                <w:szCs w:val="24"/>
                <w:lang w:val="en-US" w:eastAsia="en-US"/>
              </w:rPr>
            </w:pPr>
            <w:r w:rsidRPr="005948E8">
              <w:rPr>
                <w:rFonts w:cs="Calibri"/>
                <w:b/>
                <w:bCs/>
                <w:noProof/>
                <w:szCs w:val="24"/>
                <w:lang w:val="en-US" w:eastAsia="en-US"/>
              </w:rPr>
              <w:t>Boli cronice netransmisibile (BNT)</w:t>
            </w:r>
          </w:p>
        </w:tc>
        <w:tc>
          <w:tcPr>
            <w:tcW w:w="1506" w:type="dxa"/>
          </w:tcPr>
          <w:p w14:paraId="5F1AC5D9" w14:textId="7010BCB4" w:rsidR="00CD3152" w:rsidRPr="005948E8" w:rsidRDefault="00145E3A" w:rsidP="00F032B4">
            <w:pPr>
              <w:spacing w:line="240" w:lineRule="auto"/>
              <w:ind w:left="-288"/>
              <w:jc w:val="right"/>
              <w:rPr>
                <w:rFonts w:cs="Calibri"/>
                <w:b/>
                <w:bCs/>
                <w:noProof/>
                <w:szCs w:val="24"/>
                <w:lang w:val="en-US" w:eastAsia="en-US"/>
              </w:rPr>
            </w:pPr>
            <w:r w:rsidRPr="00145E3A">
              <w:rPr>
                <w:rFonts w:cs="Calibri"/>
                <w:b/>
                <w:bCs/>
                <w:noProof/>
                <w:szCs w:val="24"/>
                <w:lang w:val="en-US" w:eastAsia="en-US"/>
              </w:rPr>
              <w:t>3890,72</w:t>
            </w:r>
          </w:p>
        </w:tc>
        <w:tc>
          <w:tcPr>
            <w:tcW w:w="1530" w:type="dxa"/>
          </w:tcPr>
          <w:p w14:paraId="2124F49E" w14:textId="292967D5" w:rsidR="00CD3152" w:rsidRPr="005948E8" w:rsidRDefault="00145E3A" w:rsidP="00F032B4">
            <w:pPr>
              <w:spacing w:line="240" w:lineRule="auto"/>
              <w:ind w:left="-288"/>
              <w:jc w:val="right"/>
              <w:rPr>
                <w:rFonts w:cs="Calibri"/>
                <w:b/>
                <w:bCs/>
                <w:noProof/>
                <w:szCs w:val="24"/>
                <w:lang w:val="en-US" w:eastAsia="en-US"/>
              </w:rPr>
            </w:pPr>
            <w:r w:rsidRPr="00145E3A">
              <w:rPr>
                <w:rFonts w:cs="Calibri"/>
                <w:b/>
                <w:bCs/>
                <w:noProof/>
                <w:szCs w:val="24"/>
                <w:lang w:val="en-US" w:eastAsia="en-US"/>
              </w:rPr>
              <w:t>915,39</w:t>
            </w:r>
          </w:p>
        </w:tc>
        <w:tc>
          <w:tcPr>
            <w:tcW w:w="1440" w:type="dxa"/>
          </w:tcPr>
          <w:p w14:paraId="21C9229F" w14:textId="01C2BEA9" w:rsidR="00CD3152" w:rsidRPr="00882D06" w:rsidRDefault="00145E3A" w:rsidP="00F032B4">
            <w:pPr>
              <w:spacing w:line="240" w:lineRule="auto"/>
              <w:ind w:left="-288"/>
              <w:jc w:val="right"/>
              <w:rPr>
                <w:rFonts w:cs="Calibri"/>
                <w:b/>
                <w:bCs/>
                <w:noProof/>
                <w:szCs w:val="24"/>
                <w:lang w:val="en-US" w:eastAsia="en-US"/>
              </w:rPr>
            </w:pPr>
            <w:r w:rsidRPr="00145E3A">
              <w:rPr>
                <w:rFonts w:cs="Calibri"/>
                <w:b/>
                <w:bCs/>
                <w:noProof/>
                <w:szCs w:val="24"/>
                <w:lang w:val="en-US" w:eastAsia="en-US"/>
              </w:rPr>
              <w:t>2345,83</w:t>
            </w:r>
          </w:p>
        </w:tc>
        <w:tc>
          <w:tcPr>
            <w:tcW w:w="1377" w:type="dxa"/>
          </w:tcPr>
          <w:p w14:paraId="3C4203B4" w14:textId="7DF3ACEC" w:rsidR="00CD3152" w:rsidRPr="00882D06" w:rsidRDefault="00FE676F" w:rsidP="00F032B4">
            <w:pPr>
              <w:spacing w:line="240" w:lineRule="auto"/>
              <w:ind w:left="-288"/>
              <w:jc w:val="right"/>
              <w:rPr>
                <w:rFonts w:cs="Calibri"/>
                <w:b/>
                <w:bCs/>
                <w:noProof/>
                <w:szCs w:val="24"/>
                <w:lang w:val="en-US" w:eastAsia="en-US"/>
              </w:rPr>
            </w:pPr>
            <w:r w:rsidRPr="00FE676F">
              <w:rPr>
                <w:rFonts w:cs="Calibri"/>
                <w:b/>
                <w:bCs/>
                <w:noProof/>
                <w:szCs w:val="24"/>
                <w:lang w:val="en-US" w:eastAsia="en-US"/>
              </w:rPr>
              <w:t>888,64</w:t>
            </w:r>
          </w:p>
        </w:tc>
      </w:tr>
      <w:tr w:rsidR="00FE676F" w:rsidRPr="00882D06" w14:paraId="63843309" w14:textId="77777777" w:rsidTr="00F032B4">
        <w:trPr>
          <w:trHeight w:hRule="exact" w:val="284"/>
          <w:jc w:val="center"/>
        </w:trPr>
        <w:tc>
          <w:tcPr>
            <w:tcW w:w="3349" w:type="dxa"/>
          </w:tcPr>
          <w:p w14:paraId="2CE1B47A" w14:textId="77777777" w:rsidR="00FE676F" w:rsidRPr="005948E8" w:rsidRDefault="00FE676F" w:rsidP="00FE676F">
            <w:pPr>
              <w:spacing w:line="240" w:lineRule="auto"/>
              <w:ind w:left="-288" w:right="-180" w:firstLine="606"/>
              <w:rPr>
                <w:rFonts w:cs="Calibri"/>
                <w:noProof/>
                <w:szCs w:val="24"/>
                <w:lang w:val="en-US" w:eastAsia="en-US"/>
              </w:rPr>
            </w:pPr>
            <w:r w:rsidRPr="005948E8">
              <w:rPr>
                <w:rFonts w:cs="Calibri"/>
                <w:noProof/>
                <w:szCs w:val="24"/>
                <w:lang w:val="en-US" w:eastAsia="en-US"/>
              </w:rPr>
              <w:t>Boli cardiovasculare</w:t>
            </w:r>
          </w:p>
        </w:tc>
        <w:tc>
          <w:tcPr>
            <w:tcW w:w="1506" w:type="dxa"/>
          </w:tcPr>
          <w:p w14:paraId="69D56710" w14:textId="4D24399B" w:rsidR="00FE676F" w:rsidRPr="005948E8" w:rsidRDefault="00FE676F" w:rsidP="00FE676F">
            <w:pPr>
              <w:spacing w:line="240" w:lineRule="auto"/>
              <w:ind w:left="-288"/>
              <w:jc w:val="right"/>
              <w:rPr>
                <w:rFonts w:cs="Calibri"/>
                <w:noProof/>
                <w:szCs w:val="24"/>
                <w:lang w:val="en-US" w:eastAsia="en-US"/>
              </w:rPr>
            </w:pPr>
            <w:r w:rsidRPr="00ED67FF">
              <w:t>1480,14</w:t>
            </w:r>
          </w:p>
        </w:tc>
        <w:tc>
          <w:tcPr>
            <w:tcW w:w="1530" w:type="dxa"/>
          </w:tcPr>
          <w:p w14:paraId="3ADFBA3D" w14:textId="0648B10C" w:rsidR="00FE676F" w:rsidRPr="005948E8" w:rsidRDefault="00FE676F" w:rsidP="00FE676F">
            <w:pPr>
              <w:spacing w:line="240" w:lineRule="auto"/>
              <w:ind w:left="-288"/>
              <w:jc w:val="right"/>
              <w:rPr>
                <w:rFonts w:cs="Calibri"/>
                <w:noProof/>
                <w:szCs w:val="24"/>
                <w:lang w:val="en-US" w:eastAsia="en-US"/>
              </w:rPr>
            </w:pPr>
            <w:r w:rsidRPr="00FE676F">
              <w:t>250,23</w:t>
            </w:r>
          </w:p>
        </w:tc>
        <w:tc>
          <w:tcPr>
            <w:tcW w:w="1440" w:type="dxa"/>
          </w:tcPr>
          <w:p w14:paraId="33F87F71" w14:textId="2FC3B03F" w:rsidR="00FE676F" w:rsidRPr="00882D06" w:rsidRDefault="00FE676F" w:rsidP="00FE676F">
            <w:pPr>
              <w:spacing w:line="240" w:lineRule="auto"/>
              <w:ind w:left="-288"/>
              <w:jc w:val="right"/>
              <w:rPr>
                <w:rFonts w:cs="Calibri"/>
                <w:noProof/>
                <w:szCs w:val="24"/>
                <w:lang w:val="en-US" w:eastAsia="en-US"/>
              </w:rPr>
            </w:pPr>
            <w:r w:rsidRPr="00FE676F">
              <w:rPr>
                <w:rFonts w:cs="Calibri"/>
                <w:noProof/>
                <w:szCs w:val="24"/>
                <w:lang w:val="en-US" w:eastAsia="en-US"/>
              </w:rPr>
              <w:t>687,23</w:t>
            </w:r>
          </w:p>
        </w:tc>
        <w:tc>
          <w:tcPr>
            <w:tcW w:w="1377" w:type="dxa"/>
          </w:tcPr>
          <w:p w14:paraId="5F3DDE40" w14:textId="2123C3DC" w:rsidR="00FE676F" w:rsidRPr="00882D06" w:rsidRDefault="00FE676F" w:rsidP="00FE676F">
            <w:pPr>
              <w:spacing w:line="240" w:lineRule="auto"/>
              <w:ind w:left="-288"/>
              <w:jc w:val="right"/>
              <w:rPr>
                <w:rFonts w:cs="Calibri"/>
                <w:noProof/>
                <w:szCs w:val="24"/>
                <w:lang w:val="en-US" w:eastAsia="en-US"/>
              </w:rPr>
            </w:pPr>
            <w:r w:rsidRPr="00FE676F">
              <w:rPr>
                <w:rFonts w:cs="Calibri"/>
                <w:noProof/>
                <w:szCs w:val="24"/>
                <w:lang w:val="en-US" w:eastAsia="en-US"/>
              </w:rPr>
              <w:t>144,54</w:t>
            </w:r>
          </w:p>
        </w:tc>
      </w:tr>
      <w:tr w:rsidR="00CD3152" w:rsidRPr="00882D06" w14:paraId="5EAAF31A" w14:textId="77777777" w:rsidTr="00F032B4">
        <w:trPr>
          <w:trHeight w:hRule="exact" w:val="284"/>
          <w:jc w:val="center"/>
        </w:trPr>
        <w:tc>
          <w:tcPr>
            <w:tcW w:w="3349" w:type="dxa"/>
          </w:tcPr>
          <w:p w14:paraId="61A6CEC9" w14:textId="77777777" w:rsidR="00CD3152" w:rsidRPr="00FE676F" w:rsidRDefault="00CD3152" w:rsidP="00A62A7C">
            <w:pPr>
              <w:pStyle w:val="ListParagraph"/>
              <w:numPr>
                <w:ilvl w:val="0"/>
                <w:numId w:val="39"/>
              </w:numPr>
              <w:spacing w:line="240" w:lineRule="auto"/>
              <w:ind w:right="-180"/>
              <w:rPr>
                <w:rFonts w:cs="Calibri"/>
                <w:noProof/>
                <w:szCs w:val="24"/>
                <w:lang w:val="en-US" w:eastAsia="en-US"/>
              </w:rPr>
            </w:pPr>
            <w:r w:rsidRPr="00FE676F">
              <w:rPr>
                <w:rFonts w:cs="Calibri"/>
                <w:noProof/>
                <w:szCs w:val="24"/>
                <w:lang w:val="en-US" w:eastAsia="en-US"/>
              </w:rPr>
              <w:t>Accident vascular cerebral</w:t>
            </w:r>
          </w:p>
        </w:tc>
        <w:tc>
          <w:tcPr>
            <w:tcW w:w="1506" w:type="dxa"/>
          </w:tcPr>
          <w:p w14:paraId="5757F226" w14:textId="0653030A" w:rsidR="00CD3152" w:rsidRPr="005948E8" w:rsidRDefault="00FE676F" w:rsidP="00F032B4">
            <w:pPr>
              <w:spacing w:line="240" w:lineRule="auto"/>
              <w:ind w:left="-288"/>
              <w:jc w:val="right"/>
              <w:rPr>
                <w:rFonts w:cs="Calibri"/>
                <w:noProof/>
                <w:szCs w:val="24"/>
                <w:lang w:val="en-US" w:eastAsia="en-US"/>
              </w:rPr>
            </w:pPr>
            <w:r w:rsidRPr="00FE676F">
              <w:rPr>
                <w:rFonts w:cs="Calibri"/>
                <w:noProof/>
                <w:szCs w:val="24"/>
                <w:lang w:val="en-US" w:eastAsia="en-US"/>
              </w:rPr>
              <w:t>430,42</w:t>
            </w:r>
          </w:p>
        </w:tc>
        <w:tc>
          <w:tcPr>
            <w:tcW w:w="1530" w:type="dxa"/>
          </w:tcPr>
          <w:p w14:paraId="63F182AE" w14:textId="07F97590" w:rsidR="00CD3152" w:rsidRPr="005948E8" w:rsidRDefault="00FE676F" w:rsidP="00F032B4">
            <w:pPr>
              <w:spacing w:line="240" w:lineRule="auto"/>
              <w:ind w:left="-288"/>
              <w:jc w:val="right"/>
              <w:rPr>
                <w:rFonts w:cs="Calibri"/>
                <w:noProof/>
                <w:szCs w:val="24"/>
                <w:lang w:val="en-US" w:eastAsia="en-US"/>
              </w:rPr>
            </w:pPr>
            <w:r w:rsidRPr="00FE676F">
              <w:rPr>
                <w:rFonts w:cs="Calibri"/>
                <w:noProof/>
                <w:szCs w:val="24"/>
                <w:lang w:val="en-US" w:eastAsia="en-US"/>
              </w:rPr>
              <w:t>96,20</w:t>
            </w:r>
          </w:p>
        </w:tc>
        <w:tc>
          <w:tcPr>
            <w:tcW w:w="1440" w:type="dxa"/>
          </w:tcPr>
          <w:p w14:paraId="432F361C" w14:textId="7D7AFDF6" w:rsidR="00CD3152" w:rsidRPr="00882D06" w:rsidRDefault="00FE676F" w:rsidP="00F032B4">
            <w:pPr>
              <w:spacing w:line="240" w:lineRule="auto"/>
              <w:ind w:left="-288"/>
              <w:jc w:val="right"/>
              <w:rPr>
                <w:rFonts w:cs="Calibri"/>
                <w:noProof/>
                <w:szCs w:val="24"/>
                <w:lang w:val="en-US" w:eastAsia="en-US"/>
              </w:rPr>
            </w:pPr>
            <w:r w:rsidRPr="00FE676F">
              <w:rPr>
                <w:rFonts w:cs="Calibri"/>
                <w:noProof/>
                <w:szCs w:val="24"/>
                <w:lang w:val="en-US" w:eastAsia="en-US"/>
              </w:rPr>
              <w:t>154,92</w:t>
            </w:r>
          </w:p>
        </w:tc>
        <w:tc>
          <w:tcPr>
            <w:tcW w:w="1377" w:type="dxa"/>
          </w:tcPr>
          <w:p w14:paraId="053BB567" w14:textId="218A69F1" w:rsidR="00CD3152" w:rsidRPr="00882D06" w:rsidRDefault="00FE676F" w:rsidP="00F032B4">
            <w:pPr>
              <w:spacing w:line="240" w:lineRule="auto"/>
              <w:ind w:left="-288"/>
              <w:jc w:val="right"/>
              <w:rPr>
                <w:rFonts w:cs="Calibri"/>
                <w:noProof/>
                <w:szCs w:val="24"/>
                <w:lang w:val="en-US" w:eastAsia="en-US"/>
              </w:rPr>
            </w:pPr>
            <w:r w:rsidRPr="00FE676F">
              <w:rPr>
                <w:rFonts w:cs="Calibri"/>
                <w:noProof/>
                <w:szCs w:val="24"/>
                <w:lang w:val="en-US" w:eastAsia="en-US"/>
              </w:rPr>
              <w:t>52,57</w:t>
            </w:r>
          </w:p>
        </w:tc>
      </w:tr>
      <w:tr w:rsidR="00CD3152" w:rsidRPr="00882D06" w14:paraId="3F1AB8F7" w14:textId="77777777" w:rsidTr="00F032B4">
        <w:trPr>
          <w:trHeight w:hRule="exact" w:val="284"/>
          <w:jc w:val="center"/>
        </w:trPr>
        <w:tc>
          <w:tcPr>
            <w:tcW w:w="3349" w:type="dxa"/>
          </w:tcPr>
          <w:p w14:paraId="5F3D1F9C" w14:textId="77777777" w:rsidR="00CD3152" w:rsidRPr="00FE676F" w:rsidRDefault="00CD3152" w:rsidP="00A62A7C">
            <w:pPr>
              <w:pStyle w:val="ListParagraph"/>
              <w:numPr>
                <w:ilvl w:val="0"/>
                <w:numId w:val="39"/>
              </w:numPr>
              <w:spacing w:line="240" w:lineRule="auto"/>
              <w:ind w:right="-180"/>
              <w:rPr>
                <w:rFonts w:cs="Calibri"/>
                <w:noProof/>
                <w:szCs w:val="24"/>
                <w:lang w:val="en-US" w:eastAsia="en-US"/>
              </w:rPr>
            </w:pPr>
            <w:r w:rsidRPr="00FE676F">
              <w:rPr>
                <w:rFonts w:cs="Calibri"/>
                <w:noProof/>
                <w:szCs w:val="24"/>
                <w:lang w:val="en-US" w:eastAsia="en-US"/>
              </w:rPr>
              <w:t>Boala ischemică cardiaca</w:t>
            </w:r>
          </w:p>
        </w:tc>
        <w:tc>
          <w:tcPr>
            <w:tcW w:w="1506" w:type="dxa"/>
          </w:tcPr>
          <w:p w14:paraId="46F2847B" w14:textId="52CA2C6D" w:rsidR="00CD3152" w:rsidRPr="005948E8" w:rsidRDefault="00FE676F" w:rsidP="00F032B4">
            <w:pPr>
              <w:spacing w:line="240" w:lineRule="auto"/>
              <w:ind w:left="-288"/>
              <w:jc w:val="right"/>
              <w:rPr>
                <w:rFonts w:cs="Calibri"/>
                <w:noProof/>
                <w:szCs w:val="24"/>
                <w:lang w:val="en-US" w:eastAsia="en-US"/>
              </w:rPr>
            </w:pPr>
            <w:r w:rsidRPr="00FE676F">
              <w:rPr>
                <w:rFonts w:cs="Calibri"/>
                <w:noProof/>
                <w:szCs w:val="24"/>
                <w:lang w:val="en-US" w:eastAsia="en-US"/>
              </w:rPr>
              <w:t>988,93</w:t>
            </w:r>
          </w:p>
        </w:tc>
        <w:tc>
          <w:tcPr>
            <w:tcW w:w="1530" w:type="dxa"/>
          </w:tcPr>
          <w:p w14:paraId="60D1303C" w14:textId="6C7FD0BA" w:rsidR="00CD3152" w:rsidRPr="005948E8" w:rsidRDefault="00FE676F" w:rsidP="00F032B4">
            <w:pPr>
              <w:spacing w:line="240" w:lineRule="auto"/>
              <w:ind w:left="-288"/>
              <w:jc w:val="right"/>
              <w:rPr>
                <w:rFonts w:cs="Calibri"/>
                <w:noProof/>
                <w:szCs w:val="24"/>
                <w:lang w:val="en-US" w:eastAsia="en-US"/>
              </w:rPr>
            </w:pPr>
            <w:r w:rsidRPr="00FE676F">
              <w:rPr>
                <w:rFonts w:cs="Calibri"/>
                <w:noProof/>
                <w:szCs w:val="24"/>
                <w:lang w:val="en-US" w:eastAsia="en-US"/>
              </w:rPr>
              <w:t>143,40</w:t>
            </w:r>
          </w:p>
        </w:tc>
        <w:tc>
          <w:tcPr>
            <w:tcW w:w="1440" w:type="dxa"/>
          </w:tcPr>
          <w:p w14:paraId="5434478F" w14:textId="03E6E895" w:rsidR="00CD3152" w:rsidRPr="00882D06" w:rsidRDefault="00DA3B0C" w:rsidP="00F032B4">
            <w:pPr>
              <w:spacing w:line="240" w:lineRule="auto"/>
              <w:ind w:left="-288"/>
              <w:jc w:val="right"/>
              <w:rPr>
                <w:rFonts w:cs="Calibri"/>
                <w:noProof/>
                <w:szCs w:val="24"/>
                <w:lang w:val="en-US" w:eastAsia="en-US"/>
              </w:rPr>
            </w:pPr>
            <w:r w:rsidRPr="00DA3B0C">
              <w:rPr>
                <w:rFonts w:cs="Calibri"/>
                <w:noProof/>
                <w:szCs w:val="24"/>
                <w:lang w:val="en-US" w:eastAsia="en-US"/>
              </w:rPr>
              <w:t>468,48</w:t>
            </w:r>
          </w:p>
        </w:tc>
        <w:tc>
          <w:tcPr>
            <w:tcW w:w="1377" w:type="dxa"/>
          </w:tcPr>
          <w:p w14:paraId="74AA2A03" w14:textId="59E89C0A" w:rsidR="00CD3152" w:rsidRPr="00882D06" w:rsidRDefault="00DA3B0C" w:rsidP="00F032B4">
            <w:pPr>
              <w:spacing w:line="240" w:lineRule="auto"/>
              <w:ind w:left="-288"/>
              <w:jc w:val="right"/>
              <w:rPr>
                <w:rFonts w:cs="Calibri"/>
                <w:noProof/>
                <w:szCs w:val="24"/>
                <w:lang w:val="en-US" w:eastAsia="en-US"/>
              </w:rPr>
            </w:pPr>
            <w:r>
              <w:rPr>
                <w:rFonts w:cs="Calibri"/>
                <w:noProof/>
                <w:szCs w:val="24"/>
                <w:lang w:val="en-US" w:eastAsia="en-US"/>
              </w:rPr>
              <w:t>77,29</w:t>
            </w:r>
          </w:p>
        </w:tc>
      </w:tr>
      <w:tr w:rsidR="00CD3152" w:rsidRPr="00882D06" w14:paraId="008A9584" w14:textId="77777777" w:rsidTr="00F032B4">
        <w:trPr>
          <w:trHeight w:hRule="exact" w:val="284"/>
          <w:jc w:val="center"/>
        </w:trPr>
        <w:tc>
          <w:tcPr>
            <w:tcW w:w="3349" w:type="dxa"/>
          </w:tcPr>
          <w:p w14:paraId="7F36A994" w14:textId="0DE2A9B1" w:rsidR="00CD3152" w:rsidRPr="005948E8" w:rsidRDefault="00FE676F" w:rsidP="00F032B4">
            <w:pPr>
              <w:spacing w:line="240" w:lineRule="auto"/>
              <w:ind w:left="-288" w:right="-180" w:firstLine="606"/>
              <w:rPr>
                <w:rFonts w:cs="Calibri"/>
                <w:noProof/>
                <w:szCs w:val="24"/>
                <w:lang w:val="en-US" w:eastAsia="en-US"/>
              </w:rPr>
            </w:pPr>
            <w:r>
              <w:rPr>
                <w:rFonts w:cs="Calibri"/>
                <w:noProof/>
                <w:szCs w:val="24"/>
                <w:lang w:val="en-US" w:eastAsia="en-US"/>
              </w:rPr>
              <w:t>Neoplazii</w:t>
            </w:r>
          </w:p>
        </w:tc>
        <w:tc>
          <w:tcPr>
            <w:tcW w:w="1506" w:type="dxa"/>
          </w:tcPr>
          <w:p w14:paraId="6F148867" w14:textId="27191A96" w:rsidR="00CD3152" w:rsidRPr="005948E8" w:rsidRDefault="00DA3B0C" w:rsidP="00F032B4">
            <w:pPr>
              <w:spacing w:line="240" w:lineRule="auto"/>
              <w:ind w:left="-288"/>
              <w:jc w:val="right"/>
              <w:rPr>
                <w:rFonts w:cs="Calibri"/>
                <w:noProof/>
                <w:szCs w:val="24"/>
                <w:lang w:val="en-US" w:eastAsia="en-US"/>
              </w:rPr>
            </w:pPr>
            <w:r w:rsidRPr="00DA3B0C">
              <w:rPr>
                <w:rFonts w:cs="Calibri"/>
                <w:noProof/>
                <w:szCs w:val="24"/>
                <w:lang w:val="en-US" w:eastAsia="en-US"/>
              </w:rPr>
              <w:t>1592,88</w:t>
            </w:r>
          </w:p>
        </w:tc>
        <w:tc>
          <w:tcPr>
            <w:tcW w:w="1530" w:type="dxa"/>
          </w:tcPr>
          <w:p w14:paraId="01C1B828" w14:textId="098CDA61" w:rsidR="00CD3152" w:rsidRPr="005948E8" w:rsidRDefault="00DA3B0C" w:rsidP="00F032B4">
            <w:pPr>
              <w:spacing w:line="240" w:lineRule="auto"/>
              <w:ind w:left="-288"/>
              <w:jc w:val="right"/>
              <w:rPr>
                <w:rFonts w:cs="Calibri"/>
                <w:noProof/>
                <w:szCs w:val="24"/>
                <w:lang w:val="en-US" w:eastAsia="en-US"/>
              </w:rPr>
            </w:pPr>
            <w:r w:rsidRPr="00DA3B0C">
              <w:rPr>
                <w:rFonts w:cs="Calibri"/>
                <w:noProof/>
                <w:szCs w:val="24"/>
                <w:lang w:val="en-US" w:eastAsia="en-US"/>
              </w:rPr>
              <w:t>299,06</w:t>
            </w:r>
          </w:p>
        </w:tc>
        <w:tc>
          <w:tcPr>
            <w:tcW w:w="1440" w:type="dxa"/>
          </w:tcPr>
          <w:p w14:paraId="7FC276D2" w14:textId="091DA106" w:rsidR="00CD3152" w:rsidRPr="00882D06" w:rsidRDefault="00DA3B0C" w:rsidP="00F032B4">
            <w:pPr>
              <w:spacing w:line="240" w:lineRule="auto"/>
              <w:ind w:left="-288"/>
              <w:jc w:val="right"/>
              <w:rPr>
                <w:rFonts w:cs="Calibri"/>
                <w:noProof/>
                <w:szCs w:val="24"/>
                <w:lang w:val="en-US" w:eastAsia="en-US"/>
              </w:rPr>
            </w:pPr>
            <w:r w:rsidRPr="00DA3B0C">
              <w:rPr>
                <w:rFonts w:cs="Calibri"/>
                <w:noProof/>
                <w:szCs w:val="24"/>
                <w:lang w:val="en-US" w:eastAsia="en-US"/>
              </w:rPr>
              <w:t>1075,83</w:t>
            </w:r>
          </w:p>
        </w:tc>
        <w:tc>
          <w:tcPr>
            <w:tcW w:w="1377" w:type="dxa"/>
          </w:tcPr>
          <w:p w14:paraId="62556182" w14:textId="722AD3EA" w:rsidR="00CD3152" w:rsidRPr="00882D06" w:rsidRDefault="00DA3B0C" w:rsidP="00F032B4">
            <w:pPr>
              <w:spacing w:line="240" w:lineRule="auto"/>
              <w:ind w:left="-288"/>
              <w:jc w:val="right"/>
              <w:rPr>
                <w:rFonts w:cs="Calibri"/>
                <w:noProof/>
                <w:szCs w:val="24"/>
                <w:lang w:val="en-US" w:eastAsia="en-US"/>
              </w:rPr>
            </w:pPr>
            <w:r w:rsidRPr="00DA3B0C">
              <w:rPr>
                <w:rFonts w:cs="Calibri"/>
                <w:noProof/>
                <w:szCs w:val="24"/>
                <w:lang w:val="en-US" w:eastAsia="en-US"/>
              </w:rPr>
              <w:t>362,92</w:t>
            </w:r>
          </w:p>
        </w:tc>
      </w:tr>
      <w:tr w:rsidR="00CD3152" w:rsidRPr="00882D06" w14:paraId="55349208" w14:textId="77777777" w:rsidTr="00F032B4">
        <w:trPr>
          <w:trHeight w:hRule="exact" w:val="284"/>
          <w:jc w:val="center"/>
        </w:trPr>
        <w:tc>
          <w:tcPr>
            <w:tcW w:w="3349" w:type="dxa"/>
          </w:tcPr>
          <w:p w14:paraId="5F96A1E6" w14:textId="77777777" w:rsidR="00CD3152" w:rsidRPr="00FE676F" w:rsidRDefault="00CD3152" w:rsidP="00A62A7C">
            <w:pPr>
              <w:pStyle w:val="ListParagraph"/>
              <w:numPr>
                <w:ilvl w:val="0"/>
                <w:numId w:val="40"/>
              </w:numPr>
              <w:spacing w:line="240" w:lineRule="auto"/>
              <w:ind w:right="-180"/>
              <w:rPr>
                <w:rFonts w:cs="Calibri"/>
                <w:noProof/>
                <w:szCs w:val="24"/>
                <w:lang w:val="en-US" w:eastAsia="en-US"/>
              </w:rPr>
            </w:pPr>
            <w:r w:rsidRPr="00FE676F">
              <w:rPr>
                <w:rFonts w:cs="Calibri"/>
                <w:noProof/>
                <w:szCs w:val="24"/>
                <w:lang w:val="en-US" w:eastAsia="en-US"/>
              </w:rPr>
              <w:t>Cancer bronhopulmonar</w:t>
            </w:r>
          </w:p>
        </w:tc>
        <w:tc>
          <w:tcPr>
            <w:tcW w:w="1506" w:type="dxa"/>
          </w:tcPr>
          <w:p w14:paraId="30CDD032" w14:textId="2C80255B" w:rsidR="00CD3152" w:rsidRPr="005948E8" w:rsidRDefault="00DA3B0C" w:rsidP="00F032B4">
            <w:pPr>
              <w:spacing w:line="240" w:lineRule="auto"/>
              <w:ind w:left="-288"/>
              <w:jc w:val="right"/>
              <w:rPr>
                <w:rFonts w:cs="Calibri"/>
                <w:noProof/>
                <w:szCs w:val="24"/>
                <w:lang w:val="en-US" w:eastAsia="en-US"/>
              </w:rPr>
            </w:pPr>
            <w:r w:rsidRPr="00DA3B0C">
              <w:rPr>
                <w:rFonts w:cs="Calibri"/>
                <w:noProof/>
                <w:szCs w:val="24"/>
                <w:lang w:val="en-US" w:eastAsia="en-US"/>
              </w:rPr>
              <w:t>930,78</w:t>
            </w:r>
          </w:p>
        </w:tc>
        <w:tc>
          <w:tcPr>
            <w:tcW w:w="1530" w:type="dxa"/>
          </w:tcPr>
          <w:p w14:paraId="62B8D2B9" w14:textId="079693E7" w:rsidR="00CD3152" w:rsidRPr="005948E8" w:rsidRDefault="00DA3B0C" w:rsidP="00F032B4">
            <w:pPr>
              <w:spacing w:line="240" w:lineRule="auto"/>
              <w:ind w:left="-288"/>
              <w:jc w:val="right"/>
              <w:rPr>
                <w:rFonts w:cs="Calibri"/>
                <w:noProof/>
                <w:szCs w:val="24"/>
                <w:lang w:val="en-US" w:eastAsia="en-US"/>
              </w:rPr>
            </w:pPr>
            <w:r w:rsidRPr="00DA3B0C">
              <w:rPr>
                <w:rFonts w:cs="Calibri"/>
                <w:noProof/>
                <w:szCs w:val="24"/>
                <w:lang w:val="en-US" w:eastAsia="en-US"/>
              </w:rPr>
              <w:t>152,37</w:t>
            </w:r>
          </w:p>
        </w:tc>
        <w:tc>
          <w:tcPr>
            <w:tcW w:w="1440" w:type="dxa"/>
          </w:tcPr>
          <w:p w14:paraId="6778E4C3" w14:textId="50A0E1B9" w:rsidR="00CD3152" w:rsidRPr="00882D06" w:rsidRDefault="00DA3B0C" w:rsidP="00F032B4">
            <w:pPr>
              <w:spacing w:line="240" w:lineRule="auto"/>
              <w:ind w:left="-288"/>
              <w:jc w:val="right"/>
              <w:rPr>
                <w:rFonts w:cs="Calibri"/>
                <w:noProof/>
                <w:szCs w:val="24"/>
                <w:lang w:val="en-US" w:eastAsia="en-US"/>
              </w:rPr>
            </w:pPr>
            <w:r w:rsidRPr="00DA3B0C">
              <w:rPr>
                <w:rFonts w:cs="Calibri"/>
                <w:noProof/>
                <w:szCs w:val="24"/>
                <w:lang w:val="en-US" w:eastAsia="en-US"/>
              </w:rPr>
              <w:t>662,35</w:t>
            </w:r>
          </w:p>
        </w:tc>
        <w:tc>
          <w:tcPr>
            <w:tcW w:w="1377" w:type="dxa"/>
          </w:tcPr>
          <w:p w14:paraId="23ECF9B6" w14:textId="45719019" w:rsidR="00CD3152" w:rsidRPr="00882D06" w:rsidRDefault="00DA3B0C" w:rsidP="00F032B4">
            <w:pPr>
              <w:spacing w:line="240" w:lineRule="auto"/>
              <w:ind w:left="-288"/>
              <w:jc w:val="right"/>
              <w:rPr>
                <w:rFonts w:cs="Calibri"/>
                <w:noProof/>
                <w:szCs w:val="24"/>
                <w:lang w:val="en-US" w:eastAsia="en-US"/>
              </w:rPr>
            </w:pPr>
            <w:r w:rsidRPr="00DA3B0C">
              <w:rPr>
                <w:rFonts w:cs="Calibri"/>
                <w:noProof/>
                <w:szCs w:val="24"/>
                <w:lang w:val="en-US" w:eastAsia="en-US"/>
              </w:rPr>
              <w:t>236,52</w:t>
            </w:r>
          </w:p>
        </w:tc>
      </w:tr>
      <w:tr w:rsidR="00CD3152" w:rsidRPr="00882D06" w14:paraId="161C5E27" w14:textId="77777777" w:rsidTr="00F032B4">
        <w:trPr>
          <w:trHeight w:hRule="exact" w:val="284"/>
          <w:jc w:val="center"/>
        </w:trPr>
        <w:tc>
          <w:tcPr>
            <w:tcW w:w="3349" w:type="dxa"/>
          </w:tcPr>
          <w:p w14:paraId="5CD331B8" w14:textId="38829555" w:rsidR="00CD3152" w:rsidRPr="005948E8" w:rsidRDefault="00FE676F" w:rsidP="00F032B4">
            <w:pPr>
              <w:spacing w:line="240" w:lineRule="auto"/>
              <w:ind w:left="-288" w:right="-180" w:firstLine="606"/>
              <w:rPr>
                <w:rFonts w:cs="Calibri"/>
                <w:noProof/>
                <w:szCs w:val="24"/>
                <w:lang w:val="en-US" w:eastAsia="en-US"/>
              </w:rPr>
            </w:pPr>
            <w:r>
              <w:rPr>
                <w:rFonts w:cs="Calibri"/>
                <w:noProof/>
                <w:szCs w:val="24"/>
                <w:lang w:val="en-US" w:eastAsia="en-US"/>
              </w:rPr>
              <w:t>Afecțiuni respiratorii cronice</w:t>
            </w:r>
          </w:p>
        </w:tc>
        <w:tc>
          <w:tcPr>
            <w:tcW w:w="1506" w:type="dxa"/>
          </w:tcPr>
          <w:p w14:paraId="2D274081" w14:textId="6131DB57" w:rsidR="00CD3152" w:rsidRPr="005948E8" w:rsidRDefault="00DA3B0C" w:rsidP="00F032B4">
            <w:pPr>
              <w:spacing w:line="240" w:lineRule="auto"/>
              <w:ind w:left="-288"/>
              <w:jc w:val="right"/>
              <w:rPr>
                <w:rFonts w:cs="Calibri"/>
                <w:noProof/>
                <w:szCs w:val="24"/>
                <w:lang w:val="en-US" w:eastAsia="en-US"/>
              </w:rPr>
            </w:pPr>
            <w:r w:rsidRPr="00DA3B0C">
              <w:rPr>
                <w:rFonts w:cs="Calibri"/>
                <w:noProof/>
                <w:szCs w:val="24"/>
                <w:lang w:val="en-US" w:eastAsia="en-US"/>
              </w:rPr>
              <w:t>399,61</w:t>
            </w:r>
          </w:p>
        </w:tc>
        <w:tc>
          <w:tcPr>
            <w:tcW w:w="1530" w:type="dxa"/>
          </w:tcPr>
          <w:p w14:paraId="55E2547A" w14:textId="07ABAB63" w:rsidR="00CD3152" w:rsidRPr="005948E8" w:rsidRDefault="00DA3B0C" w:rsidP="00F032B4">
            <w:pPr>
              <w:spacing w:line="240" w:lineRule="auto"/>
              <w:ind w:left="-288"/>
              <w:jc w:val="right"/>
              <w:rPr>
                <w:rFonts w:cs="Calibri"/>
                <w:noProof/>
                <w:szCs w:val="24"/>
                <w:lang w:val="en-US" w:eastAsia="en-US"/>
              </w:rPr>
            </w:pPr>
            <w:r w:rsidRPr="00DA3B0C">
              <w:rPr>
                <w:rFonts w:cs="Calibri"/>
                <w:noProof/>
                <w:szCs w:val="24"/>
                <w:lang w:val="en-US" w:eastAsia="en-US"/>
              </w:rPr>
              <w:t>89,36</w:t>
            </w:r>
          </w:p>
        </w:tc>
        <w:tc>
          <w:tcPr>
            <w:tcW w:w="1440" w:type="dxa"/>
          </w:tcPr>
          <w:p w14:paraId="66CFAE53" w14:textId="08B1C2F9" w:rsidR="00CD3152" w:rsidRPr="00882D06" w:rsidRDefault="00DA3B0C" w:rsidP="00F032B4">
            <w:pPr>
              <w:spacing w:line="240" w:lineRule="auto"/>
              <w:ind w:left="-288"/>
              <w:jc w:val="right"/>
              <w:rPr>
                <w:rFonts w:cs="Calibri"/>
                <w:noProof/>
                <w:szCs w:val="24"/>
                <w:lang w:val="en-US" w:eastAsia="en-US"/>
              </w:rPr>
            </w:pPr>
            <w:r w:rsidRPr="00DA3B0C">
              <w:rPr>
                <w:rFonts w:cs="Calibri"/>
                <w:noProof/>
                <w:szCs w:val="24"/>
                <w:lang w:val="en-US" w:eastAsia="en-US"/>
              </w:rPr>
              <w:t>248,86</w:t>
            </w:r>
          </w:p>
        </w:tc>
        <w:tc>
          <w:tcPr>
            <w:tcW w:w="1377" w:type="dxa"/>
          </w:tcPr>
          <w:p w14:paraId="485F9678" w14:textId="451673A1" w:rsidR="00CD3152" w:rsidRPr="00882D06" w:rsidRDefault="00DA3B0C" w:rsidP="00F032B4">
            <w:pPr>
              <w:spacing w:line="240" w:lineRule="auto"/>
              <w:ind w:left="-288"/>
              <w:jc w:val="right"/>
              <w:rPr>
                <w:rFonts w:cs="Calibri"/>
                <w:noProof/>
                <w:szCs w:val="24"/>
                <w:lang w:val="en-US" w:eastAsia="en-US"/>
              </w:rPr>
            </w:pPr>
            <w:r w:rsidRPr="00DA3B0C">
              <w:rPr>
                <w:rFonts w:cs="Calibri"/>
                <w:noProof/>
                <w:szCs w:val="24"/>
                <w:lang w:val="en-US" w:eastAsia="en-US"/>
              </w:rPr>
              <w:t>115,78</w:t>
            </w:r>
          </w:p>
        </w:tc>
      </w:tr>
      <w:tr w:rsidR="00CD3152" w:rsidRPr="00882D06" w14:paraId="65A3B42C" w14:textId="77777777" w:rsidTr="00F032B4">
        <w:trPr>
          <w:trHeight w:hRule="exact" w:val="284"/>
          <w:jc w:val="center"/>
        </w:trPr>
        <w:tc>
          <w:tcPr>
            <w:tcW w:w="3349" w:type="dxa"/>
          </w:tcPr>
          <w:p w14:paraId="5954A880" w14:textId="77777777" w:rsidR="00CD3152" w:rsidRPr="00FE676F" w:rsidRDefault="00CD3152" w:rsidP="00A62A7C">
            <w:pPr>
              <w:pStyle w:val="ListParagraph"/>
              <w:numPr>
                <w:ilvl w:val="0"/>
                <w:numId w:val="41"/>
              </w:numPr>
              <w:spacing w:line="240" w:lineRule="auto"/>
              <w:ind w:right="-180"/>
              <w:rPr>
                <w:rFonts w:cs="Calibri"/>
                <w:noProof/>
                <w:szCs w:val="24"/>
                <w:lang w:val="en-US" w:eastAsia="en-US"/>
              </w:rPr>
            </w:pPr>
            <w:r w:rsidRPr="00FE676F">
              <w:rPr>
                <w:rFonts w:cs="Calibri"/>
                <w:noProof/>
                <w:szCs w:val="24"/>
                <w:lang w:val="en-US" w:eastAsia="en-US"/>
              </w:rPr>
              <w:t>BPOC</w:t>
            </w:r>
          </w:p>
        </w:tc>
        <w:tc>
          <w:tcPr>
            <w:tcW w:w="1506" w:type="dxa"/>
          </w:tcPr>
          <w:p w14:paraId="1FD12865" w14:textId="0FD7B2F9" w:rsidR="00CD3152" w:rsidRPr="005948E8" w:rsidRDefault="00DA3B0C" w:rsidP="00F032B4">
            <w:pPr>
              <w:spacing w:line="240" w:lineRule="auto"/>
              <w:ind w:left="-288"/>
              <w:jc w:val="right"/>
              <w:rPr>
                <w:rFonts w:cs="Calibri"/>
                <w:noProof/>
                <w:szCs w:val="24"/>
                <w:lang w:val="en-US" w:eastAsia="en-US"/>
              </w:rPr>
            </w:pPr>
            <w:r w:rsidRPr="00DA3B0C">
              <w:rPr>
                <w:rFonts w:cs="Calibri"/>
                <w:noProof/>
                <w:szCs w:val="24"/>
                <w:lang w:val="en-US" w:eastAsia="en-US"/>
              </w:rPr>
              <w:t>385,24</w:t>
            </w:r>
          </w:p>
        </w:tc>
        <w:tc>
          <w:tcPr>
            <w:tcW w:w="1530" w:type="dxa"/>
          </w:tcPr>
          <w:p w14:paraId="360761C4" w14:textId="43E83BDB" w:rsidR="00CD3152" w:rsidRPr="005948E8" w:rsidRDefault="00DA3B0C" w:rsidP="00DA3B0C">
            <w:pPr>
              <w:spacing w:line="240" w:lineRule="auto"/>
              <w:ind w:left="-288"/>
              <w:jc w:val="right"/>
              <w:rPr>
                <w:rFonts w:cs="Calibri"/>
                <w:noProof/>
                <w:szCs w:val="24"/>
                <w:lang w:val="en-US" w:eastAsia="en-US"/>
              </w:rPr>
            </w:pPr>
            <w:r w:rsidRPr="00DA3B0C">
              <w:rPr>
                <w:rFonts w:cs="Calibri"/>
                <w:noProof/>
                <w:szCs w:val="24"/>
                <w:lang w:val="en-US" w:eastAsia="en-US"/>
              </w:rPr>
              <w:t>74,89</w:t>
            </w:r>
          </w:p>
        </w:tc>
        <w:tc>
          <w:tcPr>
            <w:tcW w:w="1440" w:type="dxa"/>
          </w:tcPr>
          <w:p w14:paraId="543E6316" w14:textId="50D10023" w:rsidR="00CD3152" w:rsidRPr="00882D06" w:rsidRDefault="00DA3B0C" w:rsidP="00F032B4">
            <w:pPr>
              <w:spacing w:line="240" w:lineRule="auto"/>
              <w:ind w:left="-288"/>
              <w:jc w:val="right"/>
              <w:rPr>
                <w:rFonts w:cs="Calibri"/>
                <w:noProof/>
                <w:szCs w:val="24"/>
                <w:lang w:val="en-US" w:eastAsia="en-US"/>
              </w:rPr>
            </w:pPr>
            <w:r w:rsidRPr="00DA3B0C">
              <w:rPr>
                <w:rFonts w:cs="Calibri"/>
                <w:noProof/>
                <w:szCs w:val="24"/>
                <w:lang w:val="en-US" w:eastAsia="en-US"/>
              </w:rPr>
              <w:t>229,54</w:t>
            </w:r>
          </w:p>
        </w:tc>
        <w:tc>
          <w:tcPr>
            <w:tcW w:w="1377" w:type="dxa"/>
          </w:tcPr>
          <w:p w14:paraId="786C1662" w14:textId="15BB5354" w:rsidR="00CD3152" w:rsidRPr="00882D06" w:rsidRDefault="00F21BD2" w:rsidP="00F032B4">
            <w:pPr>
              <w:spacing w:line="240" w:lineRule="auto"/>
              <w:ind w:left="-288"/>
              <w:jc w:val="right"/>
              <w:rPr>
                <w:rFonts w:cs="Calibri"/>
                <w:noProof/>
                <w:szCs w:val="24"/>
                <w:lang w:val="en-US" w:eastAsia="en-US"/>
              </w:rPr>
            </w:pPr>
            <w:r w:rsidRPr="00F21BD2">
              <w:rPr>
                <w:rFonts w:cs="Calibri"/>
                <w:noProof/>
                <w:szCs w:val="24"/>
                <w:lang w:val="en-US" w:eastAsia="en-US"/>
              </w:rPr>
              <w:t>94,18</w:t>
            </w:r>
          </w:p>
        </w:tc>
      </w:tr>
      <w:tr w:rsidR="00CD3152" w:rsidRPr="00882D06" w14:paraId="6852392F" w14:textId="77777777" w:rsidTr="00F032B4">
        <w:trPr>
          <w:trHeight w:hRule="exact" w:val="284"/>
          <w:jc w:val="center"/>
        </w:trPr>
        <w:tc>
          <w:tcPr>
            <w:tcW w:w="3349" w:type="dxa"/>
          </w:tcPr>
          <w:p w14:paraId="53802487" w14:textId="77777777" w:rsidR="00CD3152" w:rsidRPr="005948E8" w:rsidRDefault="00CD3152" w:rsidP="00F032B4">
            <w:pPr>
              <w:spacing w:line="240" w:lineRule="auto"/>
              <w:ind w:left="-288" w:right="-180" w:firstLine="277"/>
              <w:rPr>
                <w:rFonts w:cs="Calibri"/>
                <w:b/>
                <w:bCs/>
                <w:noProof/>
                <w:szCs w:val="24"/>
                <w:lang w:val="en-US" w:eastAsia="en-US"/>
              </w:rPr>
            </w:pPr>
            <w:r w:rsidRPr="005948E8">
              <w:rPr>
                <w:rFonts w:cs="Calibri"/>
                <w:b/>
                <w:bCs/>
                <w:noProof/>
                <w:szCs w:val="24"/>
                <w:lang w:val="en-US" w:eastAsia="en-US"/>
              </w:rPr>
              <w:t>Toate cauzele</w:t>
            </w:r>
          </w:p>
        </w:tc>
        <w:tc>
          <w:tcPr>
            <w:tcW w:w="1506" w:type="dxa"/>
          </w:tcPr>
          <w:p w14:paraId="76064248" w14:textId="26C79C31" w:rsidR="00CD3152" w:rsidRPr="00761097" w:rsidRDefault="00F21BD2" w:rsidP="00F032B4">
            <w:pPr>
              <w:spacing w:line="240" w:lineRule="auto"/>
              <w:ind w:left="-288"/>
              <w:jc w:val="right"/>
              <w:rPr>
                <w:rFonts w:cs="Calibri"/>
                <w:b/>
                <w:bCs/>
                <w:noProof/>
                <w:szCs w:val="24"/>
                <w:lang w:val="en-US" w:eastAsia="en-US"/>
              </w:rPr>
            </w:pPr>
            <w:r w:rsidRPr="00F21BD2">
              <w:rPr>
                <w:rFonts w:cs="Calibri"/>
                <w:b/>
                <w:bCs/>
                <w:noProof/>
                <w:szCs w:val="24"/>
                <w:lang w:val="en-US" w:eastAsia="en-US"/>
              </w:rPr>
              <w:t>4207,84</w:t>
            </w:r>
          </w:p>
        </w:tc>
        <w:tc>
          <w:tcPr>
            <w:tcW w:w="1530" w:type="dxa"/>
          </w:tcPr>
          <w:p w14:paraId="6929ABEE" w14:textId="14F95050" w:rsidR="00CD3152" w:rsidRPr="00761097" w:rsidRDefault="00F21BD2" w:rsidP="00F032B4">
            <w:pPr>
              <w:spacing w:line="240" w:lineRule="auto"/>
              <w:ind w:left="-288"/>
              <w:jc w:val="right"/>
              <w:rPr>
                <w:rFonts w:cs="Calibri"/>
                <w:b/>
                <w:bCs/>
                <w:noProof/>
                <w:szCs w:val="24"/>
                <w:lang w:val="en-US" w:eastAsia="en-US"/>
              </w:rPr>
            </w:pPr>
            <w:r w:rsidRPr="00F21BD2">
              <w:rPr>
                <w:rFonts w:cs="Calibri"/>
                <w:b/>
                <w:bCs/>
                <w:noProof/>
                <w:szCs w:val="24"/>
                <w:lang w:val="en-US" w:eastAsia="en-US"/>
              </w:rPr>
              <w:t>969,06</w:t>
            </w:r>
          </w:p>
        </w:tc>
        <w:tc>
          <w:tcPr>
            <w:tcW w:w="1440" w:type="dxa"/>
          </w:tcPr>
          <w:p w14:paraId="7EB5B953" w14:textId="11E55A58" w:rsidR="00CD3152" w:rsidRPr="00761097" w:rsidRDefault="00F21BD2" w:rsidP="00F032B4">
            <w:pPr>
              <w:spacing w:line="240" w:lineRule="auto"/>
              <w:ind w:left="-288"/>
              <w:jc w:val="right"/>
              <w:rPr>
                <w:rFonts w:cs="Calibri"/>
                <w:b/>
                <w:bCs/>
                <w:noProof/>
                <w:szCs w:val="24"/>
                <w:lang w:val="en-US" w:eastAsia="en-US"/>
              </w:rPr>
            </w:pPr>
            <w:r w:rsidRPr="00F21BD2">
              <w:rPr>
                <w:rFonts w:cs="Calibri"/>
                <w:b/>
                <w:bCs/>
                <w:noProof/>
                <w:szCs w:val="24"/>
                <w:lang w:val="en-US" w:eastAsia="en-US"/>
              </w:rPr>
              <w:t>2434,53</w:t>
            </w:r>
          </w:p>
        </w:tc>
        <w:tc>
          <w:tcPr>
            <w:tcW w:w="1377" w:type="dxa"/>
          </w:tcPr>
          <w:p w14:paraId="1C93ACA0" w14:textId="6A3BC444" w:rsidR="00CD3152" w:rsidRPr="00761097" w:rsidRDefault="00F21BD2" w:rsidP="00F032B4">
            <w:pPr>
              <w:spacing w:line="240" w:lineRule="auto"/>
              <w:ind w:left="-288"/>
              <w:jc w:val="right"/>
              <w:rPr>
                <w:rFonts w:cs="Calibri"/>
                <w:b/>
                <w:bCs/>
                <w:noProof/>
                <w:szCs w:val="24"/>
                <w:lang w:val="en-US" w:eastAsia="en-US"/>
              </w:rPr>
            </w:pPr>
            <w:r w:rsidRPr="00F21BD2">
              <w:rPr>
                <w:rFonts w:cs="Calibri"/>
                <w:b/>
                <w:bCs/>
                <w:noProof/>
                <w:szCs w:val="24"/>
                <w:lang w:val="en-US" w:eastAsia="en-US"/>
              </w:rPr>
              <w:t>916,97</w:t>
            </w:r>
          </w:p>
        </w:tc>
      </w:tr>
    </w:tbl>
    <w:p w14:paraId="3568AFB8" w14:textId="37355211" w:rsidR="00CD3152" w:rsidRDefault="00CD3152" w:rsidP="00CD3152">
      <w:pPr>
        <w:ind w:firstLine="708"/>
        <w:jc w:val="both"/>
      </w:pPr>
      <w:r>
        <w:t>Analiza comparativă a poverii îmbolnăvirii exprimate prin DALYs (ani de viață ajustați pentru dizabilitate) atribuiți consumului de tutun evidențiază diferențe marcate între sexe și între România și media Uniunii Europene</w:t>
      </w:r>
      <w:r w:rsidR="00FC6244">
        <w:fldChar w:fldCharType="begin"/>
      </w:r>
      <w:r w:rsidR="00D4526D">
        <w:instrText xml:space="preserve"> ADDIN EN.CITE &lt;EndNote&gt;&lt;Cite&gt;&lt;Author&gt;IHME&lt;/Author&gt;&lt;Year&gt;2025&lt;/Year&gt;&lt;RecNum&gt;9764&lt;/RecNum&gt;&lt;DisplayText&gt;&lt;style size="10"&gt;[15]&lt;/style&gt;&lt;/DisplayText&gt;&lt;record&gt;&lt;rec-number&gt;9764&lt;/rec-number&gt;&lt;foreign-keys&gt;&lt;key app="EN" db-id="fw0prtesnvf55cepezbx255wwza5zw0ssatt" timestamp="1781675119"&gt;9764&lt;/key&gt;&lt;/foreign-keys&gt;&lt;ref-type name="Web Page"&gt;12&lt;/ref-type&gt;&lt;contributors&gt;&lt;authors&gt;&lt;author&gt;&lt;style face="normal" font="default" charset="238" size="100%"&gt;IHME&lt;/style&gt;&lt;/author&gt;&lt;/authors&gt;&lt;/contributors&gt;&lt;titles&gt;&lt;title&gt;Global Burden of Disease Study 2023&lt;/title&gt;&lt;/titles&gt;&lt;dates&gt;&lt;year&gt;&lt;style face="normal" font="default" charset="238" size="100%"&gt;2025&lt;/style&gt;&lt;/year&gt;&lt;/dates&gt;&lt;urls&gt;&lt;related-urls&gt;&lt;url&gt;https://vizhub.healthdata.org/gbd-results/&lt;/url&gt;&lt;/related-urls&gt;&lt;/urls&gt;&lt;/record&gt;&lt;/Cite&gt;&lt;/EndNote&gt;</w:instrText>
      </w:r>
      <w:r w:rsidR="00FC6244">
        <w:fldChar w:fldCharType="separate"/>
      </w:r>
      <w:r w:rsidR="00D4526D" w:rsidRPr="00D4526D">
        <w:rPr>
          <w:noProof/>
          <w:sz w:val="20"/>
        </w:rPr>
        <w:t>[15]</w:t>
      </w:r>
      <w:r w:rsidR="00FC6244">
        <w:fldChar w:fldCharType="end"/>
      </w:r>
      <w:r>
        <w:t>.</w:t>
      </w:r>
    </w:p>
    <w:p w14:paraId="42581641" w14:textId="6F9E5444" w:rsidR="00F21BD2" w:rsidRDefault="00F21BD2" w:rsidP="00F21BD2">
      <w:pPr>
        <w:ind w:firstLine="708"/>
        <w:jc w:val="both"/>
      </w:pPr>
      <w:r>
        <w:t>În rândul bărbaților, rata standardizată a DALYs atribuibili fumatului pentru toate cauzele este de 4207,84 la 100.000 de locuitori în România, comparativ cu 2434,53 la 100.000 în UE. Povara este astfel cu aproximativ 73% mai mare în România.</w:t>
      </w:r>
    </w:p>
    <w:p w14:paraId="57F0401F" w14:textId="28139B6E" w:rsidR="00F21BD2" w:rsidRDefault="00F21BD2" w:rsidP="00F21BD2">
      <w:pPr>
        <w:ind w:firstLine="708"/>
        <w:jc w:val="both"/>
      </w:pPr>
      <w:r>
        <w:t>Cele mai mari diferențe sunt observate pentru bolile cardiovasculare. La bărbați, rata DALYs atribuibilă fumatului este de 1480,14 la 100.000 în România, de peste două ori mai mare decât valoarea UE, de 687,23 la 100.000. Pentru accidentul vascular cerebral, rata din România este de aproape 2,8 ori mai mare, iar pentru boala ischemică cardiacă este de aproximativ 2,1 ori mai mare decât media UE.</w:t>
      </w:r>
    </w:p>
    <w:p w14:paraId="2D14382D" w14:textId="3302E74F" w:rsidR="00CD3152" w:rsidRDefault="00F21BD2" w:rsidP="00F21BD2">
      <w:pPr>
        <w:ind w:firstLine="708"/>
        <w:jc w:val="both"/>
      </w:pPr>
      <w:r>
        <w:lastRenderedPageBreak/>
        <w:t>Și povara oncologică este mai ridicată la bărbații din România. Rata DALYs prin neoplasme atribuibilă fumatului este cu aproximativ 48% mai mare decât în UE, iar pentru cancerul bronhopulmonar diferența este de aproximativ 41%.</w:t>
      </w:r>
      <w:r w:rsidR="00CD3152">
        <w:t xml:space="preserve"> (</w:t>
      </w:r>
      <w:r w:rsidR="00CD3152">
        <w:fldChar w:fldCharType="begin"/>
      </w:r>
      <w:r w:rsidR="00CD3152">
        <w:instrText xml:space="preserve"> REF _Ref211576718 \h </w:instrText>
      </w:r>
      <w:r w:rsidR="00CD3152">
        <w:fldChar w:fldCharType="separate"/>
      </w:r>
      <w:r w:rsidR="00CD3152">
        <w:t xml:space="preserve">Tabel </w:t>
      </w:r>
      <w:r w:rsidR="00CD3152">
        <w:rPr>
          <w:noProof/>
        </w:rPr>
        <w:t>III</w:t>
      </w:r>
      <w:r w:rsidR="00CD3152">
        <w:noBreakHyphen/>
      </w:r>
      <w:r w:rsidR="00CD3152">
        <w:rPr>
          <w:noProof/>
        </w:rPr>
        <w:t>3</w:t>
      </w:r>
      <w:r w:rsidR="00CD3152">
        <w:fldChar w:fldCharType="end"/>
      </w:r>
      <w:r w:rsidR="00CD3152">
        <w:t>)</w:t>
      </w:r>
      <w:r w:rsidR="00CD3152" w:rsidRPr="006E14A0">
        <w:t>.</w:t>
      </w:r>
    </w:p>
    <w:p w14:paraId="7BBBED1C" w14:textId="7CCCAD26" w:rsidR="00CD3152" w:rsidRDefault="00F21BD2" w:rsidP="00CD3152">
      <w:pPr>
        <w:ind w:firstLine="708"/>
        <w:jc w:val="both"/>
      </w:pPr>
      <w:r w:rsidRPr="00F21BD2">
        <w:t>Datele GBD 2023 indică o povară semnificativ mai mare a anilor de viață ajustați pentru dizabilitate atribuibili fumatului în rândul bărbaților din România, comparativ cu media Uniunii Europene. Rata standardizată pentru toate cauzele este cu 7</w:t>
      </w:r>
      <w:r w:rsidR="005E6F5A">
        <w:t>2,8</w:t>
      </w:r>
      <w:r w:rsidRPr="00F21BD2">
        <w:t>% mai mare, diferențele cele mai importante fiind observate pentru bolile cardiovasculare, accidentul vascular cerebral și boala ischemică cardiacă. La femei, rata totală a DALYs este doar ușor mai mare decât media UE, însă componenta cardiovasculară este considerabil mai ridicată. În schimb, ratele atribuibile neoplasmelor, cancerului bronhopulmonar și bolilor respiratorii cronice sunt mai scăzute la femeile din România decât la nivelul UE.</w:t>
      </w:r>
      <w:r w:rsidR="00CD3152">
        <w:t xml:space="preserve"> (</w:t>
      </w:r>
      <w:r w:rsidR="00CD3152">
        <w:fldChar w:fldCharType="begin"/>
      </w:r>
      <w:r w:rsidR="00CD3152">
        <w:instrText xml:space="preserve"> REF _Ref211576718 \h </w:instrText>
      </w:r>
      <w:r w:rsidR="00CD3152">
        <w:fldChar w:fldCharType="separate"/>
      </w:r>
      <w:r w:rsidR="00CD3152">
        <w:t xml:space="preserve">Tabel </w:t>
      </w:r>
      <w:r w:rsidR="00CD3152">
        <w:rPr>
          <w:noProof/>
        </w:rPr>
        <w:t>III</w:t>
      </w:r>
      <w:r w:rsidR="00CD3152">
        <w:noBreakHyphen/>
      </w:r>
      <w:r w:rsidR="00CD3152">
        <w:rPr>
          <w:noProof/>
        </w:rPr>
        <w:t>3</w:t>
      </w:r>
      <w:r w:rsidR="00CD3152">
        <w:fldChar w:fldCharType="end"/>
      </w:r>
      <w:r w:rsidR="00CD3152">
        <w:t>).</w:t>
      </w:r>
    </w:p>
    <w:p w14:paraId="2C1F912A" w14:textId="77777777" w:rsidR="00D756D1" w:rsidRDefault="00D756D1" w:rsidP="00CD3152">
      <w:pPr>
        <w:ind w:firstLine="708"/>
        <w:jc w:val="both"/>
      </w:pPr>
    </w:p>
    <w:p w14:paraId="03A891B1" w14:textId="2DA8C463" w:rsidR="008F238C" w:rsidRDefault="008F238C" w:rsidP="008F238C">
      <w:pPr>
        <w:pStyle w:val="Heading3"/>
      </w:pPr>
      <w:bookmarkStart w:id="90" w:name="_Toc232660573"/>
      <w:r w:rsidRPr="008F238C">
        <w:t>Costuri estimate ale consumului de tutun trad</w:t>
      </w:r>
      <w:r>
        <w:t>I</w:t>
      </w:r>
      <w:r w:rsidRPr="008F238C">
        <w:t>țional</w:t>
      </w:r>
      <w:bookmarkEnd w:id="90"/>
    </w:p>
    <w:p w14:paraId="5C889D7A" w14:textId="77777777" w:rsidR="008F238C" w:rsidRDefault="008F238C" w:rsidP="00725EF3">
      <w:pPr>
        <w:ind w:firstLine="708"/>
        <w:jc w:val="both"/>
      </w:pPr>
      <w:r>
        <w:t>E</w:t>
      </w:r>
      <w:r w:rsidRPr="003523D7">
        <w:t xml:space="preserve">stimările privind efectele asupra sănătății tutunului sunt actualizate constant, </w:t>
      </w:r>
      <w:r>
        <w:t xml:space="preserve">însă </w:t>
      </w:r>
      <w:r w:rsidRPr="003523D7">
        <w:t>costu</w:t>
      </w:r>
      <w:r>
        <w:t>rile asociate</w:t>
      </w:r>
      <w:r w:rsidRPr="003523D7">
        <w:t xml:space="preserve"> consumului de tutun </w:t>
      </w:r>
      <w:r>
        <w:t xml:space="preserve">și produselor conexe </w:t>
      </w:r>
      <w:r w:rsidRPr="003523D7">
        <w:t xml:space="preserve">pentru societate </w:t>
      </w:r>
      <w:r>
        <w:t>sunt mai</w:t>
      </w:r>
      <w:r w:rsidRPr="003523D7">
        <w:t xml:space="preserve"> greu de evaluat</w:t>
      </w:r>
      <w:r>
        <w:t xml:space="preserve">. </w:t>
      </w:r>
    </w:p>
    <w:p w14:paraId="2AA00A2B" w14:textId="60C4B6A5" w:rsidR="00244F94" w:rsidRDefault="008F238C" w:rsidP="00725EF3">
      <w:pPr>
        <w:ind w:firstLine="708"/>
        <w:jc w:val="both"/>
      </w:pPr>
      <w:r w:rsidRPr="00E10DBF">
        <w:t>Un raport recent</w:t>
      </w:r>
      <w:r w:rsidR="00E10DBF" w:rsidRPr="00E10DBF">
        <w:fldChar w:fldCharType="begin"/>
      </w:r>
      <w:r w:rsidR="00D4526D">
        <w:instrText xml:space="preserve"> ADDIN EN.CITE &lt;EndNote&gt;&lt;Cite&gt;&lt;Author&gt;Salari&lt;/Author&gt;&lt;Year&gt;2026&lt;/Year&gt;&lt;RecNum&gt;9759&lt;/RecNum&gt;&lt;DisplayText&gt;&lt;style size="10"&gt;[34]&lt;/style&gt;&lt;/DisplayText&gt;&lt;record&gt;&lt;rec-number&gt;9759&lt;/rec-number&gt;&lt;foreign-keys&gt;&lt;key app="EN" db-id="fw0prtesnvf55cepezbx255wwza5zw0ssatt" timestamp="1780352137"&gt;9759&lt;/key&gt;&lt;/foreign-keys&gt;&lt;ref-type name="Journal Article"&gt;17&lt;/ref-type&gt;&lt;contributors&gt;&lt;authors&gt;&lt;author&gt;Salari, P., Maragkoudakis, P.-A., Wollgast, J.&lt;/author&gt;&lt;/authors&gt;&lt;/contributors&gt;&lt;titles&gt;&lt;title&gt;The health-related costs attributable to tobacco in the EU&lt;/title&gt;&lt;secondary-title&gt;Publications Office of the European Union, Luxembourg, 2026,&lt;/secondary-title&gt;&lt;/titles&gt;&lt;periodical&gt;&lt;full-title&gt;Publications Office of the European Union, Luxembourg, 2026,&lt;/full-title&gt;&lt;/periodical&gt;&lt;dates&gt;&lt;year&gt;&lt;style face="normal" font="default" charset="238" size="100%"&gt;2026&lt;/style&gt;&lt;/year&gt;&lt;/dates&gt;&lt;isbn&gt;1831-9424&lt;/isbn&gt;&lt;label&gt;JRC146176&lt;/label&gt;&lt;urls&gt;&lt;related-urls&gt;&lt;url&gt;https://data.europa.eu/doi/10.2760/5833286,&lt;/url&gt;&lt;/related-urls&gt;&lt;/urls&gt;&lt;electronic-resource-num&gt;&lt;style face="normal" font="default" charset="238" size="100%"&gt;1&lt;/style&gt;&lt;style face="normal" font="default" size="100%"&gt;0.2760/5833286&lt;/style&gt;&lt;/electronic-resource-num&gt;&lt;/record&gt;&lt;/Cite&gt;&lt;/EndNote&gt;</w:instrText>
      </w:r>
      <w:r w:rsidR="00E10DBF" w:rsidRPr="00E10DBF">
        <w:fldChar w:fldCharType="separate"/>
      </w:r>
      <w:r w:rsidR="00D4526D" w:rsidRPr="00D4526D">
        <w:rPr>
          <w:noProof/>
          <w:sz w:val="20"/>
        </w:rPr>
        <w:t>[34]</w:t>
      </w:r>
      <w:r w:rsidR="00E10DBF" w:rsidRPr="00E10DBF">
        <w:fldChar w:fldCharType="end"/>
      </w:r>
      <w:r w:rsidRPr="00E10DBF">
        <w:t>,</w:t>
      </w:r>
      <w:r>
        <w:t xml:space="preserve"> bazat pe o abordare epidemiologică, </w:t>
      </w:r>
      <w:r w:rsidRPr="003523D7">
        <w:t xml:space="preserve"> </w:t>
      </w:r>
      <w:r>
        <w:t xml:space="preserve">a </w:t>
      </w:r>
      <w:r w:rsidRPr="003523D7">
        <w:t>evalu</w:t>
      </w:r>
      <w:r>
        <w:t>at</w:t>
      </w:r>
      <w:r w:rsidRPr="003523D7">
        <w:t xml:space="preserve"> costu</w:t>
      </w:r>
      <w:r>
        <w:t>rile</w:t>
      </w:r>
      <w:r w:rsidRPr="003523D7">
        <w:t xml:space="preserve"> consumului de tutun pentru întreaga UE</w:t>
      </w:r>
      <w:r>
        <w:t xml:space="preserve">, pornind de la identificarea celor mai frecvente </w:t>
      </w:r>
      <w:r w:rsidRPr="008F6B57">
        <w:t>boli pentru care tutunul este indicat ca unul dintre factorii responsabili</w:t>
      </w:r>
      <w:r>
        <w:t xml:space="preserve"> și a riscurilor relative (RR) pentru fiecare dintre acestea în literatura de specialitate recentă. </w:t>
      </w:r>
    </w:p>
    <w:p w14:paraId="45965685" w14:textId="4492CCE2" w:rsidR="00D756D1" w:rsidRDefault="008F238C" w:rsidP="00D756D1">
      <w:pPr>
        <w:ind w:firstLine="708"/>
        <w:jc w:val="both"/>
      </w:pPr>
      <w:r>
        <w:t xml:space="preserve">Datele </w:t>
      </w:r>
      <w:r w:rsidRPr="00770F14">
        <w:t xml:space="preserve">privind prevalența fumatului de tutun </w:t>
      </w:r>
      <w:r>
        <w:t>în</w:t>
      </w:r>
      <w:r w:rsidRPr="00770F14">
        <w:t xml:space="preserve"> țări</w:t>
      </w:r>
      <w:r>
        <w:t>le europene</w:t>
      </w:r>
      <w:r w:rsidRPr="00770F14">
        <w:t xml:space="preserve"> au fost obținute din EHIS</w:t>
      </w:r>
      <w:r>
        <w:t xml:space="preserve">, iar </w:t>
      </w:r>
      <w:r w:rsidRPr="00770F14">
        <w:t>fracțiunea atribuibilă fumatului (SAF</w:t>
      </w:r>
      <w:r>
        <w:t xml:space="preserve"> </w:t>
      </w:r>
      <w:r w:rsidR="00FC6244">
        <w:t>–</w:t>
      </w:r>
      <w:r>
        <w:t xml:space="preserve"> </w:t>
      </w:r>
      <w:r w:rsidRPr="00B83D99">
        <w:t>Smoking</w:t>
      </w:r>
      <w:r w:rsidR="00FC6244">
        <w:t xml:space="preserve"> </w:t>
      </w:r>
      <w:r w:rsidRPr="00B83D99">
        <w:t>-</w:t>
      </w:r>
      <w:r w:rsidR="00FC6244">
        <w:t xml:space="preserve"> </w:t>
      </w:r>
      <w:r w:rsidRPr="00B83D99">
        <w:t>Attributable Fraction</w:t>
      </w:r>
      <w:r w:rsidRPr="00770F14">
        <w:t>) pentru fiecare dintre bolile enumerate a fost calculată și aplicată la costurile bolilor găsite în literatură.</w:t>
      </w:r>
      <w:r>
        <w:t xml:space="preserve"> </w:t>
      </w:r>
      <w:r w:rsidR="00D756D1">
        <w:t>Principala limitare a analizei constă în includerea exclusivă a produselor tradiționale din tutun, întrucât datele disponibile nu permit, în prezent, estimarea costurilor asociate utilizării produselor emergente din tutun și nicotină. Deși există dovezi privind legătura dintre aceste produse și apariția unor afecțiuni specifice, informațiile sunt încă insuficiente pentru calcularea riscurilor relative, iar efectele lor pe termen lung asupra sănătății nu sunt pe deplin cunoscute.</w:t>
      </w:r>
    </w:p>
    <w:p w14:paraId="664768B4" w14:textId="51703D8B" w:rsidR="008F238C" w:rsidRPr="002020B4" w:rsidRDefault="00D756D1" w:rsidP="00D756D1">
      <w:pPr>
        <w:ind w:firstLine="708"/>
        <w:jc w:val="both"/>
        <w:rPr>
          <w:highlight w:val="yellow"/>
        </w:rPr>
      </w:pPr>
      <w:r>
        <w:t>O dificultate suplimentară este reprezentată de utilizarea concomitentă a produselor tradiționale și emergente. În aceste situații, atribuirea efectelor negative asupra sănătății unei singure categorii de produse este dificilă, deoarece acestea pot rezulta din consumul separat al fiecărui produs sau din interacțiunea și potențarea efectelor acestora.</w:t>
      </w:r>
      <w:r w:rsidR="00E10DBF" w:rsidRPr="00E10DBF">
        <w:t>Riscurile relative (RR) pentru principalele afecțiuni asociate fumatului tradițional sunt prezentate în</w:t>
      </w:r>
      <w:r w:rsidR="00C61743">
        <w:t xml:space="preserve"> tabelul următor (</w:t>
      </w:r>
      <w:r w:rsidR="00C61743">
        <w:rPr>
          <w:highlight w:val="yellow"/>
        </w:rPr>
        <w:fldChar w:fldCharType="begin"/>
      </w:r>
      <w:r w:rsidR="00C61743">
        <w:rPr>
          <w:highlight w:val="yellow"/>
        </w:rPr>
        <w:instrText xml:space="preserve"> REF _Ref232565428 \h </w:instrText>
      </w:r>
      <w:r w:rsidR="00C61743">
        <w:rPr>
          <w:highlight w:val="yellow"/>
        </w:rPr>
      </w:r>
      <w:r w:rsidR="00C61743">
        <w:rPr>
          <w:highlight w:val="yellow"/>
        </w:rPr>
        <w:fldChar w:fldCharType="separate"/>
      </w:r>
      <w:r w:rsidR="00C61743">
        <w:t xml:space="preserve">Tabel </w:t>
      </w:r>
      <w:r w:rsidR="00C61743">
        <w:rPr>
          <w:noProof/>
        </w:rPr>
        <w:t>III</w:t>
      </w:r>
      <w:r w:rsidR="00C61743">
        <w:noBreakHyphen/>
      </w:r>
      <w:r w:rsidR="00C61743">
        <w:rPr>
          <w:noProof/>
        </w:rPr>
        <w:t>4</w:t>
      </w:r>
      <w:r w:rsidR="00C61743">
        <w:rPr>
          <w:highlight w:val="yellow"/>
        </w:rPr>
        <w:fldChar w:fldCharType="end"/>
      </w:r>
      <w:r w:rsidR="00C61743">
        <w:t>)</w:t>
      </w:r>
      <w:r w:rsidR="00C61743" w:rsidRPr="00C61743">
        <w:t>.</w:t>
      </w:r>
    </w:p>
    <w:p w14:paraId="1FAA028A" w14:textId="303274BD" w:rsidR="00501624" w:rsidRDefault="00501624" w:rsidP="00501624">
      <w:pPr>
        <w:pStyle w:val="Caption"/>
        <w:keepNext/>
        <w:jc w:val="center"/>
      </w:pPr>
      <w:bookmarkStart w:id="91" w:name="_Ref232565428"/>
      <w:r>
        <w:t xml:space="preserve">Tabel </w:t>
      </w:r>
      <w:fldSimple w:instr=" STYLEREF 1 \s ">
        <w:r>
          <w:rPr>
            <w:noProof/>
          </w:rPr>
          <w:t>III</w:t>
        </w:r>
      </w:fldSimple>
      <w:r>
        <w:noBreakHyphen/>
      </w:r>
      <w:fldSimple w:instr=" SEQ Tabel \* ARABIC \s 1 ">
        <w:r>
          <w:rPr>
            <w:noProof/>
          </w:rPr>
          <w:t>4</w:t>
        </w:r>
      </w:fldSimple>
      <w:bookmarkEnd w:id="91"/>
      <w:r>
        <w:t xml:space="preserve"> </w:t>
      </w:r>
      <w:r w:rsidRPr="00E23705">
        <w:t>Riscurile relative (RR) pentru principalele afecțiuni asociate fumatului tradițional</w:t>
      </w:r>
      <w:r w:rsidR="00643FB4">
        <w:fldChar w:fldCharType="begin"/>
      </w:r>
      <w:r w:rsidR="00D4526D">
        <w:instrText xml:space="preserve"> ADDIN EN.CITE &lt;EndNote&gt;&lt;Cite&gt;&lt;Author&gt;Salari&lt;/Author&gt;&lt;Year&gt;2026&lt;/Year&gt;&lt;RecNum&gt;9759&lt;/RecNum&gt;&lt;DisplayText&gt;&lt;style size="10"&gt;[34]&lt;/style&gt;&lt;/DisplayText&gt;&lt;record&gt;&lt;rec-number&gt;9759&lt;/rec-number&gt;&lt;foreign-keys&gt;&lt;key app="EN" db-id="fw0prtesnvf55cepezbx255wwza5zw0ssatt" timestamp="1780352137"&gt;9759&lt;/key&gt;&lt;/foreign-keys&gt;&lt;ref-type name="Journal Article"&gt;17&lt;/ref-type&gt;&lt;contributors&gt;&lt;authors&gt;&lt;author&gt;Salari, P., Maragkoudakis, P.-A., Wollgast, J.&lt;/author&gt;&lt;/authors&gt;&lt;/contributors&gt;&lt;titles&gt;&lt;title&gt;The health-related costs attributable to tobacco in the EU&lt;/title&gt;&lt;secondary-title&gt;Publications Office of the European Union, Luxembourg, 2026,&lt;/secondary-title&gt;&lt;/titles&gt;&lt;periodical&gt;&lt;full-title&gt;Publications Office of the European Union, Luxembourg, 2026,&lt;/full-title&gt;&lt;/periodical&gt;&lt;dates&gt;&lt;year&gt;&lt;style face="normal" font="default" charset="238" size="100%"&gt;2026&lt;/style&gt;&lt;/year&gt;&lt;/dates&gt;&lt;isbn&gt;1831-9424&lt;/isbn&gt;&lt;label&gt;JRC146176&lt;/label&gt;&lt;urls&gt;&lt;related-urls&gt;&lt;url&gt;https://data.europa.eu/doi/10.2760/5833286,&lt;/url&gt;&lt;/related-urls&gt;&lt;/urls&gt;&lt;electronic-resource-num&gt;&lt;style face="normal" font="default" charset="238" size="100%"&gt;1&lt;/style&gt;&lt;style face="normal" font="default" size="100%"&gt;0.2760/5833286&lt;/style&gt;&lt;/electronic-resource-num&gt;&lt;/record&gt;&lt;/Cite&gt;&lt;/EndNote&gt;</w:instrText>
      </w:r>
      <w:r w:rsidR="00643FB4">
        <w:fldChar w:fldCharType="separate"/>
      </w:r>
      <w:r w:rsidR="00D4526D">
        <w:rPr>
          <w:noProof/>
        </w:rPr>
        <w:t>[34]</w:t>
      </w:r>
      <w:r w:rsidR="00643FB4">
        <w:fldChar w:fldCharType="end"/>
      </w:r>
    </w:p>
    <w:tbl>
      <w:tblPr>
        <w:tblOverlap w:val="neve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6257"/>
        <w:gridCol w:w="2945"/>
      </w:tblGrid>
      <w:tr w:rsidR="00E10DBF" w:rsidRPr="00D471AA" w14:paraId="435BE8B2" w14:textId="77777777" w:rsidTr="00AE3736">
        <w:trPr>
          <w:trHeight w:hRule="exact" w:val="682"/>
          <w:jc w:val="center"/>
        </w:trPr>
        <w:tc>
          <w:tcPr>
            <w:tcW w:w="3400" w:type="pct"/>
            <w:shd w:val="clear" w:color="auto" w:fill="FFFFFF"/>
            <w:vAlign w:val="center"/>
          </w:tcPr>
          <w:p w14:paraId="640266BD" w14:textId="4AFB8961" w:rsidR="00E10DBF" w:rsidRPr="00AE3736" w:rsidRDefault="00D471AA" w:rsidP="00D471AA">
            <w:pPr>
              <w:spacing w:line="240" w:lineRule="auto"/>
              <w:ind w:firstLine="0"/>
              <w:jc w:val="center"/>
              <w:rPr>
                <w:rFonts w:asciiTheme="minorHAnsi" w:hAnsiTheme="minorHAnsi" w:cstheme="minorHAnsi"/>
                <w:sz w:val="20"/>
                <w:szCs w:val="20"/>
              </w:rPr>
            </w:pPr>
            <w:r w:rsidRPr="00AE3736">
              <w:rPr>
                <w:rFonts w:asciiTheme="minorHAnsi" w:hAnsiTheme="minorHAnsi" w:cstheme="minorHAnsi"/>
                <w:b/>
                <w:bCs/>
                <w:sz w:val="20"/>
                <w:szCs w:val="20"/>
              </w:rPr>
              <w:t>Afecțiune</w:t>
            </w:r>
          </w:p>
        </w:tc>
        <w:tc>
          <w:tcPr>
            <w:tcW w:w="1600" w:type="pct"/>
            <w:shd w:val="clear" w:color="auto" w:fill="FFFFFF"/>
            <w:vAlign w:val="center"/>
          </w:tcPr>
          <w:p w14:paraId="4B2C4CC8" w14:textId="77777777" w:rsidR="00E10DBF" w:rsidRPr="00AE3736" w:rsidRDefault="00E10DBF" w:rsidP="00D471AA">
            <w:pPr>
              <w:spacing w:line="240" w:lineRule="auto"/>
              <w:ind w:firstLine="0"/>
              <w:jc w:val="center"/>
              <w:rPr>
                <w:rFonts w:asciiTheme="minorHAnsi" w:hAnsiTheme="minorHAnsi" w:cstheme="minorHAnsi"/>
                <w:sz w:val="20"/>
                <w:szCs w:val="20"/>
              </w:rPr>
            </w:pPr>
            <w:r w:rsidRPr="00AE3736">
              <w:rPr>
                <w:rFonts w:asciiTheme="minorHAnsi" w:hAnsiTheme="minorHAnsi" w:cstheme="minorHAnsi"/>
                <w:b/>
                <w:bCs/>
                <w:sz w:val="20"/>
                <w:szCs w:val="20"/>
              </w:rPr>
              <w:t>Risc relativ*</w:t>
            </w:r>
          </w:p>
        </w:tc>
      </w:tr>
      <w:tr w:rsidR="00E10DBF" w:rsidRPr="00D471AA" w14:paraId="2A4034A3" w14:textId="77777777" w:rsidTr="00AE3736">
        <w:trPr>
          <w:trHeight w:hRule="exact" w:val="374"/>
          <w:jc w:val="center"/>
        </w:trPr>
        <w:tc>
          <w:tcPr>
            <w:tcW w:w="3400" w:type="pct"/>
            <w:shd w:val="clear" w:color="auto" w:fill="FFFFFF"/>
            <w:vAlign w:val="bottom"/>
          </w:tcPr>
          <w:p w14:paraId="37FAD1A7" w14:textId="77777777" w:rsidR="00E10DBF" w:rsidRPr="00AE3736" w:rsidRDefault="00E10DBF" w:rsidP="00D471AA">
            <w:pPr>
              <w:spacing w:line="240" w:lineRule="auto"/>
              <w:ind w:firstLine="0"/>
              <w:jc w:val="both"/>
              <w:rPr>
                <w:rFonts w:asciiTheme="minorHAnsi" w:hAnsiTheme="minorHAnsi" w:cstheme="minorHAnsi"/>
                <w:b/>
                <w:bCs/>
                <w:sz w:val="18"/>
                <w:szCs w:val="18"/>
              </w:rPr>
            </w:pPr>
            <w:r w:rsidRPr="00AE3736">
              <w:rPr>
                <w:rFonts w:asciiTheme="minorHAnsi" w:hAnsiTheme="minorHAnsi" w:cstheme="minorHAnsi"/>
                <w:b/>
                <w:bCs/>
                <w:i/>
                <w:iCs/>
                <w:sz w:val="18"/>
                <w:szCs w:val="18"/>
              </w:rPr>
              <w:t>Neoplazii</w:t>
            </w:r>
          </w:p>
        </w:tc>
        <w:tc>
          <w:tcPr>
            <w:tcW w:w="1600" w:type="pct"/>
            <w:shd w:val="clear" w:color="auto" w:fill="FFFFFF"/>
          </w:tcPr>
          <w:p w14:paraId="2C49B71B" w14:textId="77777777" w:rsidR="00E10DBF" w:rsidRPr="00D471AA" w:rsidRDefault="00E10DBF" w:rsidP="00D471AA">
            <w:pPr>
              <w:spacing w:line="240" w:lineRule="auto"/>
              <w:ind w:firstLine="0"/>
              <w:jc w:val="center"/>
              <w:rPr>
                <w:rFonts w:asciiTheme="minorHAnsi" w:hAnsiTheme="minorHAnsi" w:cstheme="minorHAnsi"/>
                <w:sz w:val="18"/>
                <w:szCs w:val="18"/>
              </w:rPr>
            </w:pPr>
          </w:p>
        </w:tc>
      </w:tr>
      <w:tr w:rsidR="00E10DBF" w:rsidRPr="00D471AA" w14:paraId="268B0B02" w14:textId="77777777" w:rsidTr="00AE3736">
        <w:trPr>
          <w:trHeight w:hRule="exact" w:val="302"/>
          <w:jc w:val="center"/>
        </w:trPr>
        <w:tc>
          <w:tcPr>
            <w:tcW w:w="3400" w:type="pct"/>
            <w:shd w:val="clear" w:color="auto" w:fill="FFFFFF"/>
            <w:vAlign w:val="bottom"/>
          </w:tcPr>
          <w:p w14:paraId="7C302282" w14:textId="77777777" w:rsidR="00E10DBF" w:rsidRPr="00D471AA" w:rsidRDefault="00E10DBF" w:rsidP="00A62A7C">
            <w:pPr>
              <w:numPr>
                <w:ilvl w:val="0"/>
                <w:numId w:val="29"/>
              </w:numPr>
              <w:spacing w:line="240" w:lineRule="auto"/>
              <w:jc w:val="both"/>
              <w:rPr>
                <w:rFonts w:asciiTheme="minorHAnsi" w:hAnsiTheme="minorHAnsi" w:cstheme="minorHAnsi"/>
                <w:sz w:val="18"/>
                <w:szCs w:val="18"/>
              </w:rPr>
            </w:pPr>
            <w:r w:rsidRPr="00D471AA">
              <w:rPr>
                <w:rFonts w:asciiTheme="minorHAnsi" w:hAnsiTheme="minorHAnsi" w:cstheme="minorHAnsi"/>
                <w:sz w:val="18"/>
                <w:szCs w:val="18"/>
              </w:rPr>
              <w:t>Oral</w:t>
            </w:r>
          </w:p>
        </w:tc>
        <w:tc>
          <w:tcPr>
            <w:tcW w:w="1600" w:type="pct"/>
            <w:shd w:val="clear" w:color="auto" w:fill="FFFFFF"/>
            <w:vAlign w:val="bottom"/>
          </w:tcPr>
          <w:p w14:paraId="5DA8D880" w14:textId="77777777" w:rsidR="00E10DBF" w:rsidRPr="00D471AA" w:rsidRDefault="00E10DBF" w:rsidP="00D471AA">
            <w:pPr>
              <w:spacing w:line="240" w:lineRule="auto"/>
              <w:ind w:firstLine="0"/>
              <w:jc w:val="center"/>
              <w:rPr>
                <w:rFonts w:asciiTheme="minorHAnsi" w:hAnsiTheme="minorHAnsi" w:cstheme="minorHAnsi"/>
                <w:sz w:val="18"/>
                <w:szCs w:val="18"/>
              </w:rPr>
            </w:pPr>
            <w:r w:rsidRPr="00D471AA">
              <w:rPr>
                <w:rFonts w:asciiTheme="minorHAnsi" w:hAnsiTheme="minorHAnsi" w:cstheme="minorHAnsi"/>
                <w:sz w:val="18"/>
                <w:szCs w:val="18"/>
              </w:rPr>
              <w:t>2.36</w:t>
            </w:r>
          </w:p>
        </w:tc>
      </w:tr>
      <w:tr w:rsidR="00E10DBF" w:rsidRPr="00D471AA" w14:paraId="22B59AE1" w14:textId="77777777" w:rsidTr="00AE3736">
        <w:trPr>
          <w:trHeight w:hRule="exact" w:val="312"/>
          <w:jc w:val="center"/>
        </w:trPr>
        <w:tc>
          <w:tcPr>
            <w:tcW w:w="3400" w:type="pct"/>
            <w:shd w:val="clear" w:color="auto" w:fill="FFFFFF"/>
            <w:vAlign w:val="bottom"/>
          </w:tcPr>
          <w:p w14:paraId="3F320652" w14:textId="77777777" w:rsidR="00E10DBF" w:rsidRPr="00D471AA" w:rsidRDefault="00E10DBF" w:rsidP="00A62A7C">
            <w:pPr>
              <w:numPr>
                <w:ilvl w:val="0"/>
                <w:numId w:val="29"/>
              </w:numPr>
              <w:spacing w:line="240" w:lineRule="auto"/>
              <w:jc w:val="both"/>
              <w:rPr>
                <w:rFonts w:asciiTheme="minorHAnsi" w:hAnsiTheme="minorHAnsi" w:cstheme="minorHAnsi"/>
                <w:sz w:val="18"/>
                <w:szCs w:val="18"/>
              </w:rPr>
            </w:pPr>
            <w:r w:rsidRPr="00D471AA">
              <w:rPr>
                <w:rFonts w:asciiTheme="minorHAnsi" w:hAnsiTheme="minorHAnsi" w:cstheme="minorHAnsi"/>
                <w:sz w:val="18"/>
                <w:szCs w:val="18"/>
              </w:rPr>
              <w:t>Esofag</w:t>
            </w:r>
          </w:p>
        </w:tc>
        <w:tc>
          <w:tcPr>
            <w:tcW w:w="1600" w:type="pct"/>
            <w:shd w:val="clear" w:color="auto" w:fill="FFFFFF"/>
            <w:vAlign w:val="bottom"/>
          </w:tcPr>
          <w:p w14:paraId="7D295346" w14:textId="77777777" w:rsidR="00E10DBF" w:rsidRPr="00D471AA" w:rsidRDefault="00E10DBF" w:rsidP="00D471AA">
            <w:pPr>
              <w:spacing w:line="240" w:lineRule="auto"/>
              <w:ind w:firstLine="0"/>
              <w:jc w:val="center"/>
              <w:rPr>
                <w:rFonts w:asciiTheme="minorHAnsi" w:hAnsiTheme="minorHAnsi" w:cstheme="minorHAnsi"/>
                <w:sz w:val="18"/>
                <w:szCs w:val="18"/>
              </w:rPr>
            </w:pPr>
            <w:r w:rsidRPr="00D471AA">
              <w:rPr>
                <w:rFonts w:asciiTheme="minorHAnsi" w:hAnsiTheme="minorHAnsi" w:cstheme="minorHAnsi"/>
                <w:sz w:val="18"/>
                <w:szCs w:val="18"/>
              </w:rPr>
              <w:t>6.95</w:t>
            </w:r>
          </w:p>
        </w:tc>
      </w:tr>
      <w:tr w:rsidR="00E10DBF" w:rsidRPr="00D471AA" w14:paraId="3F9C545E" w14:textId="77777777" w:rsidTr="00AE3736">
        <w:trPr>
          <w:trHeight w:hRule="exact" w:val="288"/>
          <w:jc w:val="center"/>
        </w:trPr>
        <w:tc>
          <w:tcPr>
            <w:tcW w:w="3400" w:type="pct"/>
            <w:shd w:val="clear" w:color="auto" w:fill="FFFFFF"/>
            <w:vAlign w:val="bottom"/>
          </w:tcPr>
          <w:p w14:paraId="2C038035" w14:textId="77777777" w:rsidR="00E10DBF" w:rsidRPr="00D471AA" w:rsidRDefault="00E10DBF" w:rsidP="00A62A7C">
            <w:pPr>
              <w:numPr>
                <w:ilvl w:val="0"/>
                <w:numId w:val="29"/>
              </w:numPr>
              <w:spacing w:line="240" w:lineRule="auto"/>
              <w:jc w:val="both"/>
              <w:rPr>
                <w:rFonts w:asciiTheme="minorHAnsi" w:hAnsiTheme="minorHAnsi" w:cstheme="minorHAnsi"/>
                <w:sz w:val="18"/>
                <w:szCs w:val="18"/>
              </w:rPr>
            </w:pPr>
            <w:r w:rsidRPr="00D471AA">
              <w:rPr>
                <w:rFonts w:asciiTheme="minorHAnsi" w:hAnsiTheme="minorHAnsi" w:cstheme="minorHAnsi"/>
                <w:sz w:val="18"/>
                <w:szCs w:val="18"/>
              </w:rPr>
              <w:t>Stomac</w:t>
            </w:r>
          </w:p>
        </w:tc>
        <w:tc>
          <w:tcPr>
            <w:tcW w:w="1600" w:type="pct"/>
            <w:shd w:val="clear" w:color="auto" w:fill="FFFFFF"/>
            <w:vAlign w:val="bottom"/>
          </w:tcPr>
          <w:p w14:paraId="1D5A3C42" w14:textId="77777777" w:rsidR="00E10DBF" w:rsidRPr="00D471AA" w:rsidRDefault="00E10DBF" w:rsidP="00D471AA">
            <w:pPr>
              <w:spacing w:line="240" w:lineRule="auto"/>
              <w:ind w:firstLine="0"/>
              <w:jc w:val="center"/>
              <w:rPr>
                <w:rFonts w:asciiTheme="minorHAnsi" w:hAnsiTheme="minorHAnsi" w:cstheme="minorHAnsi"/>
                <w:sz w:val="18"/>
                <w:szCs w:val="18"/>
              </w:rPr>
            </w:pPr>
            <w:r w:rsidRPr="00D471AA">
              <w:rPr>
                <w:rFonts w:asciiTheme="minorHAnsi" w:hAnsiTheme="minorHAnsi" w:cstheme="minorHAnsi"/>
                <w:sz w:val="18"/>
                <w:szCs w:val="18"/>
              </w:rPr>
              <w:t>1.50</w:t>
            </w:r>
          </w:p>
        </w:tc>
      </w:tr>
      <w:tr w:rsidR="00E10DBF" w:rsidRPr="00D471AA" w14:paraId="58161EF4" w14:textId="77777777" w:rsidTr="00AE3736">
        <w:trPr>
          <w:trHeight w:hRule="exact" w:val="302"/>
          <w:jc w:val="center"/>
        </w:trPr>
        <w:tc>
          <w:tcPr>
            <w:tcW w:w="3400" w:type="pct"/>
            <w:shd w:val="clear" w:color="auto" w:fill="FFFFFF"/>
            <w:vAlign w:val="bottom"/>
          </w:tcPr>
          <w:p w14:paraId="6B5D6AEB" w14:textId="77777777" w:rsidR="00E10DBF" w:rsidRPr="00D471AA" w:rsidRDefault="00E10DBF" w:rsidP="00A62A7C">
            <w:pPr>
              <w:numPr>
                <w:ilvl w:val="0"/>
                <w:numId w:val="29"/>
              </w:numPr>
              <w:spacing w:line="240" w:lineRule="auto"/>
              <w:jc w:val="both"/>
              <w:rPr>
                <w:rFonts w:asciiTheme="minorHAnsi" w:hAnsiTheme="minorHAnsi" w:cstheme="minorHAnsi"/>
                <w:sz w:val="18"/>
                <w:szCs w:val="18"/>
              </w:rPr>
            </w:pPr>
            <w:r w:rsidRPr="00D471AA">
              <w:rPr>
                <w:rFonts w:asciiTheme="minorHAnsi" w:hAnsiTheme="minorHAnsi" w:cstheme="minorHAnsi"/>
                <w:sz w:val="18"/>
                <w:szCs w:val="18"/>
              </w:rPr>
              <w:t>Ficat</w:t>
            </w:r>
          </w:p>
        </w:tc>
        <w:tc>
          <w:tcPr>
            <w:tcW w:w="1600" w:type="pct"/>
            <w:shd w:val="clear" w:color="auto" w:fill="FFFFFF"/>
            <w:vAlign w:val="bottom"/>
          </w:tcPr>
          <w:p w14:paraId="79DBB23A" w14:textId="77777777" w:rsidR="00E10DBF" w:rsidRPr="00D471AA" w:rsidRDefault="00E10DBF" w:rsidP="00D471AA">
            <w:pPr>
              <w:spacing w:line="240" w:lineRule="auto"/>
              <w:ind w:firstLine="0"/>
              <w:jc w:val="center"/>
              <w:rPr>
                <w:rFonts w:asciiTheme="minorHAnsi" w:hAnsiTheme="minorHAnsi" w:cstheme="minorHAnsi"/>
                <w:sz w:val="18"/>
                <w:szCs w:val="18"/>
              </w:rPr>
            </w:pPr>
            <w:r w:rsidRPr="00D471AA">
              <w:rPr>
                <w:rFonts w:asciiTheme="minorHAnsi" w:hAnsiTheme="minorHAnsi" w:cstheme="minorHAnsi"/>
                <w:sz w:val="18"/>
                <w:szCs w:val="18"/>
              </w:rPr>
              <w:t>1.52</w:t>
            </w:r>
          </w:p>
        </w:tc>
      </w:tr>
      <w:tr w:rsidR="00E10DBF" w:rsidRPr="00D471AA" w14:paraId="5AD072F1" w14:textId="77777777" w:rsidTr="00AE3736">
        <w:trPr>
          <w:trHeight w:hRule="exact" w:val="302"/>
          <w:jc w:val="center"/>
        </w:trPr>
        <w:tc>
          <w:tcPr>
            <w:tcW w:w="3400" w:type="pct"/>
            <w:shd w:val="clear" w:color="auto" w:fill="FFFFFF"/>
            <w:vAlign w:val="bottom"/>
          </w:tcPr>
          <w:p w14:paraId="63AE496F" w14:textId="77777777" w:rsidR="00E10DBF" w:rsidRPr="00D471AA" w:rsidRDefault="00E10DBF" w:rsidP="00A62A7C">
            <w:pPr>
              <w:numPr>
                <w:ilvl w:val="0"/>
                <w:numId w:val="29"/>
              </w:numPr>
              <w:spacing w:line="240" w:lineRule="auto"/>
              <w:jc w:val="both"/>
              <w:rPr>
                <w:rFonts w:asciiTheme="minorHAnsi" w:hAnsiTheme="minorHAnsi" w:cstheme="minorHAnsi"/>
                <w:sz w:val="18"/>
                <w:szCs w:val="18"/>
              </w:rPr>
            </w:pPr>
            <w:r w:rsidRPr="00D471AA">
              <w:rPr>
                <w:rFonts w:asciiTheme="minorHAnsi" w:hAnsiTheme="minorHAnsi" w:cstheme="minorHAnsi"/>
                <w:sz w:val="18"/>
                <w:szCs w:val="18"/>
              </w:rPr>
              <w:t>Pancreas</w:t>
            </w:r>
          </w:p>
        </w:tc>
        <w:tc>
          <w:tcPr>
            <w:tcW w:w="1600" w:type="pct"/>
            <w:shd w:val="clear" w:color="auto" w:fill="FFFFFF"/>
            <w:vAlign w:val="bottom"/>
          </w:tcPr>
          <w:p w14:paraId="30441C83" w14:textId="77777777" w:rsidR="00E10DBF" w:rsidRPr="00D471AA" w:rsidRDefault="00E10DBF" w:rsidP="00D471AA">
            <w:pPr>
              <w:spacing w:line="240" w:lineRule="auto"/>
              <w:ind w:firstLine="0"/>
              <w:jc w:val="center"/>
              <w:rPr>
                <w:rFonts w:asciiTheme="minorHAnsi" w:hAnsiTheme="minorHAnsi" w:cstheme="minorHAnsi"/>
                <w:sz w:val="18"/>
                <w:szCs w:val="18"/>
              </w:rPr>
            </w:pPr>
            <w:r w:rsidRPr="00D471AA">
              <w:rPr>
                <w:rFonts w:asciiTheme="minorHAnsi" w:hAnsiTheme="minorHAnsi" w:cstheme="minorHAnsi"/>
                <w:sz w:val="18"/>
                <w:szCs w:val="18"/>
              </w:rPr>
              <w:t>1.80</w:t>
            </w:r>
          </w:p>
        </w:tc>
      </w:tr>
      <w:tr w:rsidR="00E10DBF" w:rsidRPr="00D471AA" w14:paraId="32D13DBA" w14:textId="77777777" w:rsidTr="00AE3736">
        <w:trPr>
          <w:trHeight w:hRule="exact" w:val="302"/>
          <w:jc w:val="center"/>
        </w:trPr>
        <w:tc>
          <w:tcPr>
            <w:tcW w:w="3400" w:type="pct"/>
            <w:shd w:val="clear" w:color="auto" w:fill="FFFFFF"/>
            <w:vAlign w:val="bottom"/>
          </w:tcPr>
          <w:p w14:paraId="09D66B6F" w14:textId="77777777" w:rsidR="00E10DBF" w:rsidRPr="00D471AA" w:rsidRDefault="00E10DBF" w:rsidP="00A62A7C">
            <w:pPr>
              <w:numPr>
                <w:ilvl w:val="0"/>
                <w:numId w:val="29"/>
              </w:numPr>
              <w:spacing w:line="240" w:lineRule="auto"/>
              <w:jc w:val="both"/>
              <w:rPr>
                <w:rFonts w:asciiTheme="minorHAnsi" w:hAnsiTheme="minorHAnsi" w:cstheme="minorHAnsi"/>
                <w:sz w:val="18"/>
                <w:szCs w:val="18"/>
              </w:rPr>
            </w:pPr>
            <w:r w:rsidRPr="00D471AA">
              <w:rPr>
                <w:rFonts w:asciiTheme="minorHAnsi" w:hAnsiTheme="minorHAnsi" w:cstheme="minorHAnsi"/>
                <w:sz w:val="18"/>
                <w:szCs w:val="18"/>
              </w:rPr>
              <w:t>Laringe</w:t>
            </w:r>
          </w:p>
        </w:tc>
        <w:tc>
          <w:tcPr>
            <w:tcW w:w="1600" w:type="pct"/>
            <w:shd w:val="clear" w:color="auto" w:fill="FFFFFF"/>
            <w:vAlign w:val="bottom"/>
          </w:tcPr>
          <w:p w14:paraId="01E439AD" w14:textId="77777777" w:rsidR="00E10DBF" w:rsidRPr="00D471AA" w:rsidRDefault="00E10DBF" w:rsidP="00D471AA">
            <w:pPr>
              <w:spacing w:line="240" w:lineRule="auto"/>
              <w:ind w:firstLine="0"/>
              <w:jc w:val="center"/>
              <w:rPr>
                <w:rFonts w:asciiTheme="minorHAnsi" w:hAnsiTheme="minorHAnsi" w:cstheme="minorHAnsi"/>
                <w:sz w:val="18"/>
                <w:szCs w:val="18"/>
              </w:rPr>
            </w:pPr>
            <w:r w:rsidRPr="00D471AA">
              <w:rPr>
                <w:rFonts w:asciiTheme="minorHAnsi" w:hAnsiTheme="minorHAnsi" w:cstheme="minorHAnsi"/>
                <w:sz w:val="18"/>
                <w:szCs w:val="18"/>
              </w:rPr>
              <w:t>3.03</w:t>
            </w:r>
          </w:p>
        </w:tc>
      </w:tr>
      <w:tr w:rsidR="00E10DBF" w:rsidRPr="00D471AA" w14:paraId="454CB88E" w14:textId="77777777" w:rsidTr="00AE3736">
        <w:trPr>
          <w:trHeight w:hRule="exact" w:val="298"/>
          <w:jc w:val="center"/>
        </w:trPr>
        <w:tc>
          <w:tcPr>
            <w:tcW w:w="3400" w:type="pct"/>
            <w:shd w:val="clear" w:color="auto" w:fill="FFFFFF"/>
            <w:vAlign w:val="bottom"/>
          </w:tcPr>
          <w:p w14:paraId="2039DFCA" w14:textId="77777777" w:rsidR="00E10DBF" w:rsidRPr="00D471AA" w:rsidRDefault="00E10DBF" w:rsidP="00A62A7C">
            <w:pPr>
              <w:numPr>
                <w:ilvl w:val="0"/>
                <w:numId w:val="29"/>
              </w:numPr>
              <w:spacing w:line="240" w:lineRule="auto"/>
              <w:jc w:val="both"/>
              <w:rPr>
                <w:rFonts w:asciiTheme="minorHAnsi" w:hAnsiTheme="minorHAnsi" w:cstheme="minorHAnsi"/>
                <w:sz w:val="18"/>
                <w:szCs w:val="18"/>
              </w:rPr>
            </w:pPr>
            <w:r w:rsidRPr="00D471AA">
              <w:rPr>
                <w:rFonts w:asciiTheme="minorHAnsi" w:hAnsiTheme="minorHAnsi" w:cstheme="minorHAnsi"/>
                <w:sz w:val="18"/>
                <w:szCs w:val="18"/>
              </w:rPr>
              <w:lastRenderedPageBreak/>
              <w:t>Bronhopulmonar</w:t>
            </w:r>
          </w:p>
        </w:tc>
        <w:tc>
          <w:tcPr>
            <w:tcW w:w="1600" w:type="pct"/>
            <w:shd w:val="clear" w:color="auto" w:fill="FFFFFF"/>
            <w:vAlign w:val="bottom"/>
          </w:tcPr>
          <w:p w14:paraId="674B0C57" w14:textId="77777777" w:rsidR="00E10DBF" w:rsidRPr="00D471AA" w:rsidRDefault="00E10DBF" w:rsidP="00D471AA">
            <w:pPr>
              <w:spacing w:line="240" w:lineRule="auto"/>
              <w:ind w:firstLine="0"/>
              <w:jc w:val="center"/>
              <w:rPr>
                <w:rFonts w:asciiTheme="minorHAnsi" w:hAnsiTheme="minorHAnsi" w:cstheme="minorHAnsi"/>
                <w:sz w:val="18"/>
                <w:szCs w:val="18"/>
              </w:rPr>
            </w:pPr>
            <w:r w:rsidRPr="00D471AA">
              <w:rPr>
                <w:rFonts w:asciiTheme="minorHAnsi" w:hAnsiTheme="minorHAnsi" w:cstheme="minorHAnsi"/>
                <w:sz w:val="18"/>
                <w:szCs w:val="18"/>
              </w:rPr>
              <w:t>7.69</w:t>
            </w:r>
          </w:p>
        </w:tc>
      </w:tr>
      <w:tr w:rsidR="00E10DBF" w:rsidRPr="00D471AA" w14:paraId="1DE982B7" w14:textId="77777777" w:rsidTr="00AE3736">
        <w:trPr>
          <w:trHeight w:hRule="exact" w:val="293"/>
          <w:jc w:val="center"/>
        </w:trPr>
        <w:tc>
          <w:tcPr>
            <w:tcW w:w="3400" w:type="pct"/>
            <w:shd w:val="clear" w:color="auto" w:fill="FFFFFF"/>
            <w:vAlign w:val="bottom"/>
          </w:tcPr>
          <w:p w14:paraId="2B50F382" w14:textId="77777777" w:rsidR="00E10DBF" w:rsidRPr="00D471AA" w:rsidRDefault="00E10DBF" w:rsidP="00A62A7C">
            <w:pPr>
              <w:numPr>
                <w:ilvl w:val="0"/>
                <w:numId w:val="29"/>
              </w:numPr>
              <w:spacing w:line="240" w:lineRule="auto"/>
              <w:jc w:val="both"/>
              <w:rPr>
                <w:rFonts w:asciiTheme="minorHAnsi" w:hAnsiTheme="minorHAnsi" w:cstheme="minorHAnsi"/>
                <w:sz w:val="18"/>
                <w:szCs w:val="18"/>
              </w:rPr>
            </w:pPr>
            <w:r w:rsidRPr="00D471AA">
              <w:rPr>
                <w:rFonts w:asciiTheme="minorHAnsi" w:hAnsiTheme="minorHAnsi" w:cstheme="minorHAnsi"/>
                <w:sz w:val="18"/>
                <w:szCs w:val="18"/>
              </w:rPr>
              <w:t>Colul uterin</w:t>
            </w:r>
          </w:p>
        </w:tc>
        <w:tc>
          <w:tcPr>
            <w:tcW w:w="1600" w:type="pct"/>
            <w:shd w:val="clear" w:color="auto" w:fill="FFFFFF"/>
            <w:vAlign w:val="bottom"/>
          </w:tcPr>
          <w:p w14:paraId="5B9A867C" w14:textId="77777777" w:rsidR="00E10DBF" w:rsidRPr="00D471AA" w:rsidRDefault="00E10DBF" w:rsidP="00D471AA">
            <w:pPr>
              <w:spacing w:line="240" w:lineRule="auto"/>
              <w:ind w:firstLine="0"/>
              <w:jc w:val="center"/>
              <w:rPr>
                <w:rFonts w:asciiTheme="minorHAnsi" w:hAnsiTheme="minorHAnsi" w:cstheme="minorHAnsi"/>
                <w:sz w:val="18"/>
                <w:szCs w:val="18"/>
              </w:rPr>
            </w:pPr>
            <w:r w:rsidRPr="00D471AA">
              <w:rPr>
                <w:rFonts w:asciiTheme="minorHAnsi" w:hAnsiTheme="minorHAnsi" w:cstheme="minorHAnsi"/>
                <w:sz w:val="18"/>
                <w:szCs w:val="18"/>
              </w:rPr>
              <w:t>1.77</w:t>
            </w:r>
          </w:p>
        </w:tc>
      </w:tr>
      <w:tr w:rsidR="00E10DBF" w:rsidRPr="00D471AA" w14:paraId="6636E96C" w14:textId="77777777" w:rsidTr="00AE3736">
        <w:trPr>
          <w:trHeight w:hRule="exact" w:val="307"/>
          <w:jc w:val="center"/>
        </w:trPr>
        <w:tc>
          <w:tcPr>
            <w:tcW w:w="3400" w:type="pct"/>
            <w:shd w:val="clear" w:color="auto" w:fill="FFFFFF"/>
            <w:vAlign w:val="bottom"/>
          </w:tcPr>
          <w:p w14:paraId="2248558A" w14:textId="648C7017" w:rsidR="00E10DBF" w:rsidRPr="00D471AA" w:rsidRDefault="00E10DBF" w:rsidP="00A62A7C">
            <w:pPr>
              <w:numPr>
                <w:ilvl w:val="0"/>
                <w:numId w:val="29"/>
              </w:numPr>
              <w:spacing w:line="240" w:lineRule="auto"/>
              <w:jc w:val="both"/>
              <w:rPr>
                <w:rFonts w:asciiTheme="minorHAnsi" w:hAnsiTheme="minorHAnsi" w:cstheme="minorHAnsi"/>
                <w:sz w:val="18"/>
                <w:szCs w:val="18"/>
              </w:rPr>
            </w:pPr>
            <w:r w:rsidRPr="00D471AA">
              <w:rPr>
                <w:rFonts w:asciiTheme="minorHAnsi" w:hAnsiTheme="minorHAnsi" w:cstheme="minorHAnsi"/>
                <w:sz w:val="18"/>
                <w:szCs w:val="18"/>
              </w:rPr>
              <w:t>R</w:t>
            </w:r>
            <w:r w:rsidR="00207A9B" w:rsidRPr="00D471AA">
              <w:rPr>
                <w:rFonts w:asciiTheme="minorHAnsi" w:hAnsiTheme="minorHAnsi" w:cstheme="minorHAnsi"/>
                <w:sz w:val="18"/>
                <w:szCs w:val="18"/>
              </w:rPr>
              <w:t>enal</w:t>
            </w:r>
          </w:p>
        </w:tc>
        <w:tc>
          <w:tcPr>
            <w:tcW w:w="1600" w:type="pct"/>
            <w:shd w:val="clear" w:color="auto" w:fill="FFFFFF"/>
            <w:vAlign w:val="center"/>
          </w:tcPr>
          <w:p w14:paraId="4C06454E" w14:textId="77777777" w:rsidR="00E10DBF" w:rsidRPr="00D471AA" w:rsidRDefault="00E10DBF" w:rsidP="00D471AA">
            <w:pPr>
              <w:spacing w:line="240" w:lineRule="auto"/>
              <w:ind w:firstLine="0"/>
              <w:jc w:val="center"/>
              <w:rPr>
                <w:rFonts w:asciiTheme="minorHAnsi" w:hAnsiTheme="minorHAnsi" w:cstheme="minorHAnsi"/>
                <w:sz w:val="18"/>
                <w:szCs w:val="18"/>
              </w:rPr>
            </w:pPr>
            <w:r w:rsidRPr="00D471AA">
              <w:rPr>
                <w:rFonts w:asciiTheme="minorHAnsi" w:hAnsiTheme="minorHAnsi" w:cstheme="minorHAnsi"/>
                <w:sz w:val="18"/>
                <w:szCs w:val="18"/>
              </w:rPr>
              <w:t>1.47</w:t>
            </w:r>
          </w:p>
        </w:tc>
      </w:tr>
      <w:tr w:rsidR="00E10DBF" w:rsidRPr="00D471AA" w14:paraId="68854F0A" w14:textId="77777777" w:rsidTr="00AE3736">
        <w:trPr>
          <w:trHeight w:hRule="exact" w:val="293"/>
          <w:jc w:val="center"/>
        </w:trPr>
        <w:tc>
          <w:tcPr>
            <w:tcW w:w="3400" w:type="pct"/>
            <w:shd w:val="clear" w:color="auto" w:fill="FFFFFF"/>
            <w:vAlign w:val="bottom"/>
          </w:tcPr>
          <w:p w14:paraId="63A5AFF2" w14:textId="77777777" w:rsidR="00E10DBF" w:rsidRPr="00D471AA" w:rsidRDefault="00E10DBF" w:rsidP="00A62A7C">
            <w:pPr>
              <w:numPr>
                <w:ilvl w:val="0"/>
                <w:numId w:val="29"/>
              </w:numPr>
              <w:spacing w:line="240" w:lineRule="auto"/>
              <w:jc w:val="both"/>
              <w:rPr>
                <w:rFonts w:asciiTheme="minorHAnsi" w:hAnsiTheme="minorHAnsi" w:cstheme="minorHAnsi"/>
                <w:sz w:val="18"/>
                <w:szCs w:val="18"/>
              </w:rPr>
            </w:pPr>
            <w:r w:rsidRPr="00D471AA">
              <w:rPr>
                <w:rFonts w:asciiTheme="minorHAnsi" w:hAnsiTheme="minorHAnsi" w:cstheme="minorHAnsi"/>
                <w:sz w:val="18"/>
                <w:szCs w:val="18"/>
              </w:rPr>
              <w:t>Vezica urinară</w:t>
            </w:r>
          </w:p>
        </w:tc>
        <w:tc>
          <w:tcPr>
            <w:tcW w:w="1600" w:type="pct"/>
            <w:shd w:val="clear" w:color="auto" w:fill="FFFFFF"/>
            <w:vAlign w:val="bottom"/>
          </w:tcPr>
          <w:p w14:paraId="665BBD57" w14:textId="77777777" w:rsidR="00E10DBF" w:rsidRPr="00D471AA" w:rsidRDefault="00E10DBF" w:rsidP="00D471AA">
            <w:pPr>
              <w:spacing w:line="240" w:lineRule="auto"/>
              <w:ind w:firstLine="0"/>
              <w:jc w:val="center"/>
              <w:rPr>
                <w:rFonts w:asciiTheme="minorHAnsi" w:hAnsiTheme="minorHAnsi" w:cstheme="minorHAnsi"/>
                <w:sz w:val="18"/>
                <w:szCs w:val="18"/>
              </w:rPr>
            </w:pPr>
            <w:r w:rsidRPr="00D471AA">
              <w:rPr>
                <w:rFonts w:asciiTheme="minorHAnsi" w:hAnsiTheme="minorHAnsi" w:cstheme="minorHAnsi"/>
                <w:sz w:val="18"/>
                <w:szCs w:val="18"/>
              </w:rPr>
              <w:t>3.00</w:t>
            </w:r>
          </w:p>
        </w:tc>
      </w:tr>
      <w:tr w:rsidR="00E10DBF" w:rsidRPr="00D471AA" w14:paraId="10473532" w14:textId="77777777" w:rsidTr="00AE3736">
        <w:trPr>
          <w:trHeight w:hRule="exact" w:val="302"/>
          <w:jc w:val="center"/>
        </w:trPr>
        <w:tc>
          <w:tcPr>
            <w:tcW w:w="3400" w:type="pct"/>
            <w:shd w:val="clear" w:color="auto" w:fill="FFFFFF"/>
            <w:vAlign w:val="bottom"/>
          </w:tcPr>
          <w:p w14:paraId="5D36196F" w14:textId="77777777" w:rsidR="00E10DBF" w:rsidRPr="00D471AA" w:rsidRDefault="00E10DBF" w:rsidP="00A62A7C">
            <w:pPr>
              <w:numPr>
                <w:ilvl w:val="0"/>
                <w:numId w:val="29"/>
              </w:numPr>
              <w:spacing w:line="240" w:lineRule="auto"/>
              <w:jc w:val="both"/>
              <w:rPr>
                <w:rFonts w:asciiTheme="minorHAnsi" w:hAnsiTheme="minorHAnsi" w:cstheme="minorHAnsi"/>
                <w:sz w:val="18"/>
                <w:szCs w:val="18"/>
              </w:rPr>
            </w:pPr>
            <w:r w:rsidRPr="00D471AA">
              <w:rPr>
                <w:rFonts w:asciiTheme="minorHAnsi" w:hAnsiTheme="minorHAnsi" w:cstheme="minorHAnsi"/>
                <w:sz w:val="18"/>
                <w:szCs w:val="18"/>
              </w:rPr>
              <w:t>Leucemie</w:t>
            </w:r>
          </w:p>
        </w:tc>
        <w:tc>
          <w:tcPr>
            <w:tcW w:w="1600" w:type="pct"/>
            <w:shd w:val="clear" w:color="auto" w:fill="FFFFFF"/>
            <w:vAlign w:val="bottom"/>
          </w:tcPr>
          <w:p w14:paraId="7F7A9940" w14:textId="77777777" w:rsidR="00E10DBF" w:rsidRPr="00D471AA" w:rsidRDefault="00E10DBF" w:rsidP="00D471AA">
            <w:pPr>
              <w:spacing w:line="240" w:lineRule="auto"/>
              <w:ind w:firstLine="0"/>
              <w:jc w:val="center"/>
              <w:rPr>
                <w:rFonts w:asciiTheme="minorHAnsi" w:hAnsiTheme="minorHAnsi" w:cstheme="minorHAnsi"/>
                <w:sz w:val="18"/>
                <w:szCs w:val="18"/>
              </w:rPr>
            </w:pPr>
            <w:r w:rsidRPr="00D471AA">
              <w:rPr>
                <w:rFonts w:asciiTheme="minorHAnsi" w:hAnsiTheme="minorHAnsi" w:cstheme="minorHAnsi"/>
                <w:sz w:val="18"/>
                <w:szCs w:val="18"/>
              </w:rPr>
              <w:t>1.53</w:t>
            </w:r>
          </w:p>
        </w:tc>
      </w:tr>
      <w:tr w:rsidR="00E10DBF" w:rsidRPr="00D471AA" w14:paraId="119214C5" w14:textId="77777777" w:rsidTr="00AE3736">
        <w:trPr>
          <w:trHeight w:hRule="exact" w:val="298"/>
          <w:jc w:val="center"/>
        </w:trPr>
        <w:tc>
          <w:tcPr>
            <w:tcW w:w="3400" w:type="pct"/>
            <w:shd w:val="clear" w:color="auto" w:fill="FFFFFF"/>
            <w:vAlign w:val="bottom"/>
          </w:tcPr>
          <w:p w14:paraId="16D07710" w14:textId="77777777" w:rsidR="00E10DBF" w:rsidRPr="00D471AA" w:rsidRDefault="00E10DBF" w:rsidP="00A62A7C">
            <w:pPr>
              <w:numPr>
                <w:ilvl w:val="0"/>
                <w:numId w:val="29"/>
              </w:numPr>
              <w:spacing w:line="240" w:lineRule="auto"/>
              <w:jc w:val="both"/>
              <w:rPr>
                <w:rFonts w:asciiTheme="minorHAnsi" w:hAnsiTheme="minorHAnsi" w:cstheme="minorHAnsi"/>
                <w:sz w:val="18"/>
                <w:szCs w:val="18"/>
              </w:rPr>
            </w:pPr>
            <w:r w:rsidRPr="00D471AA">
              <w:rPr>
                <w:rFonts w:asciiTheme="minorHAnsi" w:hAnsiTheme="minorHAnsi" w:cstheme="minorHAnsi"/>
                <w:sz w:val="18"/>
                <w:szCs w:val="18"/>
              </w:rPr>
              <w:t>Colorectal</w:t>
            </w:r>
          </w:p>
        </w:tc>
        <w:tc>
          <w:tcPr>
            <w:tcW w:w="1600" w:type="pct"/>
            <w:shd w:val="clear" w:color="auto" w:fill="FFFFFF"/>
            <w:vAlign w:val="bottom"/>
          </w:tcPr>
          <w:p w14:paraId="5674679E" w14:textId="77777777" w:rsidR="00E10DBF" w:rsidRPr="00D471AA" w:rsidRDefault="00E10DBF" w:rsidP="00D471AA">
            <w:pPr>
              <w:spacing w:line="240" w:lineRule="auto"/>
              <w:ind w:firstLine="0"/>
              <w:jc w:val="center"/>
              <w:rPr>
                <w:rFonts w:asciiTheme="minorHAnsi" w:hAnsiTheme="minorHAnsi" w:cstheme="minorHAnsi"/>
                <w:sz w:val="18"/>
                <w:szCs w:val="18"/>
              </w:rPr>
            </w:pPr>
            <w:r w:rsidRPr="00D471AA">
              <w:rPr>
                <w:rFonts w:asciiTheme="minorHAnsi" w:hAnsiTheme="minorHAnsi" w:cstheme="minorHAnsi"/>
                <w:sz w:val="18"/>
                <w:szCs w:val="18"/>
              </w:rPr>
              <w:t>1.17</w:t>
            </w:r>
          </w:p>
        </w:tc>
      </w:tr>
      <w:tr w:rsidR="00E10DBF" w:rsidRPr="00D471AA" w14:paraId="6F070B52" w14:textId="77777777" w:rsidTr="00AE3736">
        <w:trPr>
          <w:trHeight w:hRule="exact" w:val="302"/>
          <w:jc w:val="center"/>
        </w:trPr>
        <w:tc>
          <w:tcPr>
            <w:tcW w:w="3400" w:type="pct"/>
            <w:shd w:val="clear" w:color="auto" w:fill="FFFFFF"/>
            <w:vAlign w:val="bottom"/>
          </w:tcPr>
          <w:p w14:paraId="2C33855C" w14:textId="77777777" w:rsidR="00E10DBF" w:rsidRPr="00AE3736" w:rsidRDefault="00E10DBF" w:rsidP="00D471AA">
            <w:pPr>
              <w:spacing w:line="240" w:lineRule="auto"/>
              <w:ind w:firstLine="0"/>
              <w:jc w:val="both"/>
              <w:rPr>
                <w:rFonts w:asciiTheme="minorHAnsi" w:hAnsiTheme="minorHAnsi" w:cstheme="minorHAnsi"/>
                <w:b/>
                <w:bCs/>
                <w:sz w:val="18"/>
                <w:szCs w:val="18"/>
              </w:rPr>
            </w:pPr>
            <w:r w:rsidRPr="00AE3736">
              <w:rPr>
                <w:rFonts w:asciiTheme="minorHAnsi" w:hAnsiTheme="minorHAnsi" w:cstheme="minorHAnsi"/>
                <w:b/>
                <w:bCs/>
                <w:i/>
                <w:iCs/>
                <w:sz w:val="18"/>
                <w:szCs w:val="18"/>
              </w:rPr>
              <w:t>Boli cardiovasculare</w:t>
            </w:r>
          </w:p>
        </w:tc>
        <w:tc>
          <w:tcPr>
            <w:tcW w:w="1600" w:type="pct"/>
            <w:shd w:val="clear" w:color="auto" w:fill="FFFFFF"/>
          </w:tcPr>
          <w:p w14:paraId="4F8FF250" w14:textId="77777777" w:rsidR="00E10DBF" w:rsidRPr="00D471AA" w:rsidRDefault="00E10DBF" w:rsidP="00D471AA">
            <w:pPr>
              <w:spacing w:line="240" w:lineRule="auto"/>
              <w:ind w:firstLine="0"/>
              <w:jc w:val="center"/>
              <w:rPr>
                <w:rFonts w:asciiTheme="minorHAnsi" w:hAnsiTheme="minorHAnsi" w:cstheme="minorHAnsi"/>
                <w:sz w:val="18"/>
                <w:szCs w:val="18"/>
              </w:rPr>
            </w:pPr>
          </w:p>
        </w:tc>
      </w:tr>
      <w:tr w:rsidR="00E10DBF" w:rsidRPr="00D471AA" w14:paraId="0E9B826E" w14:textId="77777777" w:rsidTr="00AE3736">
        <w:trPr>
          <w:trHeight w:hRule="exact" w:val="302"/>
          <w:jc w:val="center"/>
        </w:trPr>
        <w:tc>
          <w:tcPr>
            <w:tcW w:w="3400" w:type="pct"/>
            <w:shd w:val="clear" w:color="auto" w:fill="FFFFFF"/>
            <w:vAlign w:val="bottom"/>
          </w:tcPr>
          <w:p w14:paraId="7C4A33A2" w14:textId="77777777" w:rsidR="00E10DBF" w:rsidRPr="00D471AA" w:rsidRDefault="00E10DBF" w:rsidP="00A62A7C">
            <w:pPr>
              <w:numPr>
                <w:ilvl w:val="0"/>
                <w:numId w:val="30"/>
              </w:numPr>
              <w:spacing w:line="240" w:lineRule="auto"/>
              <w:jc w:val="both"/>
              <w:rPr>
                <w:rFonts w:asciiTheme="minorHAnsi" w:hAnsiTheme="minorHAnsi" w:cstheme="minorHAnsi"/>
                <w:sz w:val="18"/>
                <w:szCs w:val="18"/>
              </w:rPr>
            </w:pPr>
            <w:r w:rsidRPr="00D471AA">
              <w:rPr>
                <w:rFonts w:asciiTheme="minorHAnsi" w:hAnsiTheme="minorHAnsi" w:cstheme="minorHAnsi"/>
                <w:sz w:val="18"/>
                <w:szCs w:val="18"/>
              </w:rPr>
              <w:t>Bola ischemică a inimii (BCI)</w:t>
            </w:r>
          </w:p>
        </w:tc>
        <w:tc>
          <w:tcPr>
            <w:tcW w:w="1600" w:type="pct"/>
            <w:shd w:val="clear" w:color="auto" w:fill="FFFFFF"/>
            <w:vAlign w:val="bottom"/>
          </w:tcPr>
          <w:p w14:paraId="45ABCEF4" w14:textId="77777777" w:rsidR="00E10DBF" w:rsidRPr="00D471AA" w:rsidRDefault="00E10DBF" w:rsidP="00D471AA">
            <w:pPr>
              <w:spacing w:line="240" w:lineRule="auto"/>
              <w:ind w:firstLine="0"/>
              <w:jc w:val="center"/>
              <w:rPr>
                <w:rFonts w:asciiTheme="minorHAnsi" w:hAnsiTheme="minorHAnsi" w:cstheme="minorHAnsi"/>
                <w:sz w:val="18"/>
                <w:szCs w:val="18"/>
              </w:rPr>
            </w:pPr>
            <w:r w:rsidRPr="00D471AA">
              <w:rPr>
                <w:rFonts w:asciiTheme="minorHAnsi" w:hAnsiTheme="minorHAnsi" w:cstheme="minorHAnsi"/>
                <w:sz w:val="18"/>
                <w:szCs w:val="18"/>
              </w:rPr>
              <w:t>2.03</w:t>
            </w:r>
          </w:p>
        </w:tc>
      </w:tr>
      <w:tr w:rsidR="00E10DBF" w:rsidRPr="00D471AA" w14:paraId="5A492C85" w14:textId="77777777" w:rsidTr="00AE3736">
        <w:trPr>
          <w:trHeight w:hRule="exact" w:val="298"/>
          <w:jc w:val="center"/>
        </w:trPr>
        <w:tc>
          <w:tcPr>
            <w:tcW w:w="3400" w:type="pct"/>
            <w:shd w:val="clear" w:color="auto" w:fill="FFFFFF"/>
            <w:vAlign w:val="bottom"/>
          </w:tcPr>
          <w:p w14:paraId="7EE75E58" w14:textId="77777777" w:rsidR="00E10DBF" w:rsidRPr="00D471AA" w:rsidRDefault="00E10DBF" w:rsidP="00A62A7C">
            <w:pPr>
              <w:numPr>
                <w:ilvl w:val="0"/>
                <w:numId w:val="30"/>
              </w:numPr>
              <w:spacing w:line="240" w:lineRule="auto"/>
              <w:jc w:val="both"/>
              <w:rPr>
                <w:rFonts w:asciiTheme="minorHAnsi" w:hAnsiTheme="minorHAnsi" w:cstheme="minorHAnsi"/>
                <w:sz w:val="18"/>
                <w:szCs w:val="18"/>
              </w:rPr>
            </w:pPr>
            <w:r w:rsidRPr="00D471AA">
              <w:rPr>
                <w:rFonts w:asciiTheme="minorHAnsi" w:hAnsiTheme="minorHAnsi" w:cstheme="minorHAnsi"/>
                <w:sz w:val="18"/>
                <w:szCs w:val="18"/>
              </w:rPr>
              <w:t>Accident vascular cerebral (AVC)</w:t>
            </w:r>
          </w:p>
        </w:tc>
        <w:tc>
          <w:tcPr>
            <w:tcW w:w="1600" w:type="pct"/>
            <w:shd w:val="clear" w:color="auto" w:fill="FFFFFF"/>
            <w:vAlign w:val="bottom"/>
          </w:tcPr>
          <w:p w14:paraId="0D1B5281" w14:textId="77777777" w:rsidR="00E10DBF" w:rsidRPr="00D471AA" w:rsidRDefault="00E10DBF" w:rsidP="00D471AA">
            <w:pPr>
              <w:spacing w:line="240" w:lineRule="auto"/>
              <w:ind w:firstLine="0"/>
              <w:jc w:val="center"/>
              <w:rPr>
                <w:rFonts w:asciiTheme="minorHAnsi" w:hAnsiTheme="minorHAnsi" w:cstheme="minorHAnsi"/>
                <w:sz w:val="18"/>
                <w:szCs w:val="18"/>
              </w:rPr>
            </w:pPr>
            <w:r w:rsidRPr="00D471AA">
              <w:rPr>
                <w:rFonts w:asciiTheme="minorHAnsi" w:hAnsiTheme="minorHAnsi" w:cstheme="minorHAnsi"/>
                <w:sz w:val="18"/>
                <w:szCs w:val="18"/>
              </w:rPr>
              <w:t>1.75</w:t>
            </w:r>
          </w:p>
        </w:tc>
      </w:tr>
      <w:tr w:rsidR="00E10DBF" w:rsidRPr="00D471AA" w14:paraId="06CA9132" w14:textId="77777777" w:rsidTr="00AE3736">
        <w:trPr>
          <w:trHeight w:hRule="exact" w:val="312"/>
          <w:jc w:val="center"/>
        </w:trPr>
        <w:tc>
          <w:tcPr>
            <w:tcW w:w="3400" w:type="pct"/>
            <w:shd w:val="clear" w:color="auto" w:fill="FFFFFF"/>
            <w:vAlign w:val="bottom"/>
          </w:tcPr>
          <w:p w14:paraId="443DC475" w14:textId="77777777" w:rsidR="00E10DBF" w:rsidRPr="00AE3736" w:rsidRDefault="00E10DBF" w:rsidP="00D471AA">
            <w:pPr>
              <w:spacing w:line="240" w:lineRule="auto"/>
              <w:ind w:firstLine="0"/>
              <w:jc w:val="both"/>
              <w:rPr>
                <w:rFonts w:asciiTheme="minorHAnsi" w:hAnsiTheme="minorHAnsi" w:cstheme="minorHAnsi"/>
                <w:b/>
                <w:bCs/>
                <w:sz w:val="18"/>
                <w:szCs w:val="18"/>
              </w:rPr>
            </w:pPr>
            <w:r w:rsidRPr="00AE3736">
              <w:rPr>
                <w:rFonts w:asciiTheme="minorHAnsi" w:hAnsiTheme="minorHAnsi" w:cstheme="minorHAnsi"/>
                <w:b/>
                <w:bCs/>
                <w:i/>
                <w:iCs/>
                <w:sz w:val="18"/>
                <w:szCs w:val="18"/>
              </w:rPr>
              <w:t>Boală respiratorie</w:t>
            </w:r>
          </w:p>
        </w:tc>
        <w:tc>
          <w:tcPr>
            <w:tcW w:w="1600" w:type="pct"/>
            <w:shd w:val="clear" w:color="auto" w:fill="FFFFFF"/>
          </w:tcPr>
          <w:p w14:paraId="10A683B0" w14:textId="77777777" w:rsidR="00E10DBF" w:rsidRPr="00D471AA" w:rsidRDefault="00E10DBF" w:rsidP="00D471AA">
            <w:pPr>
              <w:spacing w:line="240" w:lineRule="auto"/>
              <w:ind w:firstLine="0"/>
              <w:jc w:val="center"/>
              <w:rPr>
                <w:rFonts w:asciiTheme="minorHAnsi" w:hAnsiTheme="minorHAnsi" w:cstheme="minorHAnsi"/>
                <w:sz w:val="18"/>
                <w:szCs w:val="18"/>
              </w:rPr>
            </w:pPr>
          </w:p>
        </w:tc>
      </w:tr>
      <w:tr w:rsidR="00E10DBF" w:rsidRPr="00D471AA" w14:paraId="2AC85062" w14:textId="77777777" w:rsidTr="00AE3736">
        <w:trPr>
          <w:trHeight w:hRule="exact" w:val="288"/>
          <w:jc w:val="center"/>
        </w:trPr>
        <w:tc>
          <w:tcPr>
            <w:tcW w:w="3400" w:type="pct"/>
            <w:shd w:val="clear" w:color="auto" w:fill="FFFFFF"/>
            <w:vAlign w:val="bottom"/>
          </w:tcPr>
          <w:p w14:paraId="2430E8D5" w14:textId="77777777" w:rsidR="00E10DBF" w:rsidRPr="00D471AA" w:rsidRDefault="00E10DBF" w:rsidP="00A62A7C">
            <w:pPr>
              <w:numPr>
                <w:ilvl w:val="0"/>
                <w:numId w:val="31"/>
              </w:numPr>
              <w:spacing w:line="240" w:lineRule="auto"/>
              <w:jc w:val="both"/>
              <w:rPr>
                <w:rFonts w:asciiTheme="minorHAnsi" w:hAnsiTheme="minorHAnsi" w:cstheme="minorHAnsi"/>
                <w:sz w:val="18"/>
                <w:szCs w:val="18"/>
              </w:rPr>
            </w:pPr>
            <w:r w:rsidRPr="00D471AA">
              <w:rPr>
                <w:rFonts w:asciiTheme="minorHAnsi" w:hAnsiTheme="minorHAnsi" w:cstheme="minorHAnsi"/>
                <w:sz w:val="18"/>
                <w:szCs w:val="18"/>
              </w:rPr>
              <w:t>Pneumonie</w:t>
            </w:r>
          </w:p>
        </w:tc>
        <w:tc>
          <w:tcPr>
            <w:tcW w:w="1600" w:type="pct"/>
            <w:shd w:val="clear" w:color="auto" w:fill="FFFFFF"/>
            <w:vAlign w:val="bottom"/>
          </w:tcPr>
          <w:p w14:paraId="0360F9AA" w14:textId="77777777" w:rsidR="00E10DBF" w:rsidRPr="00D471AA" w:rsidRDefault="00E10DBF" w:rsidP="00D471AA">
            <w:pPr>
              <w:spacing w:line="240" w:lineRule="auto"/>
              <w:ind w:firstLine="0"/>
              <w:jc w:val="center"/>
              <w:rPr>
                <w:rFonts w:asciiTheme="minorHAnsi" w:hAnsiTheme="minorHAnsi" w:cstheme="minorHAnsi"/>
                <w:sz w:val="18"/>
                <w:szCs w:val="18"/>
              </w:rPr>
            </w:pPr>
            <w:r w:rsidRPr="00D471AA">
              <w:rPr>
                <w:rFonts w:asciiTheme="minorHAnsi" w:hAnsiTheme="minorHAnsi" w:cstheme="minorHAnsi"/>
                <w:sz w:val="18"/>
                <w:szCs w:val="18"/>
              </w:rPr>
              <w:t>1.52</w:t>
            </w:r>
          </w:p>
        </w:tc>
      </w:tr>
      <w:tr w:rsidR="00E10DBF" w:rsidRPr="00D471AA" w14:paraId="5CFAEA66" w14:textId="77777777" w:rsidTr="00AE3736">
        <w:trPr>
          <w:trHeight w:hRule="exact" w:val="307"/>
          <w:jc w:val="center"/>
        </w:trPr>
        <w:tc>
          <w:tcPr>
            <w:tcW w:w="3400" w:type="pct"/>
            <w:shd w:val="clear" w:color="auto" w:fill="FFFFFF"/>
            <w:vAlign w:val="bottom"/>
          </w:tcPr>
          <w:p w14:paraId="61C078C5" w14:textId="77777777" w:rsidR="00E10DBF" w:rsidRPr="00D471AA" w:rsidRDefault="00E10DBF" w:rsidP="00A62A7C">
            <w:pPr>
              <w:numPr>
                <w:ilvl w:val="0"/>
                <w:numId w:val="31"/>
              </w:numPr>
              <w:spacing w:line="240" w:lineRule="auto"/>
              <w:jc w:val="both"/>
              <w:rPr>
                <w:rFonts w:asciiTheme="minorHAnsi" w:hAnsiTheme="minorHAnsi" w:cstheme="minorHAnsi"/>
                <w:sz w:val="18"/>
                <w:szCs w:val="18"/>
              </w:rPr>
            </w:pPr>
            <w:r w:rsidRPr="00D471AA">
              <w:rPr>
                <w:rFonts w:asciiTheme="minorHAnsi" w:hAnsiTheme="minorHAnsi" w:cstheme="minorHAnsi"/>
                <w:sz w:val="18"/>
                <w:szCs w:val="18"/>
              </w:rPr>
              <w:t>Bronșită și emfizem</w:t>
            </w:r>
          </w:p>
        </w:tc>
        <w:tc>
          <w:tcPr>
            <w:tcW w:w="1600" w:type="pct"/>
            <w:shd w:val="clear" w:color="auto" w:fill="FFFFFF"/>
            <w:vAlign w:val="bottom"/>
          </w:tcPr>
          <w:p w14:paraId="2FE60E1C" w14:textId="77777777" w:rsidR="00E10DBF" w:rsidRPr="00D471AA" w:rsidRDefault="00E10DBF" w:rsidP="00D471AA">
            <w:pPr>
              <w:spacing w:line="240" w:lineRule="auto"/>
              <w:ind w:firstLine="0"/>
              <w:jc w:val="center"/>
              <w:rPr>
                <w:rFonts w:asciiTheme="minorHAnsi" w:hAnsiTheme="minorHAnsi" w:cstheme="minorHAnsi"/>
                <w:sz w:val="18"/>
                <w:szCs w:val="18"/>
              </w:rPr>
            </w:pPr>
            <w:r w:rsidRPr="00D471AA">
              <w:rPr>
                <w:rFonts w:asciiTheme="minorHAnsi" w:hAnsiTheme="minorHAnsi" w:cstheme="minorHAnsi"/>
                <w:sz w:val="18"/>
                <w:szCs w:val="18"/>
              </w:rPr>
              <w:t>2.96</w:t>
            </w:r>
          </w:p>
        </w:tc>
      </w:tr>
      <w:tr w:rsidR="00E10DBF" w:rsidRPr="00D471AA" w14:paraId="48E42047" w14:textId="77777777" w:rsidTr="00AE3736">
        <w:trPr>
          <w:trHeight w:hRule="exact" w:val="298"/>
          <w:jc w:val="center"/>
        </w:trPr>
        <w:tc>
          <w:tcPr>
            <w:tcW w:w="3400" w:type="pct"/>
            <w:shd w:val="clear" w:color="auto" w:fill="FFFFFF"/>
            <w:vAlign w:val="bottom"/>
          </w:tcPr>
          <w:p w14:paraId="20FF3E12" w14:textId="77777777" w:rsidR="00E10DBF" w:rsidRPr="00D471AA" w:rsidRDefault="00E10DBF" w:rsidP="00A62A7C">
            <w:pPr>
              <w:numPr>
                <w:ilvl w:val="0"/>
                <w:numId w:val="31"/>
              </w:numPr>
              <w:spacing w:line="240" w:lineRule="auto"/>
              <w:jc w:val="both"/>
              <w:rPr>
                <w:rFonts w:asciiTheme="minorHAnsi" w:hAnsiTheme="minorHAnsi" w:cstheme="minorHAnsi"/>
                <w:sz w:val="18"/>
                <w:szCs w:val="18"/>
              </w:rPr>
            </w:pPr>
            <w:r w:rsidRPr="00D471AA">
              <w:rPr>
                <w:rFonts w:asciiTheme="minorHAnsi" w:hAnsiTheme="minorHAnsi" w:cstheme="minorHAnsi"/>
                <w:sz w:val="18"/>
                <w:szCs w:val="18"/>
              </w:rPr>
              <w:t>Boala pulmonară obstructivă cronică (BPCO)</w:t>
            </w:r>
          </w:p>
        </w:tc>
        <w:tc>
          <w:tcPr>
            <w:tcW w:w="1600" w:type="pct"/>
            <w:shd w:val="clear" w:color="auto" w:fill="FFFFFF"/>
            <w:vAlign w:val="bottom"/>
          </w:tcPr>
          <w:p w14:paraId="7AFD0B68" w14:textId="77777777" w:rsidR="00E10DBF" w:rsidRPr="00D471AA" w:rsidRDefault="00E10DBF" w:rsidP="00D471AA">
            <w:pPr>
              <w:spacing w:line="240" w:lineRule="auto"/>
              <w:ind w:firstLine="0"/>
              <w:jc w:val="center"/>
              <w:rPr>
                <w:rFonts w:asciiTheme="minorHAnsi" w:hAnsiTheme="minorHAnsi" w:cstheme="minorHAnsi"/>
                <w:sz w:val="18"/>
                <w:szCs w:val="18"/>
              </w:rPr>
            </w:pPr>
            <w:r w:rsidRPr="00D471AA">
              <w:rPr>
                <w:rFonts w:asciiTheme="minorHAnsi" w:hAnsiTheme="minorHAnsi" w:cstheme="minorHAnsi"/>
                <w:sz w:val="18"/>
                <w:szCs w:val="18"/>
              </w:rPr>
              <w:t>6.46</w:t>
            </w:r>
          </w:p>
        </w:tc>
      </w:tr>
      <w:tr w:rsidR="00E10DBF" w:rsidRPr="00D471AA" w14:paraId="75F78CAA" w14:textId="77777777" w:rsidTr="00AE3736">
        <w:trPr>
          <w:trHeight w:hRule="exact" w:val="298"/>
          <w:jc w:val="center"/>
        </w:trPr>
        <w:tc>
          <w:tcPr>
            <w:tcW w:w="3400" w:type="pct"/>
            <w:shd w:val="clear" w:color="auto" w:fill="FFFFFF"/>
            <w:vAlign w:val="bottom"/>
          </w:tcPr>
          <w:p w14:paraId="72B71C81" w14:textId="77777777" w:rsidR="00E10DBF" w:rsidRPr="00AE3736" w:rsidRDefault="00E10DBF" w:rsidP="00D471AA">
            <w:pPr>
              <w:spacing w:line="240" w:lineRule="auto"/>
              <w:ind w:firstLine="0"/>
              <w:jc w:val="both"/>
              <w:rPr>
                <w:rFonts w:asciiTheme="minorHAnsi" w:hAnsiTheme="minorHAnsi" w:cstheme="minorHAnsi"/>
                <w:b/>
                <w:bCs/>
                <w:sz w:val="18"/>
                <w:szCs w:val="18"/>
              </w:rPr>
            </w:pPr>
            <w:r w:rsidRPr="00AE3736">
              <w:rPr>
                <w:rFonts w:asciiTheme="minorHAnsi" w:hAnsiTheme="minorHAnsi" w:cstheme="minorHAnsi"/>
                <w:b/>
                <w:bCs/>
                <w:i/>
                <w:iCs/>
                <w:sz w:val="18"/>
                <w:szCs w:val="18"/>
              </w:rPr>
              <w:t>Tulburări musculo-scheletale</w:t>
            </w:r>
          </w:p>
        </w:tc>
        <w:tc>
          <w:tcPr>
            <w:tcW w:w="1600" w:type="pct"/>
            <w:shd w:val="clear" w:color="auto" w:fill="FFFFFF"/>
          </w:tcPr>
          <w:p w14:paraId="75CD8376" w14:textId="77777777" w:rsidR="00E10DBF" w:rsidRPr="00D471AA" w:rsidRDefault="00E10DBF" w:rsidP="00D471AA">
            <w:pPr>
              <w:spacing w:line="240" w:lineRule="auto"/>
              <w:ind w:firstLine="0"/>
              <w:jc w:val="center"/>
              <w:rPr>
                <w:rFonts w:asciiTheme="minorHAnsi" w:hAnsiTheme="minorHAnsi" w:cstheme="minorHAnsi"/>
                <w:sz w:val="18"/>
                <w:szCs w:val="18"/>
              </w:rPr>
            </w:pPr>
          </w:p>
        </w:tc>
      </w:tr>
      <w:tr w:rsidR="00E10DBF" w:rsidRPr="00D471AA" w14:paraId="4DC365E8" w14:textId="77777777" w:rsidTr="00AE3736">
        <w:trPr>
          <w:trHeight w:hRule="exact" w:val="302"/>
          <w:jc w:val="center"/>
        </w:trPr>
        <w:tc>
          <w:tcPr>
            <w:tcW w:w="3400" w:type="pct"/>
            <w:shd w:val="clear" w:color="auto" w:fill="FFFFFF"/>
            <w:vAlign w:val="bottom"/>
          </w:tcPr>
          <w:p w14:paraId="34DC592F" w14:textId="77777777" w:rsidR="00E10DBF" w:rsidRPr="00D471AA" w:rsidRDefault="00E10DBF" w:rsidP="00A62A7C">
            <w:pPr>
              <w:numPr>
                <w:ilvl w:val="0"/>
                <w:numId w:val="32"/>
              </w:numPr>
              <w:spacing w:line="240" w:lineRule="auto"/>
              <w:jc w:val="both"/>
              <w:rPr>
                <w:rFonts w:asciiTheme="minorHAnsi" w:hAnsiTheme="minorHAnsi" w:cstheme="minorHAnsi"/>
                <w:sz w:val="18"/>
                <w:szCs w:val="18"/>
              </w:rPr>
            </w:pPr>
            <w:r w:rsidRPr="00D471AA">
              <w:rPr>
                <w:rFonts w:asciiTheme="minorHAnsi" w:hAnsiTheme="minorHAnsi" w:cstheme="minorHAnsi"/>
                <w:sz w:val="18"/>
                <w:szCs w:val="18"/>
              </w:rPr>
              <w:t>Artrita reumatoidă</w:t>
            </w:r>
          </w:p>
        </w:tc>
        <w:tc>
          <w:tcPr>
            <w:tcW w:w="1600" w:type="pct"/>
            <w:shd w:val="clear" w:color="auto" w:fill="FFFFFF"/>
            <w:vAlign w:val="bottom"/>
          </w:tcPr>
          <w:p w14:paraId="04562AA2" w14:textId="77777777" w:rsidR="00E10DBF" w:rsidRPr="00D471AA" w:rsidRDefault="00E10DBF" w:rsidP="00D471AA">
            <w:pPr>
              <w:spacing w:line="240" w:lineRule="auto"/>
              <w:ind w:firstLine="0"/>
              <w:jc w:val="center"/>
              <w:rPr>
                <w:rFonts w:asciiTheme="minorHAnsi" w:hAnsiTheme="minorHAnsi" w:cstheme="minorHAnsi"/>
                <w:sz w:val="18"/>
                <w:szCs w:val="18"/>
              </w:rPr>
            </w:pPr>
            <w:r w:rsidRPr="00D471AA">
              <w:rPr>
                <w:rFonts w:asciiTheme="minorHAnsi" w:hAnsiTheme="minorHAnsi" w:cstheme="minorHAnsi"/>
                <w:sz w:val="18"/>
                <w:szCs w:val="18"/>
              </w:rPr>
              <w:t>1.83</w:t>
            </w:r>
          </w:p>
        </w:tc>
      </w:tr>
      <w:tr w:rsidR="00E10DBF" w:rsidRPr="00D471AA" w14:paraId="24A200CB" w14:textId="77777777" w:rsidTr="00AE3736">
        <w:trPr>
          <w:trHeight w:hRule="exact" w:val="360"/>
          <w:jc w:val="center"/>
        </w:trPr>
        <w:tc>
          <w:tcPr>
            <w:tcW w:w="3400" w:type="pct"/>
            <w:shd w:val="clear" w:color="auto" w:fill="FFFFFF"/>
            <w:vAlign w:val="bottom"/>
          </w:tcPr>
          <w:p w14:paraId="5C2943E1" w14:textId="77777777" w:rsidR="00E10DBF" w:rsidRPr="00D471AA" w:rsidRDefault="00E10DBF" w:rsidP="00A62A7C">
            <w:pPr>
              <w:numPr>
                <w:ilvl w:val="0"/>
                <w:numId w:val="33"/>
              </w:numPr>
              <w:spacing w:line="240" w:lineRule="auto"/>
              <w:jc w:val="both"/>
              <w:rPr>
                <w:rFonts w:asciiTheme="minorHAnsi" w:hAnsiTheme="minorHAnsi" w:cstheme="minorHAnsi"/>
                <w:sz w:val="18"/>
                <w:szCs w:val="18"/>
              </w:rPr>
            </w:pPr>
            <w:r w:rsidRPr="00D471AA">
              <w:rPr>
                <w:rFonts w:asciiTheme="minorHAnsi" w:hAnsiTheme="minorHAnsi" w:cstheme="minorHAnsi"/>
                <w:sz w:val="18"/>
                <w:szCs w:val="18"/>
              </w:rPr>
              <w:t>Fractură de șold</w:t>
            </w:r>
          </w:p>
        </w:tc>
        <w:tc>
          <w:tcPr>
            <w:tcW w:w="1600" w:type="pct"/>
            <w:shd w:val="clear" w:color="auto" w:fill="FFFFFF"/>
            <w:vAlign w:val="center"/>
          </w:tcPr>
          <w:p w14:paraId="361DFD55" w14:textId="77777777" w:rsidR="00E10DBF" w:rsidRPr="00D471AA" w:rsidRDefault="00E10DBF" w:rsidP="00D471AA">
            <w:pPr>
              <w:spacing w:line="240" w:lineRule="auto"/>
              <w:ind w:firstLine="0"/>
              <w:jc w:val="center"/>
              <w:rPr>
                <w:rFonts w:asciiTheme="minorHAnsi" w:hAnsiTheme="minorHAnsi" w:cstheme="minorHAnsi"/>
                <w:sz w:val="18"/>
                <w:szCs w:val="18"/>
              </w:rPr>
            </w:pPr>
            <w:r w:rsidRPr="00D471AA">
              <w:rPr>
                <w:rFonts w:asciiTheme="minorHAnsi" w:hAnsiTheme="minorHAnsi" w:cstheme="minorHAnsi"/>
                <w:sz w:val="18"/>
                <w:szCs w:val="18"/>
              </w:rPr>
              <w:t>1.42</w:t>
            </w:r>
          </w:p>
        </w:tc>
      </w:tr>
      <w:tr w:rsidR="00E10DBF" w:rsidRPr="00D471AA" w14:paraId="340EE97C" w14:textId="77777777" w:rsidTr="00AE3736">
        <w:trPr>
          <w:trHeight w:hRule="exact" w:val="370"/>
          <w:jc w:val="center"/>
        </w:trPr>
        <w:tc>
          <w:tcPr>
            <w:tcW w:w="3400" w:type="pct"/>
            <w:shd w:val="clear" w:color="auto" w:fill="FFFFFF"/>
            <w:vAlign w:val="bottom"/>
          </w:tcPr>
          <w:p w14:paraId="76052EA7" w14:textId="77777777" w:rsidR="00E10DBF" w:rsidRPr="00AE3736" w:rsidRDefault="00E10DBF" w:rsidP="00D471AA">
            <w:pPr>
              <w:spacing w:line="240" w:lineRule="auto"/>
              <w:ind w:firstLine="0"/>
              <w:jc w:val="both"/>
              <w:rPr>
                <w:rFonts w:asciiTheme="minorHAnsi" w:hAnsiTheme="minorHAnsi" w:cstheme="minorHAnsi"/>
                <w:b/>
                <w:bCs/>
                <w:sz w:val="18"/>
                <w:szCs w:val="18"/>
              </w:rPr>
            </w:pPr>
            <w:r w:rsidRPr="00AE3736">
              <w:rPr>
                <w:rFonts w:asciiTheme="minorHAnsi" w:hAnsiTheme="minorHAnsi" w:cstheme="minorHAnsi"/>
                <w:b/>
                <w:bCs/>
                <w:i/>
                <w:iCs/>
                <w:sz w:val="18"/>
                <w:szCs w:val="18"/>
              </w:rPr>
              <w:t>Diabet zaharat</w:t>
            </w:r>
          </w:p>
        </w:tc>
        <w:tc>
          <w:tcPr>
            <w:tcW w:w="1600" w:type="pct"/>
            <w:shd w:val="clear" w:color="auto" w:fill="FFFFFF"/>
            <w:vAlign w:val="center"/>
          </w:tcPr>
          <w:p w14:paraId="3FDBC4BD" w14:textId="77777777" w:rsidR="00E10DBF" w:rsidRPr="00D471AA" w:rsidRDefault="00E10DBF" w:rsidP="00D471AA">
            <w:pPr>
              <w:spacing w:line="240" w:lineRule="auto"/>
              <w:ind w:firstLine="0"/>
              <w:jc w:val="center"/>
              <w:rPr>
                <w:rFonts w:asciiTheme="minorHAnsi" w:hAnsiTheme="minorHAnsi" w:cstheme="minorHAnsi"/>
                <w:sz w:val="18"/>
                <w:szCs w:val="18"/>
              </w:rPr>
            </w:pPr>
            <w:r w:rsidRPr="00D471AA">
              <w:rPr>
                <w:rFonts w:asciiTheme="minorHAnsi" w:hAnsiTheme="minorHAnsi" w:cstheme="minorHAnsi"/>
                <w:sz w:val="18"/>
                <w:szCs w:val="18"/>
              </w:rPr>
              <w:t>1.37</w:t>
            </w:r>
          </w:p>
        </w:tc>
      </w:tr>
    </w:tbl>
    <w:p w14:paraId="329D9FA6" w14:textId="5E7AEB9A" w:rsidR="00E10DBF" w:rsidRDefault="00E10DBF" w:rsidP="00E10DBF">
      <w:pPr>
        <w:spacing w:line="240" w:lineRule="auto"/>
        <w:rPr>
          <w:i/>
          <w:iCs/>
          <w:sz w:val="16"/>
          <w:szCs w:val="16"/>
        </w:rPr>
      </w:pPr>
      <w:r w:rsidRPr="00E10DBF">
        <w:rPr>
          <w:i/>
          <w:iCs/>
          <w:sz w:val="16"/>
          <w:szCs w:val="16"/>
        </w:rPr>
        <w:t xml:space="preserve">* RR sunt derivate numai din studii prospective (de cohortă). RR-ul pentru cancerul pulmonar, boala cardiacă ischemică, accidentul vascular cerebral și fractura de șold este calculat ca medie RR pentru bărbați și femei. </w:t>
      </w:r>
    </w:p>
    <w:p w14:paraId="2B59CB91" w14:textId="77777777" w:rsidR="00811823" w:rsidRDefault="00811823" w:rsidP="00E10DBF">
      <w:pPr>
        <w:spacing w:line="240" w:lineRule="auto"/>
        <w:rPr>
          <w:i/>
          <w:iCs/>
          <w:sz w:val="16"/>
          <w:szCs w:val="16"/>
        </w:rPr>
      </w:pPr>
    </w:p>
    <w:p w14:paraId="601956DE" w14:textId="58109AA1" w:rsidR="00811823" w:rsidRPr="00811823" w:rsidRDefault="00811823" w:rsidP="00811823">
      <w:pPr>
        <w:spacing w:line="240" w:lineRule="auto"/>
        <w:jc w:val="both"/>
      </w:pPr>
      <w:r w:rsidRPr="00811823">
        <w:t>În România, fracțiile atribuibile fumatului indică o contribuție deosebit de ridicată a consumului de tutun la apariția unor afecțiuni respiratorii</w:t>
      </w:r>
      <w:r>
        <w:t>, cardiovasculare</w:t>
      </w:r>
      <w:r w:rsidRPr="00811823">
        <w:t xml:space="preserve"> și oncologice. Cele mai mari valori sunt observate pentru cancerul </w:t>
      </w:r>
      <w:r>
        <w:t>bronho</w:t>
      </w:r>
      <w:r w:rsidRPr="00811823">
        <w:t>pulmonar, aproximativ 56%, cancerul</w:t>
      </w:r>
      <w:r>
        <w:t xml:space="preserve"> de</w:t>
      </w:r>
      <w:r w:rsidRPr="00811823">
        <w:t xml:space="preserve"> esofagian</w:t>
      </w:r>
      <w:r>
        <w:t xml:space="preserve"> </w:t>
      </w:r>
      <w:r w:rsidRPr="00811823">
        <w:t>53%, și bronhopneumopatia obstructivă cronică</w:t>
      </w:r>
      <w:r>
        <w:t xml:space="preserve"> </w:t>
      </w:r>
      <w:r w:rsidRPr="00811823">
        <w:t>51%. Astfel, peste jumătate din povara acestor boli este estimată ca fiind atribuibilă fumatului.</w:t>
      </w:r>
    </w:p>
    <w:p w14:paraId="03BC32E5" w14:textId="77777777" w:rsidR="002020B4" w:rsidRPr="00E10DBF" w:rsidRDefault="002020B4" w:rsidP="00E10DBF">
      <w:pPr>
        <w:spacing w:line="240" w:lineRule="auto"/>
        <w:rPr>
          <w:i/>
          <w:iCs/>
          <w:sz w:val="16"/>
          <w:szCs w:val="16"/>
        </w:rPr>
      </w:pPr>
    </w:p>
    <w:p w14:paraId="59B34A15" w14:textId="75ED0485" w:rsidR="002A4F03" w:rsidRDefault="002B0A4E" w:rsidP="00D471AA">
      <w:pPr>
        <w:ind w:firstLine="0"/>
        <w:jc w:val="center"/>
      </w:pPr>
      <w:r>
        <w:rPr>
          <w:noProof/>
        </w:rPr>
        <w:drawing>
          <wp:inline distT="0" distB="0" distL="0" distR="0" wp14:anchorId="20D34E84" wp14:editId="63EF3D83">
            <wp:extent cx="5875020" cy="2519680"/>
            <wp:effectExtent l="0" t="0" r="11430" b="13970"/>
            <wp:docPr id="4224087" name="Chart 1">
              <a:extLst xmlns:a="http://schemas.openxmlformats.org/drawingml/2006/main">
                <a:ext uri="{FF2B5EF4-FFF2-40B4-BE49-F238E27FC236}">
                  <a16:creationId xmlns:a16="http://schemas.microsoft.com/office/drawing/2014/main" id="{40546332-5E56-92F0-0E66-1D13AAA2811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3"/>
              </a:graphicData>
            </a:graphic>
          </wp:inline>
        </w:drawing>
      </w:r>
    </w:p>
    <w:p w14:paraId="50CDCEA9" w14:textId="1F4F1CDD" w:rsidR="002A4F03" w:rsidRDefault="00501624" w:rsidP="00501624">
      <w:pPr>
        <w:pStyle w:val="Caption"/>
        <w:jc w:val="center"/>
      </w:pPr>
      <w:r>
        <w:t xml:space="preserve">Figura </w:t>
      </w:r>
      <w:fldSimple w:instr=" STYLEREF 1 \s ">
        <w:r w:rsidR="0080370C">
          <w:rPr>
            <w:noProof/>
          </w:rPr>
          <w:t>III</w:t>
        </w:r>
      </w:fldSimple>
      <w:r w:rsidR="0080370C">
        <w:t>.</w:t>
      </w:r>
      <w:fldSimple w:instr=" SEQ Figura \* ARABIC \s 1 ">
        <w:r w:rsidR="0080370C">
          <w:rPr>
            <w:noProof/>
          </w:rPr>
          <w:t>13</w:t>
        </w:r>
      </w:fldSimple>
      <w:r>
        <w:t xml:space="preserve"> </w:t>
      </w:r>
      <w:r w:rsidR="002C0916" w:rsidRPr="00E23705">
        <w:t>Fracția atribuibilă fumatului (SAF), per afecțiuni, Ro și UE</w:t>
      </w:r>
      <w:r w:rsidR="00643FB4">
        <w:fldChar w:fldCharType="begin"/>
      </w:r>
      <w:r w:rsidR="00D4526D">
        <w:instrText xml:space="preserve"> ADDIN EN.CITE &lt;EndNote&gt;&lt;Cite&gt;&lt;Author&gt;Salari&lt;/Author&gt;&lt;Year&gt;2026&lt;/Year&gt;&lt;RecNum&gt;9759&lt;/RecNum&gt;&lt;DisplayText&gt;&lt;style size="10"&gt;[34]&lt;/style&gt;&lt;/DisplayText&gt;&lt;record&gt;&lt;rec-number&gt;9759&lt;/rec-number&gt;&lt;foreign-keys&gt;&lt;key app="EN" db-id="fw0prtesnvf55cepezbx255wwza5zw0ssatt" timestamp="1780352137"&gt;9759&lt;/key&gt;&lt;/foreign-keys&gt;&lt;ref-type name="Journal Article"&gt;17&lt;/ref-type&gt;&lt;contributors&gt;&lt;authors&gt;&lt;author&gt;Salari, P., Maragkoudakis, P.-A., Wollgast, J.&lt;/author&gt;&lt;/authors&gt;&lt;/contributors&gt;&lt;titles&gt;&lt;title&gt;The health-related costs attributable to tobacco in the EU&lt;/title&gt;&lt;secondary-title&gt;Publications Office of the European Union, Luxembourg, 2026,&lt;/secondary-title&gt;&lt;/titles&gt;&lt;periodical&gt;&lt;full-title&gt;Publications Office of the European Union, Luxembourg, 2026,&lt;/full-title&gt;&lt;/periodical&gt;&lt;dates&gt;&lt;year&gt;&lt;style face="normal" font="default" charset="238" size="100%"&gt;2026&lt;/style&gt;&lt;/year&gt;&lt;/dates&gt;&lt;isbn&gt;1831-9424&lt;/isbn&gt;&lt;label&gt;JRC146176&lt;/label&gt;&lt;urls&gt;&lt;related-urls&gt;&lt;url&gt;https://data.europa.eu/doi/10.2760/5833286,&lt;/url&gt;&lt;/related-urls&gt;&lt;/urls&gt;&lt;electronic-resource-num&gt;&lt;style face="normal" font="default" charset="238" size="100%"&gt;1&lt;/style&gt;&lt;style face="normal" font="default" size="100%"&gt;0.2760/5833286&lt;/style&gt;&lt;/electronic-resource-num&gt;&lt;/record&gt;&lt;/Cite&gt;&lt;/EndNote&gt;</w:instrText>
      </w:r>
      <w:r w:rsidR="00643FB4">
        <w:fldChar w:fldCharType="separate"/>
      </w:r>
      <w:r w:rsidR="00D4526D">
        <w:rPr>
          <w:noProof/>
        </w:rPr>
        <w:t>[34]</w:t>
      </w:r>
      <w:r w:rsidR="00643FB4">
        <w:fldChar w:fldCharType="end"/>
      </w:r>
    </w:p>
    <w:p w14:paraId="6655B702" w14:textId="4E2DDEEB" w:rsidR="00725EF3" w:rsidRDefault="00207A9B" w:rsidP="00725EF3">
      <w:pPr>
        <w:ind w:firstLine="708"/>
        <w:jc w:val="both"/>
      </w:pPr>
      <w:r>
        <w:t>Pentru anul 2023, c</w:t>
      </w:r>
      <w:r w:rsidR="00725EF3">
        <w:t xml:space="preserve">osturile estimate </w:t>
      </w:r>
      <w:r>
        <w:t>ale</w:t>
      </w:r>
      <w:r w:rsidR="00725EF3">
        <w:t xml:space="preserve"> consum</w:t>
      </w:r>
      <w:r>
        <w:t>ului</w:t>
      </w:r>
      <w:r w:rsidR="00725EF3">
        <w:t xml:space="preserve"> de tutun (consumul direct al produselor tradiționale din tutun) au reprezentat 80,7 </w:t>
      </w:r>
      <w:r w:rsidR="006A4437">
        <w:t>bilioane de</w:t>
      </w:r>
      <w:r w:rsidR="00725EF3">
        <w:t xml:space="preserve"> EUR în UE, dintre care 40,4 </w:t>
      </w:r>
      <w:r w:rsidR="006A4437">
        <w:t xml:space="preserve">bilioane EUR </w:t>
      </w:r>
      <w:r w:rsidR="00725EF3">
        <w:t xml:space="preserve">au fost costuri directe și 40,2 </w:t>
      </w:r>
      <w:r w:rsidR="006A4437">
        <w:t xml:space="preserve">biloane EUR costuri </w:t>
      </w:r>
      <w:r w:rsidR="00725EF3">
        <w:t xml:space="preserve">indirecte </w:t>
      </w:r>
      <w:r w:rsidR="006A4437">
        <w:t>(</w:t>
      </w:r>
      <w:r w:rsidR="00725EF3">
        <w:t>legate de îngrijire și pierdere de producție). Aceste constatări sunt de același ordin de mărime ca în studiile anterioare, după actualizarea lor pentru inflație și ajustarea pentru compoziția actualizată a țărilor UE-27.</w:t>
      </w:r>
    </w:p>
    <w:p w14:paraId="41516E7C" w14:textId="06AD11C8" w:rsidR="008C1602" w:rsidRDefault="00C17F7E" w:rsidP="00725EF3">
      <w:pPr>
        <w:ind w:firstLine="708"/>
        <w:jc w:val="both"/>
      </w:pPr>
      <w:r>
        <w:t>P</w:t>
      </w:r>
      <w:r w:rsidRPr="00C17F7E">
        <w:t>ovara consumului de tutun nu se limitează la patologia oncologică, ci se extinde considerabil asupra bolilor metabolice, cardiovasculare și respiratorii, cu implicații importante pentru utilizarea resurselor medicale și pentru planificarea intervențiilor de prevenție</w:t>
      </w:r>
      <w:r>
        <w:t>.</w:t>
      </w:r>
      <w:r w:rsidRPr="00C17F7E">
        <w:t xml:space="preserve"> </w:t>
      </w:r>
      <w:r>
        <w:t>D</w:t>
      </w:r>
      <w:r w:rsidRPr="00C17F7E">
        <w:t xml:space="preserve">iabetul zaharat generează cea </w:t>
      </w:r>
      <w:r w:rsidRPr="00C17F7E">
        <w:lastRenderedPageBreak/>
        <w:t xml:space="preserve">mai mare povară, cu </w:t>
      </w:r>
      <w:r>
        <w:t>costuri de 1869 mil EUR</w:t>
      </w:r>
      <w:r w:rsidRPr="00C17F7E">
        <w:t xml:space="preserve"> în România, </w:t>
      </w:r>
      <w:r>
        <w:t xml:space="preserve">urmat </w:t>
      </w:r>
      <w:r w:rsidR="00332DD5" w:rsidRPr="00332DD5">
        <w:t xml:space="preserve">artrita reumatoidă </w:t>
      </w:r>
      <w:r w:rsidR="00332DD5">
        <w:t xml:space="preserve">și </w:t>
      </w:r>
      <w:r>
        <w:t xml:space="preserve">de </w:t>
      </w:r>
      <w:r w:rsidRPr="00C17F7E">
        <w:t>afecțiunile cardiovasculare</w:t>
      </w:r>
      <w:r w:rsidR="00332DD5">
        <w:t xml:space="preserve">, respectiv </w:t>
      </w:r>
      <w:r w:rsidRPr="00C17F7E">
        <w:t>bo</w:t>
      </w:r>
      <w:r w:rsidR="00332DD5">
        <w:t>ala</w:t>
      </w:r>
      <w:r w:rsidRPr="00C17F7E">
        <w:t xml:space="preserve"> cardiac</w:t>
      </w:r>
      <w:r w:rsidR="00332DD5">
        <w:t>ă</w:t>
      </w:r>
      <w:r w:rsidRPr="00C17F7E">
        <w:t xml:space="preserve"> ischemic</w:t>
      </w:r>
      <w:r w:rsidR="00332DD5">
        <w:t>ă</w:t>
      </w:r>
      <w:r w:rsidRPr="00C17F7E">
        <w:t xml:space="preserve"> și accidentele vasculare cerebrale</w:t>
      </w:r>
      <w:r w:rsidR="002A4F03">
        <w:t xml:space="preserve"> (</w:t>
      </w:r>
      <w:r w:rsidR="00C81DFB" w:rsidRPr="00C81DFB">
        <w:fldChar w:fldCharType="begin"/>
      </w:r>
      <w:r w:rsidR="00C81DFB" w:rsidRPr="00C81DFB">
        <w:instrText xml:space="preserve"> REF _Ref232565360 \h </w:instrText>
      </w:r>
      <w:r w:rsidR="00C81DFB">
        <w:instrText xml:space="preserve"> \* MERGEFORMAT </w:instrText>
      </w:r>
      <w:r w:rsidR="00C81DFB" w:rsidRPr="00C81DFB">
        <w:fldChar w:fldCharType="separate"/>
      </w:r>
      <w:r w:rsidR="00C81DFB" w:rsidRPr="00C81DFB">
        <w:t xml:space="preserve">Figura </w:t>
      </w:r>
      <w:r w:rsidR="00C81DFB" w:rsidRPr="00C81DFB">
        <w:rPr>
          <w:noProof/>
        </w:rPr>
        <w:t>III</w:t>
      </w:r>
      <w:r w:rsidR="00C81DFB" w:rsidRPr="00C81DFB">
        <w:t>.</w:t>
      </w:r>
      <w:r w:rsidR="00C81DFB" w:rsidRPr="00C81DFB">
        <w:rPr>
          <w:noProof/>
        </w:rPr>
        <w:t>15</w:t>
      </w:r>
      <w:r w:rsidR="00C81DFB" w:rsidRPr="00C81DFB">
        <w:fldChar w:fldCharType="end"/>
      </w:r>
      <w:r w:rsidR="002A4F03" w:rsidRPr="00C81DFB">
        <w:t>)</w:t>
      </w:r>
      <w:r w:rsidR="00332DD5" w:rsidRPr="00C81DFB">
        <w:t>.</w:t>
      </w:r>
    </w:p>
    <w:p w14:paraId="5911D3F0" w14:textId="348582C7" w:rsidR="0093742B" w:rsidRDefault="00A66280" w:rsidP="00D471AA">
      <w:pPr>
        <w:ind w:hanging="426"/>
        <w:jc w:val="center"/>
      </w:pPr>
      <w:r>
        <w:rPr>
          <w:noProof/>
        </w:rPr>
        <w:drawing>
          <wp:inline distT="0" distB="0" distL="0" distR="0" wp14:anchorId="00F6DE45" wp14:editId="7FA9B546">
            <wp:extent cx="6172200" cy="2519680"/>
            <wp:effectExtent l="0" t="0" r="0" b="13970"/>
            <wp:docPr id="359221688" name="Chart 1">
              <a:extLst xmlns:a="http://schemas.openxmlformats.org/drawingml/2006/main">
                <a:ext uri="{FF2B5EF4-FFF2-40B4-BE49-F238E27FC236}">
                  <a16:creationId xmlns:a16="http://schemas.microsoft.com/office/drawing/2014/main" id="{37D1BAA6-02F0-A3C6-1395-54105D3C7AE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4"/>
              </a:graphicData>
            </a:graphic>
          </wp:inline>
        </w:drawing>
      </w:r>
    </w:p>
    <w:p w14:paraId="524FE836" w14:textId="7CD4264F" w:rsidR="00C81DFB" w:rsidRDefault="00501624" w:rsidP="00C81DFB">
      <w:pPr>
        <w:pStyle w:val="Caption"/>
        <w:jc w:val="center"/>
      </w:pPr>
      <w:bookmarkStart w:id="92" w:name="_Ref232565360"/>
      <w:r>
        <w:t xml:space="preserve">Figura </w:t>
      </w:r>
      <w:fldSimple w:instr=" STYLEREF 1 \s ">
        <w:r w:rsidR="0080370C">
          <w:rPr>
            <w:noProof/>
          </w:rPr>
          <w:t>III</w:t>
        </w:r>
      </w:fldSimple>
      <w:r w:rsidR="0080370C">
        <w:t>.</w:t>
      </w:r>
      <w:fldSimple w:instr=" SEQ Figura \* ARABIC \s 1 ">
        <w:r w:rsidR="0080370C">
          <w:rPr>
            <w:noProof/>
          </w:rPr>
          <w:t>14</w:t>
        </w:r>
      </w:fldSimple>
      <w:bookmarkEnd w:id="92"/>
      <w:r>
        <w:t xml:space="preserve"> </w:t>
      </w:r>
      <w:r w:rsidR="0093742B" w:rsidRPr="00E23705">
        <w:t xml:space="preserve">Costuri </w:t>
      </w:r>
      <w:r w:rsidR="00A66280" w:rsidRPr="00E23705">
        <w:t xml:space="preserve">(directe + indirecte) </w:t>
      </w:r>
      <w:r w:rsidR="0093742B" w:rsidRPr="00E23705">
        <w:t>pentru afecțiune</w:t>
      </w:r>
      <w:r w:rsidR="00A66280" w:rsidRPr="00E23705">
        <w:t xml:space="preserve"> cauzate de fumat</w:t>
      </w:r>
      <w:r w:rsidR="0093742B" w:rsidRPr="00E23705">
        <w:t xml:space="preserve"> în țările europene </w:t>
      </w:r>
    </w:p>
    <w:p w14:paraId="696F48D6" w14:textId="2C406026" w:rsidR="0093742B" w:rsidRDefault="0093742B" w:rsidP="00C81DFB">
      <w:pPr>
        <w:pStyle w:val="Caption"/>
        <w:jc w:val="center"/>
      </w:pPr>
      <w:r w:rsidRPr="00E23705">
        <w:t>(mil</w:t>
      </w:r>
      <w:r w:rsidR="00A66280" w:rsidRPr="00E23705">
        <w:t xml:space="preserve"> EUR</w:t>
      </w:r>
      <w:r w:rsidRPr="00E23705">
        <w:t>, valori ajustate pentru inflație</w:t>
      </w:r>
      <w:r w:rsidR="00A66280" w:rsidRPr="00E23705">
        <w:t xml:space="preserve">, </w:t>
      </w:r>
      <w:r w:rsidRPr="00E23705">
        <w:t>2023</w:t>
      </w:r>
      <w:r w:rsidR="00A66280" w:rsidRPr="00E23705">
        <w:t>)</w:t>
      </w:r>
      <w:r w:rsidR="00643FB4">
        <w:fldChar w:fldCharType="begin"/>
      </w:r>
      <w:r w:rsidR="00D4526D">
        <w:instrText xml:space="preserve"> ADDIN EN.CITE &lt;EndNote&gt;&lt;Cite&gt;&lt;Author&gt;Salari&lt;/Author&gt;&lt;Year&gt;2026&lt;/Year&gt;&lt;RecNum&gt;9759&lt;/RecNum&gt;&lt;DisplayText&gt;&lt;style size="10"&gt;[34]&lt;/style&gt;&lt;/DisplayText&gt;&lt;record&gt;&lt;rec-number&gt;9759&lt;/rec-number&gt;&lt;foreign-keys&gt;&lt;key app="EN" db-id="fw0prtesnvf55cepezbx255wwza5zw0ssatt" timestamp="1780352137"&gt;9759&lt;/key&gt;&lt;/foreign-keys&gt;&lt;ref-type name="Journal Article"&gt;17&lt;/ref-type&gt;&lt;contributors&gt;&lt;authors&gt;&lt;author&gt;Salari, P., Maragkoudakis, P.-A., Wollgast, J.&lt;/author&gt;&lt;/authors&gt;&lt;/contributors&gt;&lt;titles&gt;&lt;title&gt;The health-related costs attributable to tobacco in the EU&lt;/title&gt;&lt;secondary-title&gt;Publications Office of the European Union, Luxembourg, 2026,&lt;/secondary-title&gt;&lt;/titles&gt;&lt;periodical&gt;&lt;full-title&gt;Publications Office of the European Union, Luxembourg, 2026,&lt;/full-title&gt;&lt;/periodical&gt;&lt;dates&gt;&lt;year&gt;&lt;style face="normal" font="default" charset="238" size="100%"&gt;2026&lt;/style&gt;&lt;/year&gt;&lt;/dates&gt;&lt;isbn&gt;1831-9424&lt;/isbn&gt;&lt;label&gt;JRC146176&lt;/label&gt;&lt;urls&gt;&lt;related-urls&gt;&lt;url&gt;https://data.europa.eu/doi/10.2760/5833286,&lt;/url&gt;&lt;/related-urls&gt;&lt;/urls&gt;&lt;electronic-resource-num&gt;&lt;style face="normal" font="default" charset="238" size="100%"&gt;1&lt;/style&gt;&lt;style face="normal" font="default" size="100%"&gt;0.2760/5833286&lt;/style&gt;&lt;/electronic-resource-num&gt;&lt;/record&gt;&lt;/Cite&gt;&lt;/EndNote&gt;</w:instrText>
      </w:r>
      <w:r w:rsidR="00643FB4">
        <w:fldChar w:fldCharType="separate"/>
      </w:r>
      <w:r w:rsidR="00D4526D">
        <w:rPr>
          <w:noProof/>
        </w:rPr>
        <w:t>[34]</w:t>
      </w:r>
      <w:r w:rsidR="00643FB4">
        <w:fldChar w:fldCharType="end"/>
      </w:r>
    </w:p>
    <w:p w14:paraId="015AB846" w14:textId="00E64CD5" w:rsidR="00725EF3" w:rsidRDefault="00725EF3" w:rsidP="00725EF3">
      <w:pPr>
        <w:ind w:firstLine="708"/>
        <w:jc w:val="both"/>
      </w:pPr>
      <w:r>
        <w:t>Bola pulmonară obstructivă cronică (BPOC) are cea mai mare pondere în total (33,4% din costurile directe, Figura 1), urmată de diabet (21,7%) și bolile cardiace ischemice (8,8%)</w:t>
      </w:r>
      <w:r w:rsidR="00D52E88">
        <w:t>(</w:t>
      </w:r>
      <w:r w:rsidR="00C81DFB">
        <w:fldChar w:fldCharType="begin"/>
      </w:r>
      <w:r w:rsidR="00C81DFB">
        <w:instrText xml:space="preserve"> REF _Ref232565388 \h </w:instrText>
      </w:r>
      <w:r w:rsidR="00C81DFB">
        <w:fldChar w:fldCharType="separate"/>
      </w:r>
      <w:r w:rsidR="00C81DFB">
        <w:t xml:space="preserve">Figura </w:t>
      </w:r>
      <w:r w:rsidR="00C81DFB">
        <w:rPr>
          <w:noProof/>
        </w:rPr>
        <w:t>III</w:t>
      </w:r>
      <w:r w:rsidR="00C81DFB">
        <w:t>.</w:t>
      </w:r>
      <w:r w:rsidR="00C81DFB">
        <w:rPr>
          <w:noProof/>
        </w:rPr>
        <w:t>16</w:t>
      </w:r>
      <w:r w:rsidR="00C81DFB">
        <w:fldChar w:fldCharType="end"/>
      </w:r>
      <w:r w:rsidR="00D52E88" w:rsidRPr="00C81DFB">
        <w:t>)</w:t>
      </w:r>
      <w:r w:rsidRPr="00C81DFB">
        <w:t>.</w:t>
      </w:r>
    </w:p>
    <w:p w14:paraId="014D4D25" w14:textId="13B1C495" w:rsidR="00E2747F" w:rsidRDefault="00E2747F" w:rsidP="00725EF3">
      <w:pPr>
        <w:ind w:firstLine="708"/>
        <w:jc w:val="both"/>
      </w:pPr>
      <w:r>
        <w:rPr>
          <w:noProof/>
        </w:rPr>
        <w:drawing>
          <wp:inline distT="0" distB="0" distL="0" distR="0" wp14:anchorId="25CF5442" wp14:editId="761593E7">
            <wp:extent cx="5040000" cy="2520000"/>
            <wp:effectExtent l="0" t="0" r="8255" b="13970"/>
            <wp:docPr id="675275925" name="Chart 1">
              <a:extLst xmlns:a="http://schemas.openxmlformats.org/drawingml/2006/main">
                <a:ext uri="{FF2B5EF4-FFF2-40B4-BE49-F238E27FC236}">
                  <a16:creationId xmlns:a16="http://schemas.microsoft.com/office/drawing/2014/main" id="{A440D32F-87C0-274B-DB90-B0C6A96551A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5"/>
              </a:graphicData>
            </a:graphic>
          </wp:inline>
        </w:drawing>
      </w:r>
    </w:p>
    <w:p w14:paraId="74B6EA8A" w14:textId="1C6F4280" w:rsidR="00790C2B" w:rsidRDefault="00501624" w:rsidP="00C81DFB">
      <w:pPr>
        <w:pStyle w:val="Caption"/>
        <w:jc w:val="center"/>
      </w:pPr>
      <w:bookmarkStart w:id="93" w:name="_Ref232565388"/>
      <w:r>
        <w:t xml:space="preserve">Figura </w:t>
      </w:r>
      <w:fldSimple w:instr=" STYLEREF 1 \s ">
        <w:r w:rsidR="0080370C">
          <w:rPr>
            <w:noProof/>
          </w:rPr>
          <w:t>III</w:t>
        </w:r>
      </w:fldSimple>
      <w:r w:rsidR="0080370C">
        <w:t>.</w:t>
      </w:r>
      <w:fldSimple w:instr=" SEQ Figura \* ARABIC \s 1 ">
        <w:r w:rsidR="0080370C">
          <w:rPr>
            <w:noProof/>
          </w:rPr>
          <w:t>15</w:t>
        </w:r>
      </w:fldSimple>
      <w:bookmarkEnd w:id="93"/>
      <w:r>
        <w:t xml:space="preserve"> </w:t>
      </w:r>
      <w:r w:rsidR="00790C2B" w:rsidRPr="00E23705">
        <w:t xml:space="preserve">Ponderea costurilor directe </w:t>
      </w:r>
      <w:r w:rsidR="00D52E88" w:rsidRPr="00E23705">
        <w:t xml:space="preserve">pentru sănătate </w:t>
      </w:r>
      <w:r w:rsidR="00790C2B" w:rsidRPr="00E23705">
        <w:t xml:space="preserve">asociate consumului de tutun, în funcție de </w:t>
      </w:r>
      <w:r w:rsidR="00D52E88" w:rsidRPr="00E23705">
        <w:t>afecțiunea</w:t>
      </w:r>
      <w:r w:rsidR="00790C2B" w:rsidRPr="00E23705">
        <w:t xml:space="preserve"> cauzată de fumat</w:t>
      </w:r>
      <w:r w:rsidR="00643FB4">
        <w:fldChar w:fldCharType="begin"/>
      </w:r>
      <w:r w:rsidR="00D4526D">
        <w:instrText xml:space="preserve"> ADDIN EN.CITE &lt;EndNote&gt;&lt;Cite&gt;&lt;Author&gt;Salari&lt;/Author&gt;&lt;Year&gt;2026&lt;/Year&gt;&lt;RecNum&gt;9759&lt;/RecNum&gt;&lt;DisplayText&gt;&lt;style size="10"&gt;[34]&lt;/style&gt;&lt;/DisplayText&gt;&lt;record&gt;&lt;rec-number&gt;9759&lt;/rec-number&gt;&lt;foreign-keys&gt;&lt;key app="EN" db-id="fw0prtesnvf55cepezbx255wwza5zw0ssatt" timestamp="1780352137"&gt;9759&lt;/key&gt;&lt;/foreign-keys&gt;&lt;ref-type name="Journal Article"&gt;17&lt;/ref-type&gt;&lt;contributors&gt;&lt;authors&gt;&lt;author&gt;Salari, P., Maragkoudakis, P.-A., Wollgast, J.&lt;/author&gt;&lt;/authors&gt;&lt;/contributors&gt;&lt;titles&gt;&lt;title&gt;The health-related costs attributable to tobacco in the EU&lt;/title&gt;&lt;secondary-title&gt;Publications Office of the European Union, Luxembourg, 2026,&lt;/secondary-title&gt;&lt;/titles&gt;&lt;periodical&gt;&lt;full-title&gt;Publications Office of the European Union, Luxembourg, 2026,&lt;/full-title&gt;&lt;/periodical&gt;&lt;dates&gt;&lt;year&gt;&lt;style face="normal" font="default" charset="238" size="100%"&gt;2026&lt;/style&gt;&lt;/year&gt;&lt;/dates&gt;&lt;isbn&gt;1831-9424&lt;/isbn&gt;&lt;label&gt;JRC146176&lt;/label&gt;&lt;urls&gt;&lt;related-urls&gt;&lt;url&gt;https://data.europa.eu/doi/10.2760/5833286,&lt;/url&gt;&lt;/related-urls&gt;&lt;/urls&gt;&lt;electronic-resource-num&gt;&lt;style face="normal" font="default" charset="238" size="100%"&gt;1&lt;/style&gt;&lt;style face="normal" font="default" size="100%"&gt;0.2760/5833286&lt;/style&gt;&lt;/electronic-resource-num&gt;&lt;/record&gt;&lt;/Cite&gt;&lt;/EndNote&gt;</w:instrText>
      </w:r>
      <w:r w:rsidR="00643FB4">
        <w:fldChar w:fldCharType="separate"/>
      </w:r>
      <w:r w:rsidR="00D4526D">
        <w:rPr>
          <w:noProof/>
        </w:rPr>
        <w:t>[34]</w:t>
      </w:r>
      <w:r w:rsidR="00643FB4">
        <w:fldChar w:fldCharType="end"/>
      </w:r>
    </w:p>
    <w:p w14:paraId="105C022A" w14:textId="3075766D" w:rsidR="00725EF3" w:rsidRDefault="00725EF3" w:rsidP="00725EF3">
      <w:pPr>
        <w:ind w:firstLine="708"/>
        <w:jc w:val="both"/>
      </w:pPr>
      <w:r>
        <w:t xml:space="preserve">Costurile atribuibile consumului de tutun în domeniul sănătății sunt </w:t>
      </w:r>
      <w:r w:rsidR="003258E2">
        <w:t>h</w:t>
      </w:r>
      <w:r>
        <w:t>eterogene între țări</w:t>
      </w:r>
      <w:r w:rsidR="00C81DFB">
        <w:t xml:space="preserve"> (</w:t>
      </w:r>
      <w:r w:rsidR="00C81DFB">
        <w:fldChar w:fldCharType="begin"/>
      </w:r>
      <w:r w:rsidR="00C81DFB">
        <w:instrText xml:space="preserve"> REF _Ref232565308 \h </w:instrText>
      </w:r>
      <w:r w:rsidR="00C81DFB">
        <w:fldChar w:fldCharType="separate"/>
      </w:r>
      <w:r w:rsidR="00C81DFB">
        <w:t xml:space="preserve">Figura </w:t>
      </w:r>
      <w:r w:rsidR="00C81DFB">
        <w:rPr>
          <w:noProof/>
        </w:rPr>
        <w:t>III</w:t>
      </w:r>
      <w:r w:rsidR="00C81DFB">
        <w:t>.</w:t>
      </w:r>
      <w:r w:rsidR="00C81DFB">
        <w:rPr>
          <w:noProof/>
        </w:rPr>
        <w:t>17</w:t>
      </w:r>
      <w:r w:rsidR="00C81DFB">
        <w:fldChar w:fldCharType="end"/>
      </w:r>
      <w:r w:rsidR="00C81DFB">
        <w:t>)</w:t>
      </w:r>
      <w:r>
        <w:t>. Aproximativ o treime din costu</w:t>
      </w:r>
      <w:r w:rsidR="003258E2">
        <w:t>rile pentru sănătate asociate</w:t>
      </w:r>
      <w:r>
        <w:t xml:space="preserve"> </w:t>
      </w:r>
      <w:r w:rsidR="003258E2">
        <w:t>consumului de tutun</w:t>
      </w:r>
      <w:r>
        <w:t xml:space="preserve"> din UE este plătit de Germania</w:t>
      </w:r>
      <w:r w:rsidR="003258E2">
        <w:t>,</w:t>
      </w:r>
      <w:r>
        <w:t xml:space="preserve"> rezultat </w:t>
      </w:r>
      <w:r w:rsidR="003258E2">
        <w:t xml:space="preserve">care </w:t>
      </w:r>
      <w:r>
        <w:t xml:space="preserve">se datorează unei combinații între prevalența ridicată a fumatului, </w:t>
      </w:r>
      <w:r w:rsidR="003258E2">
        <w:t xml:space="preserve">nivelului ridicat al </w:t>
      </w:r>
      <w:r>
        <w:t>îngrijir</w:t>
      </w:r>
      <w:r w:rsidR="003258E2">
        <w:t>ilor</w:t>
      </w:r>
      <w:r>
        <w:t xml:space="preserve"> medical</w:t>
      </w:r>
      <w:r w:rsidR="003258E2">
        <w:t>e</w:t>
      </w:r>
      <w:r>
        <w:t xml:space="preserve"> și costuri</w:t>
      </w:r>
      <w:r w:rsidR="003258E2">
        <w:t>lor</w:t>
      </w:r>
      <w:r>
        <w:t xml:space="preserve"> indirecte în această țară.</w:t>
      </w:r>
      <w:r w:rsidR="001C0F31" w:rsidRPr="001C0F31">
        <w:t xml:space="preserve"> În cazul României, costurile pentru sănătate asociate consumului de tutun sunt estimate la aproximativ 1,1 miliarde EUR</w:t>
      </w:r>
      <w:r w:rsidR="001C0F31">
        <w:t>.</w:t>
      </w:r>
    </w:p>
    <w:p w14:paraId="35D74341" w14:textId="53163028" w:rsidR="004A128A" w:rsidRDefault="004A128A" w:rsidP="00D471AA">
      <w:pPr>
        <w:ind w:firstLine="708"/>
        <w:jc w:val="center"/>
      </w:pPr>
      <w:r>
        <w:rPr>
          <w:noProof/>
        </w:rPr>
        <w:lastRenderedPageBreak/>
        <w:drawing>
          <wp:inline distT="0" distB="0" distL="0" distR="0" wp14:anchorId="15424BAC" wp14:editId="042CEEDD">
            <wp:extent cx="5040000" cy="2880000"/>
            <wp:effectExtent l="0" t="0" r="8255" b="15875"/>
            <wp:docPr id="1653696257" name="Chart 1">
              <a:extLst xmlns:a="http://schemas.openxmlformats.org/drawingml/2006/main">
                <a:ext uri="{FF2B5EF4-FFF2-40B4-BE49-F238E27FC236}">
                  <a16:creationId xmlns:a16="http://schemas.microsoft.com/office/drawing/2014/main" id="{E68BC05D-5BCC-A0CD-C391-AE60A7A5740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6"/>
              </a:graphicData>
            </a:graphic>
          </wp:inline>
        </w:drawing>
      </w:r>
    </w:p>
    <w:p w14:paraId="608C7EF8" w14:textId="593DFE6A" w:rsidR="00684DEB" w:rsidRDefault="00684DEB" w:rsidP="00D471AA">
      <w:pPr>
        <w:pStyle w:val="Caption"/>
        <w:jc w:val="center"/>
      </w:pPr>
      <w:bookmarkStart w:id="94" w:name="_Ref232565308"/>
      <w:r>
        <w:t xml:space="preserve">Figura </w:t>
      </w:r>
      <w:fldSimple w:instr=" STYLEREF 1 \s ">
        <w:r w:rsidR="0080370C">
          <w:rPr>
            <w:noProof/>
          </w:rPr>
          <w:t>III</w:t>
        </w:r>
      </w:fldSimple>
      <w:r w:rsidR="0080370C">
        <w:t>.</w:t>
      </w:r>
      <w:fldSimple w:instr=" SEQ Figura \* ARABIC \s 1 ">
        <w:r w:rsidR="0080370C">
          <w:rPr>
            <w:noProof/>
          </w:rPr>
          <w:t>16</w:t>
        </w:r>
      </w:fldSimple>
      <w:bookmarkEnd w:id="94"/>
      <w:r w:rsidRPr="00684DEB">
        <w:t xml:space="preserve"> Costurile pentru sănătate asociate consumului de tutun, pe țări (miliarde EUR)</w:t>
      </w:r>
      <w:r w:rsidR="00643FB4">
        <w:fldChar w:fldCharType="begin"/>
      </w:r>
      <w:r w:rsidR="00D4526D">
        <w:instrText xml:space="preserve"> ADDIN EN.CITE &lt;EndNote&gt;&lt;Cite&gt;&lt;Author&gt;Salari&lt;/Author&gt;&lt;Year&gt;2026&lt;/Year&gt;&lt;RecNum&gt;9759&lt;/RecNum&gt;&lt;DisplayText&gt;&lt;style size="10"&gt;[34]&lt;/style&gt;&lt;/DisplayText&gt;&lt;record&gt;&lt;rec-number&gt;9759&lt;/rec-number&gt;&lt;foreign-keys&gt;&lt;key app="EN" db-id="fw0prtesnvf55cepezbx255wwza5zw0ssatt" timestamp="1780352137"&gt;9759&lt;/key&gt;&lt;/foreign-keys&gt;&lt;ref-type name="Journal Article"&gt;17&lt;/ref-type&gt;&lt;contributors&gt;&lt;authors&gt;&lt;author&gt;Salari, P., Maragkoudakis, P.-A., Wollgast, J.&lt;/author&gt;&lt;/authors&gt;&lt;/contributors&gt;&lt;titles&gt;&lt;title&gt;The health-related costs attributable to tobacco in the EU&lt;/title&gt;&lt;secondary-title&gt;Publications Office of the European Union, Luxembourg, 2026,&lt;/secondary-title&gt;&lt;/titles&gt;&lt;periodical&gt;&lt;full-title&gt;Publications Office of the European Union, Luxembourg, 2026,&lt;/full-title&gt;&lt;/periodical&gt;&lt;dates&gt;&lt;year&gt;&lt;style face="normal" font="default" charset="238" size="100%"&gt;2026&lt;/style&gt;&lt;/year&gt;&lt;/dates&gt;&lt;isbn&gt;1831-9424&lt;/isbn&gt;&lt;label&gt;JRC146176&lt;/label&gt;&lt;urls&gt;&lt;related-urls&gt;&lt;url&gt;https://data.europa.eu/doi/10.2760/5833286,&lt;/url&gt;&lt;/related-urls&gt;&lt;/urls&gt;&lt;electronic-resource-num&gt;&lt;style face="normal" font="default" charset="238" size="100%"&gt;1&lt;/style&gt;&lt;style face="normal" font="default" size="100%"&gt;0.2760/5833286&lt;/style&gt;&lt;/electronic-resource-num&gt;&lt;/record&gt;&lt;/Cite&gt;&lt;/EndNote&gt;</w:instrText>
      </w:r>
      <w:r w:rsidR="00643FB4">
        <w:fldChar w:fldCharType="separate"/>
      </w:r>
      <w:r w:rsidR="00D4526D">
        <w:rPr>
          <w:noProof/>
        </w:rPr>
        <w:t>[34]</w:t>
      </w:r>
      <w:r w:rsidR="00643FB4">
        <w:fldChar w:fldCharType="end"/>
      </w:r>
    </w:p>
    <w:p w14:paraId="34CBC998" w14:textId="66A30337" w:rsidR="00725EF3" w:rsidRDefault="00725EF3" w:rsidP="00725EF3">
      <w:pPr>
        <w:ind w:firstLine="708"/>
        <w:jc w:val="both"/>
      </w:pPr>
      <w:r>
        <w:t>În ceea ce privește costul pe cap de locuitor</w:t>
      </w:r>
      <w:r w:rsidR="002847C7">
        <w:t xml:space="preserve"> (</w:t>
      </w:r>
      <w:r w:rsidR="002847C7">
        <w:fldChar w:fldCharType="begin"/>
      </w:r>
      <w:r w:rsidR="002847C7">
        <w:instrText xml:space="preserve"> REF _Ref232565169 \h </w:instrText>
      </w:r>
      <w:r w:rsidR="002847C7">
        <w:fldChar w:fldCharType="separate"/>
      </w:r>
      <w:r w:rsidR="002847C7">
        <w:t xml:space="preserve">Figura </w:t>
      </w:r>
      <w:r w:rsidR="002847C7">
        <w:rPr>
          <w:noProof/>
        </w:rPr>
        <w:t>III</w:t>
      </w:r>
      <w:r w:rsidR="002847C7">
        <w:t>.</w:t>
      </w:r>
      <w:r w:rsidR="002847C7">
        <w:rPr>
          <w:noProof/>
        </w:rPr>
        <w:t>18</w:t>
      </w:r>
      <w:r w:rsidR="002847C7">
        <w:fldChar w:fldCharType="end"/>
      </w:r>
      <w:r w:rsidR="002847C7">
        <w:t>)</w:t>
      </w:r>
      <w:r>
        <w:t>, media UE este egală cu 0,15 milioane EUR la 1.000 de locuitori. Germania are cel mai mare cost pe cap de locuitor (0,33 milioane EUR la 1 000 de locuitori), urmată de Austria (0,25 milioane EUR la 1 000 de locuitori). Cel mai mic cost pe cap de locuitor este înregistrat în România (0,06 milioane EUR la 1 000 de locuitori) și Polonia (0,087 milioane EUR la 1 000 de locuitori).</w:t>
      </w:r>
    </w:p>
    <w:p w14:paraId="40A5AB06" w14:textId="322684B2" w:rsidR="001C0F31" w:rsidRDefault="001C0F31" w:rsidP="00D471AA">
      <w:pPr>
        <w:ind w:firstLine="708"/>
        <w:jc w:val="center"/>
      </w:pPr>
      <w:r>
        <w:rPr>
          <w:noProof/>
        </w:rPr>
        <w:drawing>
          <wp:inline distT="0" distB="0" distL="0" distR="0" wp14:anchorId="0ABD5FAF" wp14:editId="34D2780A">
            <wp:extent cx="5040000" cy="2520000"/>
            <wp:effectExtent l="0" t="0" r="8255" b="13970"/>
            <wp:docPr id="597867198" name="Chart 1">
              <a:extLst xmlns:a="http://schemas.openxmlformats.org/drawingml/2006/main">
                <a:ext uri="{FF2B5EF4-FFF2-40B4-BE49-F238E27FC236}">
                  <a16:creationId xmlns:a16="http://schemas.microsoft.com/office/drawing/2014/main" id="{23CB66DC-8E85-41C4-AA64-6EEED12548F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7"/>
              </a:graphicData>
            </a:graphic>
          </wp:inline>
        </w:drawing>
      </w:r>
    </w:p>
    <w:p w14:paraId="0A314AC5" w14:textId="5CF1ABBC" w:rsidR="00AE2D81" w:rsidRDefault="00501624" w:rsidP="00D471AA">
      <w:pPr>
        <w:pStyle w:val="Caption"/>
        <w:jc w:val="center"/>
      </w:pPr>
      <w:bookmarkStart w:id="95" w:name="_Ref232565169"/>
      <w:r>
        <w:t xml:space="preserve">Figura </w:t>
      </w:r>
      <w:fldSimple w:instr=" STYLEREF 1 \s ">
        <w:r w:rsidR="0080370C">
          <w:rPr>
            <w:noProof/>
          </w:rPr>
          <w:t>III</w:t>
        </w:r>
      </w:fldSimple>
      <w:r w:rsidR="0080370C">
        <w:t>.</w:t>
      </w:r>
      <w:fldSimple w:instr=" SEQ Figura \* ARABIC \s 1 ">
        <w:r w:rsidR="0080370C">
          <w:rPr>
            <w:noProof/>
          </w:rPr>
          <w:t>17</w:t>
        </w:r>
      </w:fldSimple>
      <w:bookmarkEnd w:id="95"/>
      <w:r>
        <w:t xml:space="preserve"> </w:t>
      </w:r>
      <w:r w:rsidR="00AE2D81" w:rsidRPr="00684DEB">
        <w:t>Costurile pentru sănătate asociate consumului de tutun pe cap de locuitor, pe țări (milioane EUR la 1.000 de locuitori)</w:t>
      </w:r>
      <w:r w:rsidR="00643FB4">
        <w:fldChar w:fldCharType="begin"/>
      </w:r>
      <w:r w:rsidR="00D4526D">
        <w:instrText xml:space="preserve"> ADDIN EN.CITE &lt;EndNote&gt;&lt;Cite&gt;&lt;Author&gt;Salari&lt;/Author&gt;&lt;Year&gt;2026&lt;/Year&gt;&lt;RecNum&gt;9759&lt;/RecNum&gt;&lt;DisplayText&gt;&lt;style size="10"&gt;[34]&lt;/style&gt;&lt;/DisplayText&gt;&lt;record&gt;&lt;rec-number&gt;9759&lt;/rec-number&gt;&lt;foreign-keys&gt;&lt;key app="EN" db-id="fw0prtesnvf55cepezbx255wwza5zw0ssatt" timestamp="1780352137"&gt;9759&lt;/key&gt;&lt;/foreign-keys&gt;&lt;ref-type name="Journal Article"&gt;17&lt;/ref-type&gt;&lt;contributors&gt;&lt;authors&gt;&lt;author&gt;Salari, P., Maragkoudakis, P.-A., Wollgast, J.&lt;/author&gt;&lt;/authors&gt;&lt;/contributors&gt;&lt;titles&gt;&lt;title&gt;The health-related costs attributable to tobacco in the EU&lt;/title&gt;&lt;secondary-title&gt;Publications Office of the European Union, Luxembourg, 2026,&lt;/secondary-title&gt;&lt;/titles&gt;&lt;periodical&gt;&lt;full-title&gt;Publications Office of the European Union, Luxembourg, 2026,&lt;/full-title&gt;&lt;/periodical&gt;&lt;dates&gt;&lt;year&gt;&lt;style face="normal" font="default" charset="238" size="100%"&gt;2026&lt;/style&gt;&lt;/year&gt;&lt;/dates&gt;&lt;isbn&gt;1831-9424&lt;/isbn&gt;&lt;label&gt;JRC146176&lt;/label&gt;&lt;urls&gt;&lt;related-urls&gt;&lt;url&gt;https://data.europa.eu/doi/10.2760/5833286,&lt;/url&gt;&lt;/related-urls&gt;&lt;/urls&gt;&lt;electronic-resource-num&gt;&lt;style face="normal" font="default" charset="238" size="100%"&gt;1&lt;/style&gt;&lt;style face="normal" font="default" size="100%"&gt;0.2760/5833286&lt;/style&gt;&lt;/electronic-resource-num&gt;&lt;/record&gt;&lt;/Cite&gt;&lt;/EndNote&gt;</w:instrText>
      </w:r>
      <w:r w:rsidR="00643FB4">
        <w:fldChar w:fldCharType="separate"/>
      </w:r>
      <w:r w:rsidR="00D4526D">
        <w:rPr>
          <w:noProof/>
        </w:rPr>
        <w:t>[34]</w:t>
      </w:r>
      <w:r w:rsidR="00643FB4">
        <w:fldChar w:fldCharType="end"/>
      </w:r>
    </w:p>
    <w:p w14:paraId="686A91A5" w14:textId="4C03CBC0" w:rsidR="008F238C" w:rsidRPr="008F238C" w:rsidRDefault="00725EF3" w:rsidP="00725EF3">
      <w:pPr>
        <w:ind w:firstLine="708"/>
        <w:jc w:val="both"/>
      </w:pPr>
      <w:r>
        <w:t xml:space="preserve">Povara costurilor </w:t>
      </w:r>
      <w:r w:rsidR="00AE2D81">
        <w:t xml:space="preserve">pentru sănătate asociate </w:t>
      </w:r>
      <w:r>
        <w:t>tutunului</w:t>
      </w:r>
      <w:r w:rsidR="002708FB">
        <w:t>, ca procent din</w:t>
      </w:r>
      <w:r>
        <w:t xml:space="preserve"> PIB</w:t>
      </w:r>
      <w:r w:rsidR="002847C7">
        <w:t xml:space="preserve"> (</w:t>
      </w:r>
      <w:r w:rsidR="002847C7">
        <w:fldChar w:fldCharType="begin"/>
      </w:r>
      <w:r w:rsidR="002847C7">
        <w:instrText xml:space="preserve"> REF _Ref232565205 \h </w:instrText>
      </w:r>
      <w:r w:rsidR="002847C7">
        <w:fldChar w:fldCharType="separate"/>
      </w:r>
      <w:r w:rsidR="002847C7">
        <w:t xml:space="preserve">Figura </w:t>
      </w:r>
      <w:r w:rsidR="002847C7">
        <w:rPr>
          <w:noProof/>
        </w:rPr>
        <w:t>III</w:t>
      </w:r>
      <w:r w:rsidR="002847C7">
        <w:t>.</w:t>
      </w:r>
      <w:r w:rsidR="002847C7">
        <w:rPr>
          <w:noProof/>
        </w:rPr>
        <w:t>19</w:t>
      </w:r>
      <w:r w:rsidR="002847C7">
        <w:fldChar w:fldCharType="end"/>
      </w:r>
      <w:r w:rsidR="002847C7">
        <w:t>)</w:t>
      </w:r>
      <w:r>
        <w:t xml:space="preserve"> este, în medie, de 0,47% pentru UE, variind între 0,11% (Luxemburg) și 0,68% (Germania). Ungaria și Croația urmează Germania în partea superioară a clasamentului, cu 0,66% și, respectiv, 0,63%.</w:t>
      </w:r>
      <w:r w:rsidR="007774AC" w:rsidRPr="007774AC">
        <w:t xml:space="preserve"> În cazul României, aceste costuri reprezintă aproximativ 0,34% din PIB, nivel inferior mediei UE și apropiat de valorile înregistrate în Slovenia și Portugalia.</w:t>
      </w:r>
    </w:p>
    <w:p w14:paraId="4A2ACA47" w14:textId="15BDE04C" w:rsidR="008F238C" w:rsidRDefault="002708FB" w:rsidP="00643FB4">
      <w:pPr>
        <w:ind w:firstLine="708"/>
        <w:jc w:val="center"/>
      </w:pPr>
      <w:r>
        <w:rPr>
          <w:noProof/>
        </w:rPr>
        <w:lastRenderedPageBreak/>
        <w:drawing>
          <wp:inline distT="0" distB="0" distL="0" distR="0" wp14:anchorId="30526F85" wp14:editId="1125BE8A">
            <wp:extent cx="5040000" cy="2520000"/>
            <wp:effectExtent l="0" t="0" r="8255" b="13970"/>
            <wp:docPr id="175862575" name="Chart 1">
              <a:extLst xmlns:a="http://schemas.openxmlformats.org/drawingml/2006/main">
                <a:ext uri="{FF2B5EF4-FFF2-40B4-BE49-F238E27FC236}">
                  <a16:creationId xmlns:a16="http://schemas.microsoft.com/office/drawing/2014/main" id="{D2118CFD-CFE6-4380-8F35-1129C3E5BFF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8"/>
              </a:graphicData>
            </a:graphic>
          </wp:inline>
        </w:drawing>
      </w:r>
    </w:p>
    <w:p w14:paraId="73712492" w14:textId="4A3BEC96" w:rsidR="008F238C" w:rsidRDefault="00501624" w:rsidP="00643FB4">
      <w:pPr>
        <w:pStyle w:val="Caption"/>
        <w:jc w:val="center"/>
      </w:pPr>
      <w:bookmarkStart w:id="96" w:name="_Ref232565205"/>
      <w:r>
        <w:t xml:space="preserve">Figura </w:t>
      </w:r>
      <w:fldSimple w:instr=" STYLEREF 1 \s ">
        <w:r w:rsidR="0080370C">
          <w:rPr>
            <w:noProof/>
          </w:rPr>
          <w:t>III</w:t>
        </w:r>
      </w:fldSimple>
      <w:r w:rsidR="0080370C">
        <w:t>.</w:t>
      </w:r>
      <w:fldSimple w:instr=" SEQ Figura \* ARABIC \s 1 ">
        <w:r w:rsidR="0080370C">
          <w:rPr>
            <w:noProof/>
          </w:rPr>
          <w:t>18</w:t>
        </w:r>
      </w:fldSimple>
      <w:bookmarkEnd w:id="96"/>
      <w:r>
        <w:t xml:space="preserve"> </w:t>
      </w:r>
      <w:r w:rsidR="009E0782" w:rsidRPr="002847C7">
        <w:t>Costurile pentru sănătate asociate consumului de tutun, ca procent din PIB, 2023</w:t>
      </w:r>
      <w:r w:rsidR="00643FB4">
        <w:fldChar w:fldCharType="begin"/>
      </w:r>
      <w:r w:rsidR="00D4526D">
        <w:instrText xml:space="preserve"> ADDIN EN.CITE &lt;EndNote&gt;&lt;Cite&gt;&lt;Author&gt;Salari&lt;/Author&gt;&lt;Year&gt;2026&lt;/Year&gt;&lt;RecNum&gt;9759&lt;/RecNum&gt;&lt;DisplayText&gt;&lt;style size="10"&gt;[34]&lt;/style&gt;&lt;/DisplayText&gt;&lt;record&gt;&lt;rec-number&gt;9759&lt;/rec-number&gt;&lt;foreign-keys&gt;&lt;key app="EN" db-id="fw0prtesnvf55cepezbx255wwza5zw0ssatt" timestamp="1780352137"&gt;9759&lt;/key&gt;&lt;/foreign-keys&gt;&lt;ref-type name="Journal Article"&gt;17&lt;/ref-type&gt;&lt;contributors&gt;&lt;authors&gt;&lt;author&gt;Salari, P., Maragkoudakis, P.-A., Wollgast, J.&lt;/author&gt;&lt;/authors&gt;&lt;/contributors&gt;&lt;titles&gt;&lt;title&gt;The health-related costs attributable to tobacco in the EU&lt;/title&gt;&lt;secondary-title&gt;Publications Office of the European Union, Luxembourg, 2026,&lt;/secondary-title&gt;&lt;/titles&gt;&lt;periodical&gt;&lt;full-title&gt;Publications Office of the European Union, Luxembourg, 2026,&lt;/full-title&gt;&lt;/periodical&gt;&lt;dates&gt;&lt;year&gt;&lt;style face="normal" font="default" charset="238" size="100%"&gt;2026&lt;/style&gt;&lt;/year&gt;&lt;/dates&gt;&lt;isbn&gt;1831-9424&lt;/isbn&gt;&lt;label&gt;JRC146176&lt;/label&gt;&lt;urls&gt;&lt;related-urls&gt;&lt;url&gt;https://data.europa.eu/doi/10.2760/5833286,&lt;/url&gt;&lt;/related-urls&gt;&lt;/urls&gt;&lt;electronic-resource-num&gt;&lt;style face="normal" font="default" charset="238" size="100%"&gt;1&lt;/style&gt;&lt;style face="normal" font="default" size="100%"&gt;0.2760/5833286&lt;/style&gt;&lt;/electronic-resource-num&gt;&lt;/record&gt;&lt;/Cite&gt;&lt;/EndNote&gt;</w:instrText>
      </w:r>
      <w:r w:rsidR="00643FB4">
        <w:fldChar w:fldCharType="separate"/>
      </w:r>
      <w:r w:rsidR="00D4526D">
        <w:rPr>
          <w:noProof/>
        </w:rPr>
        <w:t>[34]</w:t>
      </w:r>
      <w:r w:rsidR="00643FB4">
        <w:fldChar w:fldCharType="end"/>
      </w:r>
    </w:p>
    <w:p w14:paraId="4E6DE34F" w14:textId="740F5F41" w:rsidR="008F238C" w:rsidRDefault="002847C7" w:rsidP="00CD3152">
      <w:pPr>
        <w:ind w:firstLine="708"/>
        <w:jc w:val="both"/>
      </w:pPr>
      <w:r>
        <w:fldChar w:fldCharType="begin"/>
      </w:r>
      <w:r>
        <w:instrText xml:space="preserve"> REF _Ref232565241 \h </w:instrText>
      </w:r>
      <w:r>
        <w:fldChar w:fldCharType="separate"/>
      </w:r>
      <w:r>
        <w:t xml:space="preserve">Figura </w:t>
      </w:r>
      <w:r>
        <w:rPr>
          <w:noProof/>
        </w:rPr>
        <w:t>III</w:t>
      </w:r>
      <w:r>
        <w:t>.</w:t>
      </w:r>
      <w:r>
        <w:rPr>
          <w:noProof/>
        </w:rPr>
        <w:t>20</w:t>
      </w:r>
      <w:r>
        <w:fldChar w:fldCharType="end"/>
      </w:r>
      <w:r>
        <w:t xml:space="preserve"> </w:t>
      </w:r>
      <w:r w:rsidR="007448CA" w:rsidRPr="007448CA">
        <w:t>ilustrează ponderea costurilor directe asociate consumului de tutun în cheltuielile totale pentru sănătate, pe țări. La nivelul Uniunii Europene, aceste costuri reprezintă, în medie, 2,5% din totalul cheltuielilor pentru sănătate. Ponderea este deosebit de ridicată în Ungaria, unde ajunge la 5,7%, urmată de Croația și Bulgaria, ambele cu 4,4%. La polul opus, costurile directe asociate consumului de tutun dețin o pondere redusă în bugetul pentru sănătate din Suedia (0,8%), Irlanda (1,0%) și Luxemburg (1,1%)</w:t>
      </w:r>
      <w:r w:rsidR="007448CA">
        <w:t>.</w:t>
      </w:r>
      <w:r w:rsidR="00801DF0">
        <w:t xml:space="preserve"> </w:t>
      </w:r>
      <w:r w:rsidR="00801DF0" w:rsidRPr="00801DF0">
        <w:t>În România, costurile directe asociate consumului de tutun reprezintă aproximativ 3,2% din totalul cheltuielilor pentru sănătate, valoare situată peste media Uniunii Europene, de 2,5%. România se plasează astfel în jumătatea superioară a distribuției, la un nivel apropiat de Estonia și Slovacia, dar inferior celui înregistrat în Ungaria, Bulgaria sau Croația.</w:t>
      </w:r>
    </w:p>
    <w:p w14:paraId="3F99CF52" w14:textId="27A73CF1" w:rsidR="008F238C" w:rsidRDefault="007448CA" w:rsidP="00CD3152">
      <w:pPr>
        <w:ind w:firstLine="708"/>
        <w:jc w:val="both"/>
      </w:pPr>
      <w:r>
        <w:rPr>
          <w:noProof/>
        </w:rPr>
        <w:drawing>
          <wp:inline distT="0" distB="0" distL="0" distR="0" wp14:anchorId="55D9ADCF" wp14:editId="67DDB2E6">
            <wp:extent cx="5040000" cy="2520000"/>
            <wp:effectExtent l="0" t="0" r="8255" b="13970"/>
            <wp:docPr id="24346661" name="Chart 1">
              <a:extLst xmlns:a="http://schemas.openxmlformats.org/drawingml/2006/main">
                <a:ext uri="{FF2B5EF4-FFF2-40B4-BE49-F238E27FC236}">
                  <a16:creationId xmlns:a16="http://schemas.microsoft.com/office/drawing/2014/main" id="{A39E9D01-0E81-4C9E-B8D0-0BB0A6679FF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9"/>
              </a:graphicData>
            </a:graphic>
          </wp:inline>
        </w:drawing>
      </w:r>
    </w:p>
    <w:p w14:paraId="7EF60CBD" w14:textId="1CA44239" w:rsidR="008F238C" w:rsidRDefault="00501624" w:rsidP="00643FB4">
      <w:pPr>
        <w:pStyle w:val="Caption"/>
        <w:jc w:val="center"/>
      </w:pPr>
      <w:bookmarkStart w:id="97" w:name="_Ref232565241"/>
      <w:r>
        <w:t xml:space="preserve">Figura </w:t>
      </w:r>
      <w:fldSimple w:instr=" STYLEREF 1 \s ">
        <w:r w:rsidR="0080370C">
          <w:rPr>
            <w:noProof/>
          </w:rPr>
          <w:t>III</w:t>
        </w:r>
      </w:fldSimple>
      <w:r w:rsidR="0080370C">
        <w:t>.</w:t>
      </w:r>
      <w:fldSimple w:instr=" SEQ Figura \* ARABIC \s 1 ">
        <w:r w:rsidR="0080370C">
          <w:rPr>
            <w:noProof/>
          </w:rPr>
          <w:t>19</w:t>
        </w:r>
      </w:fldSimple>
      <w:bookmarkEnd w:id="97"/>
      <w:r>
        <w:t xml:space="preserve"> </w:t>
      </w:r>
      <w:r w:rsidR="000658D1" w:rsidRPr="002847C7">
        <w:t>Ponderea costurilor directe asociate consumului de tutun în cheltuielile totale pentru sănătate (%)</w:t>
      </w:r>
      <w:r w:rsidR="00643FB4">
        <w:fldChar w:fldCharType="begin"/>
      </w:r>
      <w:r w:rsidR="00D4526D">
        <w:instrText xml:space="preserve"> ADDIN EN.CITE &lt;EndNote&gt;&lt;Cite&gt;&lt;Author&gt;Salari&lt;/Author&gt;&lt;Year&gt;2026&lt;/Year&gt;&lt;RecNum&gt;9759&lt;/RecNum&gt;&lt;DisplayText&gt;&lt;style size="10"&gt;[34]&lt;/style&gt;&lt;/DisplayText&gt;&lt;record&gt;&lt;rec-number&gt;9759&lt;/rec-number&gt;&lt;foreign-keys&gt;&lt;key app="EN" db-id="fw0prtesnvf55cepezbx255wwza5zw0ssatt" timestamp="1780352137"&gt;9759&lt;/key&gt;&lt;/foreign-keys&gt;&lt;ref-type name="Journal Article"&gt;17&lt;/ref-type&gt;&lt;contributors&gt;&lt;authors&gt;&lt;author&gt;Salari, P., Maragkoudakis, P.-A., Wollgast, J.&lt;/author&gt;&lt;/authors&gt;&lt;/contributors&gt;&lt;titles&gt;&lt;title&gt;The health-related costs attributable to tobacco in the EU&lt;/title&gt;&lt;secondary-title&gt;Publications Office of the European Union, Luxembourg, 2026,&lt;/secondary-title&gt;&lt;/titles&gt;&lt;periodical&gt;&lt;full-title&gt;Publications Office of the European Union, Luxembourg, 2026,&lt;/full-title&gt;&lt;/periodical&gt;&lt;dates&gt;&lt;year&gt;&lt;style face="normal" font="default" charset="238" size="100%"&gt;2026&lt;/style&gt;&lt;/year&gt;&lt;/dates&gt;&lt;isbn&gt;1831-9424&lt;/isbn&gt;&lt;label&gt;JRC146176&lt;/label&gt;&lt;urls&gt;&lt;related-urls&gt;&lt;url&gt;https://data.europa.eu/doi/10.2760/5833286,&lt;/url&gt;&lt;/related-urls&gt;&lt;/urls&gt;&lt;electronic-resource-num&gt;&lt;style face="normal" font="default" charset="238" size="100%"&gt;1&lt;/style&gt;&lt;style face="normal" font="default" size="100%"&gt;0.2760/5833286&lt;/style&gt;&lt;/electronic-resource-num&gt;&lt;/record&gt;&lt;/Cite&gt;&lt;/EndNote&gt;</w:instrText>
      </w:r>
      <w:r w:rsidR="00643FB4">
        <w:fldChar w:fldCharType="separate"/>
      </w:r>
      <w:r w:rsidR="00D4526D">
        <w:rPr>
          <w:noProof/>
        </w:rPr>
        <w:t>[34]</w:t>
      </w:r>
      <w:r w:rsidR="00643FB4">
        <w:fldChar w:fldCharType="end"/>
      </w:r>
    </w:p>
    <w:p w14:paraId="0DD46F77" w14:textId="77777777" w:rsidR="008F238C" w:rsidRDefault="008F238C" w:rsidP="00CD3152">
      <w:pPr>
        <w:ind w:firstLine="708"/>
        <w:jc w:val="both"/>
      </w:pPr>
    </w:p>
    <w:p w14:paraId="73845869" w14:textId="77777777" w:rsidR="00CD3152" w:rsidRPr="006E0160" w:rsidRDefault="00CD3152" w:rsidP="00CD3152">
      <w:pPr>
        <w:pStyle w:val="Heading1"/>
        <w:tabs>
          <w:tab w:val="clear" w:pos="142"/>
        </w:tabs>
        <w:spacing w:line="240" w:lineRule="auto"/>
      </w:pPr>
      <w:bookmarkStart w:id="98" w:name="_Toc232660574"/>
      <w:r w:rsidRPr="006E0160">
        <w:t>Evoluția formelor de consum de tutun. Politici publice privind controlul tutunului în România în comparație cu alte țări europene</w:t>
      </w:r>
      <w:bookmarkEnd w:id="98"/>
    </w:p>
    <w:p w14:paraId="4130EB87" w14:textId="6768CAD3" w:rsidR="00E32299" w:rsidRDefault="00E32299" w:rsidP="00E32299">
      <w:pPr>
        <w:ind w:firstLine="708"/>
        <w:jc w:val="both"/>
      </w:pPr>
      <w:r>
        <w:t>Constatările celei mai recente e</w:t>
      </w:r>
      <w:r w:rsidRPr="00E32299">
        <w:t>valu</w:t>
      </w:r>
      <w:r>
        <w:t>ări a</w:t>
      </w:r>
      <w:r w:rsidRPr="00E32299">
        <w:t xml:space="preserve"> cadrului UE de control al tutunului</w:t>
      </w:r>
      <w:r w:rsidR="00455FEC">
        <w:fldChar w:fldCharType="begin"/>
      </w:r>
      <w:r w:rsidR="00D4526D">
        <w:instrText xml:space="preserve"> ADDIN EN.CITE &lt;EndNote&gt;&lt;Cite&gt;&lt;Author&gt;EC&lt;/Author&gt;&lt;Year&gt;2026&lt;/Year&gt;&lt;RecNum&gt;9767&lt;/RecNum&gt;&lt;DisplayText&gt;&lt;style size="10"&gt;[35]&lt;/style&gt;&lt;/DisplayText&gt;&lt;record&gt;&lt;rec-number&gt;9767&lt;/rec-number&gt;&lt;foreign-keys&gt;&lt;key app="EN" db-id="fw0prtesnvf55cepezbx255wwza5zw0ssatt" timestamp="1781724228"&gt;9767&lt;/key&gt;&lt;/foreign-keys&gt;&lt;ref-type name="Press Release"&gt;63&lt;/ref-type&gt;&lt;contributors&gt;&lt;authors&gt;&lt;author&gt;&lt;style face="normal" font="default" charset="238" size="100%"&gt;EC&lt;/style&gt;&lt;/author&gt;&lt;/authors&gt;&lt;/contributors&gt;&lt;titles&gt;&lt;title&gt;Commission evaluation of the EU tobacco control framework highlights progress and emerging public health challenges&lt;/title&gt;&lt;/titles&gt;&lt;dates&gt;&lt;year&gt;&lt;style face="normal" font="default" charset="238" size="100%"&gt;2026&lt;/style&gt;&lt;/year&gt;&lt;pub-dates&gt;&lt;date&gt;Apr 2, 2026&lt;/date&gt;&lt;/pub-dates&gt;&lt;/dates&gt;&lt;pub-location&gt;Brussels&lt;/pub-location&gt;&lt;publisher&gt;&lt;style face="normal" font="default" charset="238" size="100%"&gt;EC&lt;/style&gt;&lt;/publisher&gt;&lt;urls&gt;&lt;related-urls&gt;&lt;url&gt;https://ec.europa.eu/commission/presscorner/detail/en/ip_26_771&lt;/url&gt;&lt;/related-urls&gt;&lt;/urls&gt;&lt;/record&gt;&lt;/Cite&gt;&lt;/EndNote&gt;</w:instrText>
      </w:r>
      <w:r w:rsidR="00455FEC">
        <w:fldChar w:fldCharType="separate"/>
      </w:r>
      <w:r w:rsidR="00D4526D" w:rsidRPr="00D4526D">
        <w:rPr>
          <w:noProof/>
          <w:sz w:val="20"/>
        </w:rPr>
        <w:t>[35]</w:t>
      </w:r>
      <w:r w:rsidR="00455FEC">
        <w:fldChar w:fldCharType="end"/>
      </w:r>
      <w:r>
        <w:t xml:space="preserve"> arată că normele UE privind controlul tutunului au contribuit la o scădere semnificativă a fumatului și a deceselor legate </w:t>
      </w:r>
      <w:r>
        <w:lastRenderedPageBreak/>
        <w:t>de tutun în întreaga UE.  În același timp, evaluarea evidențiază provocările din ce în ce mai mari legate de apariția rapidă a unor noi produse din tutun și nicotină, în special în rândul tinerilor.</w:t>
      </w:r>
    </w:p>
    <w:p w14:paraId="7E9A219C" w14:textId="46A8CD1D" w:rsidR="00E32299" w:rsidRDefault="006A56A1" w:rsidP="006A56A1">
      <w:pPr>
        <w:ind w:firstLine="708"/>
        <w:jc w:val="both"/>
      </w:pPr>
      <w:r>
        <w:t>Din 2012, ratele fumatului în UE au scăzut de la 28 % la 24 % din populație, cu un declin și mai accentuat în rândul tinerilor. De asemenea, decesele legate de tutun au scăzut substanțial, reflectând impactul pozitiv al unor norme mai stricte privind reglementarea produselor, interdicțiile de publicitate și avertismentele de sănătate. Armonizarea normelor la nivelul  UE au îmbunătățit funcționarea pieței interne de consum de produse de tutun. Măsuri precum reglementarea și raportarea ingredientelor, cerințele de etichetare și ambalare, trasabilitatea și caracteristicile de securitate ale produselor din tutun, precum și normele</w:t>
      </w:r>
      <w:r w:rsidR="00EB25C8">
        <w:t xml:space="preserve"> </w:t>
      </w:r>
      <w:r>
        <w:t>transfrontaliere privind publicitatea și sponsorizarea au contribuit în mod semnificativ la buna</w:t>
      </w:r>
      <w:r w:rsidR="00EB25C8">
        <w:t xml:space="preserve"> </w:t>
      </w:r>
      <w:r>
        <w:t>funcționare a pieței interne și au sporit eficacitatea cadrului de control al tutunului.</w:t>
      </w:r>
    </w:p>
    <w:p w14:paraId="397C7022" w14:textId="0DD3AF73" w:rsidR="00EB25C8" w:rsidRDefault="00EB25C8" w:rsidP="00441F79">
      <w:pPr>
        <w:ind w:firstLine="708"/>
        <w:jc w:val="both"/>
      </w:pPr>
      <w:r>
        <w:t>Raportul identifică însă și deficiențe de legislație - Pe lângă riscurile continue pe care le prezintă produsele tradiționale din tutun, creșterea numărului de țigarete electronice, de produse din tutun încălzit și de pungi cu nicotină a introdus noi preocupări în materie de sănătate publică.</w:t>
      </w:r>
      <w:r w:rsidR="00441F79">
        <w:t xml:space="preserve"> </w:t>
      </w:r>
      <w:r>
        <w:t>Acestea reprezintă o amenințare deosebită pentru generațiile mai tinere, care sunt expuse riscului de dependență de nicotină și consecințelor pe termen lung asupra sănătății, nu în ultimul rând</w:t>
      </w:r>
      <w:r w:rsidR="00441F79">
        <w:t xml:space="preserve"> </w:t>
      </w:r>
      <w:r>
        <w:t>având în vedere caracteristicile atractive și promovarea online fermă a acestor produse</w:t>
      </w:r>
      <w:r w:rsidR="00441F79">
        <w:fldChar w:fldCharType="begin"/>
      </w:r>
      <w:r w:rsidR="00D4526D">
        <w:instrText xml:space="preserve"> ADDIN EN.CITE &lt;EndNote&gt;&lt;Cite&gt;&lt;Author&gt;EC&lt;/Author&gt;&lt;Year&gt;2026&lt;/Year&gt;&lt;RecNum&gt;9767&lt;/RecNum&gt;&lt;DisplayText&gt;&lt;style size="10"&gt;[35]&lt;/style&gt;&lt;/DisplayText&gt;&lt;record&gt;&lt;rec-number&gt;9767&lt;/rec-number&gt;&lt;foreign-keys&gt;&lt;key app="EN" db-id="fw0prtesnvf55cepezbx255wwza5zw0ssatt" timestamp="1781724228"&gt;9767&lt;/key&gt;&lt;/foreign-keys&gt;&lt;ref-type name="Press Release"&gt;63&lt;/ref-type&gt;&lt;contributors&gt;&lt;authors&gt;&lt;author&gt;&lt;style face="normal" font="default" charset="238" size="100%"&gt;EC&lt;/style&gt;&lt;/author&gt;&lt;/authors&gt;&lt;/contributors&gt;&lt;titles&gt;&lt;title&gt;Commission evaluation of the EU tobacco control framework highlights progress and emerging public health challenges&lt;/title&gt;&lt;/titles&gt;&lt;dates&gt;&lt;year&gt;&lt;style face="normal" font="default" charset="238" size="100%"&gt;2026&lt;/style&gt;&lt;/year&gt;&lt;pub-dates&gt;&lt;date&gt;Apr 2, 2026&lt;/date&gt;&lt;/pub-dates&gt;&lt;/dates&gt;&lt;pub-location&gt;Brussels&lt;/pub-location&gt;&lt;publisher&gt;&lt;style face="normal" font="default" charset="238" size="100%"&gt;EC&lt;/style&gt;&lt;/publisher&gt;&lt;urls&gt;&lt;related-urls&gt;&lt;url&gt;https://ec.europa.eu/commission/presscorner/detail/en/ip_26_771&lt;/url&gt;&lt;/related-urls&gt;&lt;/urls&gt;&lt;/record&gt;&lt;/Cite&gt;&lt;/EndNote&gt;</w:instrText>
      </w:r>
      <w:r w:rsidR="00441F79">
        <w:fldChar w:fldCharType="separate"/>
      </w:r>
      <w:r w:rsidR="00D4526D" w:rsidRPr="00D4526D">
        <w:rPr>
          <w:noProof/>
          <w:sz w:val="20"/>
        </w:rPr>
        <w:t>[35]</w:t>
      </w:r>
      <w:r w:rsidR="00441F79">
        <w:fldChar w:fldCharType="end"/>
      </w:r>
      <w:r>
        <w:t>.</w:t>
      </w:r>
    </w:p>
    <w:p w14:paraId="550909B9" w14:textId="77777777" w:rsidR="00B0086C" w:rsidRDefault="00EB25C8" w:rsidP="00B0086C">
      <w:pPr>
        <w:ind w:firstLine="708"/>
        <w:jc w:val="both"/>
      </w:pPr>
      <w:r>
        <w:t>Dovezile recente sugerează că popularitatea tot mai mare a produselor noi poate acționa ca o</w:t>
      </w:r>
      <w:r w:rsidR="00B0086C">
        <w:t xml:space="preserve"> </w:t>
      </w:r>
      <w:r>
        <w:t>poartă către dependența de nicotină și, în unele cazuri, către fumatul tradițional, în special în</w:t>
      </w:r>
      <w:r w:rsidR="00B0086C">
        <w:t xml:space="preserve"> </w:t>
      </w:r>
      <w:r>
        <w:t>rândul adolescenților, în ciuda faptului că consumul tradițional de tutun continuă să scadă.</w:t>
      </w:r>
    </w:p>
    <w:p w14:paraId="4D6F9C08" w14:textId="21496947" w:rsidR="00B0086C" w:rsidRDefault="00B0086C" w:rsidP="00B0086C">
      <w:pPr>
        <w:ind w:firstLine="708"/>
        <w:jc w:val="both"/>
      </w:pPr>
      <w:r>
        <w:t>Un aspect îngijorător rămâne caracterul evolutiv al publicității și al promovării. Deși publicitatea tradițională în mass-media a scăzut semnificativ din cauza restricțiilor UE, promovarea digitală, în special prin caracterul disimulat al acesteia, rămâne o provocare majoră în special pentru produsele noi</w:t>
      </w:r>
      <w:r w:rsidR="00441F79">
        <w:fldChar w:fldCharType="begin"/>
      </w:r>
      <w:r w:rsidR="00D4526D">
        <w:instrText xml:space="preserve"> ADDIN EN.CITE &lt;EndNote&gt;&lt;Cite&gt;&lt;Author&gt;EC&lt;/Author&gt;&lt;Year&gt;2026&lt;/Year&gt;&lt;RecNum&gt;9767&lt;/RecNum&gt;&lt;DisplayText&gt;&lt;style size="10"&gt;[35]&lt;/style&gt;&lt;/DisplayText&gt;&lt;record&gt;&lt;rec-number&gt;9767&lt;/rec-number&gt;&lt;foreign-keys&gt;&lt;key app="EN" db-id="fw0prtesnvf55cepezbx255wwza5zw0ssatt" timestamp="1781724228"&gt;9767&lt;/key&gt;&lt;/foreign-keys&gt;&lt;ref-type name="Press Release"&gt;63&lt;/ref-type&gt;&lt;contributors&gt;&lt;authors&gt;&lt;author&gt;&lt;style face="normal" font="default" charset="238" size="100%"&gt;EC&lt;/style&gt;&lt;/author&gt;&lt;/authors&gt;&lt;/contributors&gt;&lt;titles&gt;&lt;title&gt;Commission evaluation of the EU tobacco control framework highlights progress and emerging public health challenges&lt;/title&gt;&lt;/titles&gt;&lt;dates&gt;&lt;year&gt;&lt;style face="normal" font="default" charset="238" size="100%"&gt;2026&lt;/style&gt;&lt;/year&gt;&lt;pub-dates&gt;&lt;date&gt;Apr 2, 2026&lt;/date&gt;&lt;/pub-dates&gt;&lt;/dates&gt;&lt;pub-location&gt;Brussels&lt;/pub-location&gt;&lt;publisher&gt;&lt;style face="normal" font="default" charset="238" size="100%"&gt;EC&lt;/style&gt;&lt;/publisher&gt;&lt;urls&gt;&lt;related-urls&gt;&lt;url&gt;https://ec.europa.eu/commission/presscorner/detail/en/ip_26_771&lt;/url&gt;&lt;/related-urls&gt;&lt;/urls&gt;&lt;/record&gt;&lt;/Cite&gt;&lt;/EndNote&gt;</w:instrText>
      </w:r>
      <w:r w:rsidR="00441F79">
        <w:fldChar w:fldCharType="separate"/>
      </w:r>
      <w:r w:rsidR="00D4526D" w:rsidRPr="00D4526D">
        <w:rPr>
          <w:noProof/>
          <w:sz w:val="20"/>
        </w:rPr>
        <w:t>[35]</w:t>
      </w:r>
      <w:r w:rsidR="00441F79">
        <w:fldChar w:fldCharType="end"/>
      </w:r>
      <w:r>
        <w:t>.</w:t>
      </w:r>
    </w:p>
    <w:p w14:paraId="37409D1F" w14:textId="0CC86367" w:rsidR="00CD3152" w:rsidRPr="006E0160" w:rsidRDefault="00CD3152" w:rsidP="00CD3152">
      <w:pPr>
        <w:ind w:firstLine="708"/>
        <w:jc w:val="both"/>
      </w:pPr>
      <w:r w:rsidRPr="006E0160">
        <w:t>În perioada 2019–202</w:t>
      </w:r>
      <w:r w:rsidR="00FF3FE4">
        <w:t>4</w:t>
      </w:r>
      <w:r w:rsidRPr="006E0160">
        <w:t>, consumul de tutun sub diferitele sale forme a cunoscut evoluții distincte. Tendințele generale în România reflectă în linii mari pe cele europene – o ușoară scădere a fumatului clasic, concomitent cu apariția și creșterea utilizării noilor produse (țigări electronice, dispozitive de încălzire a tutunului), mai ales în rândul tinerilor.</w:t>
      </w:r>
    </w:p>
    <w:p w14:paraId="44D8742B" w14:textId="6B188818" w:rsidR="00CD3152" w:rsidRPr="006E0160" w:rsidRDefault="00CD3152" w:rsidP="00CD3152">
      <w:pPr>
        <w:ind w:firstLine="708"/>
        <w:jc w:val="both"/>
      </w:pPr>
      <w:r w:rsidRPr="006E0160">
        <w:t xml:space="preserve">Conform raportului privind </w:t>
      </w:r>
      <w:r w:rsidRPr="006E0160">
        <w:rPr>
          <w:i/>
          <w:iCs/>
        </w:rPr>
        <w:t>Epidemia globală de tutun, 2025</w:t>
      </w:r>
      <w:r>
        <w:rPr>
          <w:i/>
          <w:iCs/>
        </w:rPr>
        <w:fldChar w:fldCharType="begin"/>
      </w:r>
      <w:r w:rsidR="00D4526D">
        <w:rPr>
          <w:i/>
          <w:iCs/>
        </w:rPr>
        <w:instrText xml:space="preserve"> ADDIN EN.CITE &lt;EndNote&gt;&lt;Cite&gt;&lt;Author&gt;WHO&lt;/Author&gt;&lt;Year&gt;2025&lt;/Year&gt;&lt;RecNum&gt;9127&lt;/RecNum&gt;&lt;DisplayText&gt;&lt;style size="10"&gt;[36]&lt;/style&gt;&lt;/DisplayText&gt;&lt;record&gt;&lt;rec-number&gt;9127&lt;/rec-number&gt;&lt;foreign-keys&gt;&lt;key app="EN" db-id="fw0prtesnvf55cepezbx255wwza5zw0ssatt" timestamp="1754270912" guid="5cf4218e-19e9-4c93-a3a8-741825527fe4"&gt;9127&lt;/key&gt;&lt;/foreign-keys&gt;&lt;ref-type name="Report"&gt;27&lt;/ref-type&gt;&lt;contributors&gt;&lt;authors&gt;&lt;author&gt;&lt;style face="normal" font="default" charset="238" size="100%"&gt;WHO&lt;/style&gt;&lt;/author&gt;&lt;/authors&gt;&lt;secondary-authors&gt;&lt;author&gt;&lt;style face="normal" font="default" charset="238" size="100%"&gt;WHO&lt;/style&gt;&lt;/author&gt;&lt;/secondary-authors&gt;&lt;/contributors&gt;&lt;titles&gt;&lt;title&gt;&lt;style face="normal" font="default" size="100%"&gt;WHO report on the global tobacco epidemic&lt;/style&gt;&lt;style face="normal" font="default" charset="238" size="100%"&gt;, &lt;/style&gt;&lt;style face="normal" font="default" size="100%"&gt;2025: warning about the dangers of tobacco&lt;/style&gt;&lt;/title&gt;&lt;/titles&gt;&lt;dates&gt;&lt;year&gt;&lt;style face="normal" font="default" charset="238" size="100%"&gt;2025&lt;/style&gt;&lt;/year&gt;&lt;/dates&gt;&lt;pub-location&gt;&lt;style face="normal" font="default" charset="238" size="100%"&gt;Geneva&lt;/style&gt;&lt;/pub-location&gt;&lt;urls&gt;&lt;/urls&gt;&lt;/record&gt;&lt;/Cite&gt;&lt;/EndNote&gt;</w:instrText>
      </w:r>
      <w:r>
        <w:rPr>
          <w:i/>
          <w:iCs/>
        </w:rPr>
        <w:fldChar w:fldCharType="separate"/>
      </w:r>
      <w:r w:rsidR="00D4526D" w:rsidRPr="00D4526D">
        <w:rPr>
          <w:i/>
          <w:iCs/>
          <w:noProof/>
          <w:sz w:val="20"/>
        </w:rPr>
        <w:t>[36]</w:t>
      </w:r>
      <w:r>
        <w:rPr>
          <w:i/>
          <w:iCs/>
        </w:rPr>
        <w:fldChar w:fldCharType="end"/>
      </w:r>
      <w:r w:rsidRPr="006E0160">
        <w:t>, făcut public la Conferința Mondială pentru Controlul Tutunului de la Dublin 2025, OMS avertizând că încă sunt necesare acțiuni susținute pentru a menține și accelera progresul în controlul tutunului, pe măsură ce interferența tot mai mare a industriei provoacă politicile și eforturile de control al tutunului.</w:t>
      </w:r>
      <w:r w:rsidRPr="006E0160">
        <w:fldChar w:fldCharType="begin"/>
      </w:r>
      <w:r w:rsidR="00D4526D">
        <w:instrText xml:space="preserve"> ADDIN EN.CITE &lt;EndNote&gt;&lt;Cite&gt;&lt;Author&gt;WHO&lt;/Author&gt;&lt;Year&gt;2025&lt;/Year&gt;&lt;RecNum&gt;9214&lt;/RecNum&gt;&lt;DisplayText&gt;&lt;style size="10"&gt;[37]&lt;/style&gt;&lt;/DisplayText&gt;&lt;record&gt;&lt;rec-number&gt;9214&lt;/rec-number&gt;&lt;foreign-keys&gt;&lt;key app="EN" db-id="fw0prtesnvf55cepezbx255wwza5zw0ssatt" timestamp="1754858390" guid="32ff6953-3be1-483f-8791-9d2ecfdd4f54"&gt;9214&lt;/key&gt;&lt;/foreign-keys&gt;&lt;ref-type name="Web Page"&gt;12&lt;/ref-type&gt;&lt;contributors&gt;&lt;authors&gt;&lt;author&gt;&lt;style face="normal" font="default" charset="238" size="100%"&gt;WHO&lt;/style&gt;&lt;/author&gt;&lt;/authors&gt;&lt;secondary-authors&gt;&lt;author&gt;&lt;style face="normal" font="default" charset="238" size="100%"&gt;WHO&lt;/style&gt;&lt;/author&gt;&lt;/secondary-authors&gt;&lt;/contributors&gt;&lt;titles&gt;&lt;title&gt;Tobacco control efforts protect 6.1 billion people – WHO’s new report&lt;/title&gt;&lt;/titles&gt;&lt;volume&gt;&lt;style face="normal" font="default" charset="238" size="100%"&gt;2025&lt;/style&gt;&lt;/volume&gt;&lt;number&gt;&lt;style face="normal" font="default" charset="238" size="100%"&gt;15th July&lt;/style&gt;&lt;/number&gt;&lt;dates&gt;&lt;year&gt;&lt;style face="normal" font="default" charset="238" size="100%"&gt;2025&lt;/style&gt;&lt;/year&gt;&lt;/dates&gt;&lt;pub-location&gt;&lt;style face="normal" font="default" charset="238" size="100%"&gt;online&lt;/style&gt;&lt;/pub-location&gt;&lt;publisher&gt;&lt;style face="normal" font="default" charset="238" size="100%"&gt;WHO&lt;/style&gt;&lt;/publisher&gt;&lt;urls&gt;&lt;related-urls&gt;&lt;url&gt;https://www.who.int/news/item/23-06-2025-tobacco-control-efforts-protect-6.1-billion-people-who-s-new-report&lt;/url&gt;&lt;/related-urls&gt;&lt;/urls&gt;&lt;/record&gt;&lt;/Cite&gt;&lt;/EndNote&gt;</w:instrText>
      </w:r>
      <w:r w:rsidRPr="006E0160">
        <w:fldChar w:fldCharType="separate"/>
      </w:r>
      <w:r w:rsidR="00D4526D" w:rsidRPr="00D4526D">
        <w:rPr>
          <w:noProof/>
          <w:sz w:val="20"/>
        </w:rPr>
        <w:t>[37]</w:t>
      </w:r>
      <w:r w:rsidRPr="006E0160">
        <w:fldChar w:fldCharType="end"/>
      </w:r>
    </w:p>
    <w:p w14:paraId="3EED8185" w14:textId="7CBA3EC2" w:rsidR="00CD3152" w:rsidRPr="006E0160" w:rsidRDefault="00CD3152" w:rsidP="00CD3152">
      <w:pPr>
        <w:ind w:firstLine="708"/>
        <w:jc w:val="both"/>
      </w:pPr>
      <w:r w:rsidRPr="006E0160">
        <w:t>Raportul</w:t>
      </w:r>
      <w:r w:rsidRPr="006E0160">
        <w:fldChar w:fldCharType="begin"/>
      </w:r>
      <w:r w:rsidR="00D4526D">
        <w:instrText xml:space="preserve"> ADDIN EN.CITE &lt;EndNote&gt;&lt;Cite&gt;&lt;Author&gt;WHO&lt;/Author&gt;&lt;Year&gt;2025&lt;/Year&gt;&lt;RecNum&gt;9127&lt;/RecNum&gt;&lt;DisplayText&gt;&lt;style size="10"&gt;[36]&lt;/style&gt;&lt;/DisplayText&gt;&lt;record&gt;&lt;rec-number&gt;9127&lt;/rec-number&gt;&lt;foreign-keys&gt;&lt;key app="EN" db-id="fw0prtesnvf55cepezbx255wwza5zw0ssatt" timestamp="1754270912" guid="5cf4218e-19e9-4c93-a3a8-741825527fe4"&gt;9127&lt;/key&gt;&lt;/foreign-keys&gt;&lt;ref-type name="Report"&gt;27&lt;/ref-type&gt;&lt;contributors&gt;&lt;authors&gt;&lt;author&gt;&lt;style face="normal" font="default" charset="238" size="100%"&gt;WHO&lt;/style&gt;&lt;/author&gt;&lt;/authors&gt;&lt;secondary-authors&gt;&lt;author&gt;&lt;style face="normal" font="default" charset="238" size="100%"&gt;WHO&lt;/style&gt;&lt;/author&gt;&lt;/secondary-authors&gt;&lt;/contributors&gt;&lt;titles&gt;&lt;title&gt;&lt;style face="normal" font="default" size="100%"&gt;WHO report on the global tobacco epidemic&lt;/style&gt;&lt;style face="normal" font="default" charset="238" size="100%"&gt;, &lt;/style&gt;&lt;style face="normal" font="default" size="100%"&gt;2025: warning about the dangers of tobacco&lt;/style&gt;&lt;/title&gt;&lt;/titles&gt;&lt;dates&gt;&lt;year&gt;&lt;style face="normal" font="default" charset="238" size="100%"&gt;2025&lt;/style&gt;&lt;/year&gt;&lt;/dates&gt;&lt;pub-location&gt;&lt;style face="normal" font="default" charset="238" size="100%"&gt;Geneva&lt;/style&gt;&lt;/pub-location&gt;&lt;urls&gt;&lt;/urls&gt;&lt;/record&gt;&lt;/Cite&gt;&lt;/EndNote&gt;</w:instrText>
      </w:r>
      <w:r w:rsidRPr="006E0160">
        <w:fldChar w:fldCharType="separate"/>
      </w:r>
      <w:r w:rsidR="00D4526D" w:rsidRPr="00D4526D">
        <w:rPr>
          <w:noProof/>
          <w:sz w:val="20"/>
        </w:rPr>
        <w:t>[36]</w:t>
      </w:r>
      <w:r w:rsidRPr="006E0160">
        <w:fldChar w:fldCharType="end"/>
      </w:r>
      <w:r w:rsidRPr="006E0160">
        <w:t xml:space="preserve"> se concentrează pe cele șase măsuri dovedite de control al tutunului MPOWER pentru a reduce consumul de tutun, care provoacă peste 7 milioane de vieți pe an:</w:t>
      </w:r>
    </w:p>
    <w:p w14:paraId="388E945F" w14:textId="77777777" w:rsidR="00CD3152" w:rsidRPr="006E0160" w:rsidRDefault="00CD3152" w:rsidP="00A62A7C">
      <w:pPr>
        <w:numPr>
          <w:ilvl w:val="0"/>
          <w:numId w:val="3"/>
        </w:numPr>
        <w:spacing w:line="319" w:lineRule="auto"/>
        <w:ind w:left="284" w:firstLine="0"/>
        <w:jc w:val="both"/>
      </w:pPr>
      <w:r w:rsidRPr="00D07981">
        <w:rPr>
          <w:b/>
          <w:bCs/>
          <w:color w:val="0070C0"/>
        </w:rPr>
        <w:t xml:space="preserve">M (monitoring) </w:t>
      </w:r>
      <w:r w:rsidRPr="006E0160">
        <w:rPr>
          <w:b/>
          <w:bCs/>
        </w:rPr>
        <w:t xml:space="preserve">- </w:t>
      </w:r>
      <w:r w:rsidRPr="006E0160">
        <w:t>monitorizarea consumului de tutun și politici de prevenire;</w:t>
      </w:r>
    </w:p>
    <w:p w14:paraId="50DEDE2C" w14:textId="77777777" w:rsidR="00CD3152" w:rsidRPr="006E0160" w:rsidRDefault="00CD3152" w:rsidP="00A62A7C">
      <w:pPr>
        <w:numPr>
          <w:ilvl w:val="0"/>
          <w:numId w:val="3"/>
        </w:numPr>
        <w:spacing w:line="319" w:lineRule="auto"/>
        <w:ind w:left="284" w:firstLine="0"/>
        <w:jc w:val="both"/>
      </w:pPr>
      <w:r w:rsidRPr="00D07981">
        <w:rPr>
          <w:b/>
          <w:bCs/>
          <w:color w:val="0070C0"/>
        </w:rPr>
        <w:t>P (protect)</w:t>
      </w:r>
      <w:r w:rsidRPr="00D07981">
        <w:rPr>
          <w:b/>
          <w:bCs/>
          <w:color w:val="002060"/>
        </w:rPr>
        <w:t xml:space="preserve"> </w:t>
      </w:r>
      <w:r w:rsidRPr="006E0160">
        <w:rPr>
          <w:b/>
          <w:bCs/>
        </w:rPr>
        <w:t xml:space="preserve">- </w:t>
      </w:r>
      <w:r w:rsidRPr="006E0160">
        <w:t>protejarea oamenilor de fumul de tutun cu o legislație privind aerul fără fum;</w:t>
      </w:r>
    </w:p>
    <w:p w14:paraId="10FE19C6" w14:textId="77777777" w:rsidR="00CD3152" w:rsidRPr="006E0160" w:rsidRDefault="00CD3152" w:rsidP="00A62A7C">
      <w:pPr>
        <w:numPr>
          <w:ilvl w:val="0"/>
          <w:numId w:val="3"/>
        </w:numPr>
        <w:spacing w:line="319" w:lineRule="auto"/>
        <w:ind w:left="284" w:firstLine="0"/>
        <w:jc w:val="both"/>
      </w:pPr>
      <w:r w:rsidRPr="00D07981">
        <w:rPr>
          <w:b/>
          <w:bCs/>
          <w:color w:val="0070C0"/>
        </w:rPr>
        <w:t>O</w:t>
      </w:r>
      <w:r>
        <w:rPr>
          <w:b/>
          <w:bCs/>
          <w:color w:val="0070C0"/>
        </w:rPr>
        <w:t xml:space="preserve"> </w:t>
      </w:r>
      <w:r w:rsidRPr="00D07981">
        <w:rPr>
          <w:b/>
          <w:bCs/>
          <w:color w:val="0070C0"/>
        </w:rPr>
        <w:t xml:space="preserve">(offer) </w:t>
      </w:r>
      <w:r w:rsidRPr="006E0160">
        <w:rPr>
          <w:b/>
          <w:bCs/>
        </w:rPr>
        <w:t xml:space="preserve">- </w:t>
      </w:r>
      <w:r w:rsidRPr="006E0160">
        <w:t>oferirea de suport pentru renunțarea la consumul de tutun;</w:t>
      </w:r>
    </w:p>
    <w:p w14:paraId="7F2F87F5" w14:textId="77777777" w:rsidR="00CD3152" w:rsidRPr="006E0160" w:rsidRDefault="00CD3152" w:rsidP="00A62A7C">
      <w:pPr>
        <w:numPr>
          <w:ilvl w:val="0"/>
          <w:numId w:val="3"/>
        </w:numPr>
        <w:spacing w:line="319" w:lineRule="auto"/>
        <w:ind w:left="284" w:firstLine="0"/>
        <w:jc w:val="both"/>
      </w:pPr>
      <w:r w:rsidRPr="00D07981">
        <w:rPr>
          <w:b/>
          <w:bCs/>
          <w:color w:val="0070C0"/>
        </w:rPr>
        <w:t xml:space="preserve">W (warn) </w:t>
      </w:r>
      <w:r w:rsidRPr="006E0160">
        <w:rPr>
          <w:b/>
          <w:bCs/>
        </w:rPr>
        <w:t xml:space="preserve">- </w:t>
      </w:r>
      <w:r w:rsidRPr="006E0160">
        <w:t>avertizarea cu privire la pericolele tutunului (etichetele ambalajelor și prin intermediul mass-media);</w:t>
      </w:r>
    </w:p>
    <w:p w14:paraId="5D7FC9B3" w14:textId="77777777" w:rsidR="00CD3152" w:rsidRPr="006E0160" w:rsidRDefault="00CD3152" w:rsidP="00A62A7C">
      <w:pPr>
        <w:numPr>
          <w:ilvl w:val="0"/>
          <w:numId w:val="3"/>
        </w:numPr>
        <w:spacing w:line="319" w:lineRule="auto"/>
        <w:ind w:left="284" w:firstLine="0"/>
        <w:jc w:val="both"/>
      </w:pPr>
      <w:r w:rsidRPr="00D07981">
        <w:rPr>
          <w:b/>
          <w:bCs/>
          <w:color w:val="0070C0"/>
        </w:rPr>
        <w:t xml:space="preserve">E (enforce) </w:t>
      </w:r>
      <w:r w:rsidRPr="006E0160">
        <w:rPr>
          <w:b/>
          <w:bCs/>
        </w:rPr>
        <w:t xml:space="preserve">- </w:t>
      </w:r>
      <w:r w:rsidRPr="006E0160">
        <w:t>aplicarea interdicțiilor privind publicitatea, promovarea și sponsorizarea produselor de tutun; și</w:t>
      </w:r>
    </w:p>
    <w:p w14:paraId="0A69B012" w14:textId="77777777" w:rsidR="00CD3152" w:rsidRPr="006E0160" w:rsidRDefault="00CD3152" w:rsidP="00A62A7C">
      <w:pPr>
        <w:numPr>
          <w:ilvl w:val="0"/>
          <w:numId w:val="3"/>
        </w:numPr>
        <w:spacing w:line="319" w:lineRule="auto"/>
        <w:ind w:left="284" w:firstLine="0"/>
        <w:jc w:val="both"/>
      </w:pPr>
      <w:r w:rsidRPr="00D07981">
        <w:rPr>
          <w:b/>
          <w:bCs/>
          <w:color w:val="0070C0"/>
        </w:rPr>
        <w:t xml:space="preserve">R (raise) </w:t>
      </w:r>
      <w:r w:rsidRPr="006E0160">
        <w:rPr>
          <w:b/>
          <w:bCs/>
        </w:rPr>
        <w:t xml:space="preserve">- </w:t>
      </w:r>
      <w:r w:rsidRPr="006E0160">
        <w:t>creșterea taxelor pentru produsele de tutun.</w:t>
      </w:r>
    </w:p>
    <w:p w14:paraId="1394666D" w14:textId="77777777" w:rsidR="00CD3152" w:rsidRPr="006E0160" w:rsidRDefault="00CD3152" w:rsidP="00CD3152">
      <w:pPr>
        <w:ind w:left="284" w:firstLine="424"/>
        <w:jc w:val="both"/>
      </w:pPr>
      <w:r w:rsidRPr="006E0160">
        <w:lastRenderedPageBreak/>
        <w:t xml:space="preserve">Din 2007, 155 de țări au implementat cel puțin una dintre măsurile de control al tutunului MPOWER ale OMS pentru a reduce consumul de tutun la nivelul celor mai bune practici. Astfel, la acest moment peste 6,1 miliarde de oameni (trei sferturi din populație la nivel mondial), sunt protejați de cel puțin o astfel de politică, comparativ cu doar 1 miliard în 2007. </w:t>
      </w:r>
    </w:p>
    <w:p w14:paraId="3F2A2CCE" w14:textId="77777777" w:rsidR="00CD3152" w:rsidRPr="006E0160" w:rsidRDefault="00CD3152" w:rsidP="00CD3152">
      <w:pPr>
        <w:ind w:left="284" w:firstLine="424"/>
        <w:jc w:val="both"/>
      </w:pPr>
      <w:r w:rsidRPr="006E0160">
        <w:t>Patru țări au implementat pachetul complet MPOWER: Brazilia, Mauritius, Țările de Jos și Turcia. Șapte țări sunt la doar o măsură distanță de a realiza implementarea completă a pachetului MPOWER, ceea ce înseamnă cel mai înalt nivel de control al tutunului, inclusiv Etiopia, Irlanda, Iordania, Mexic, Noua Zeelandă, Slovenia și Spania. Cu toate acestea, există încă lacune majore, patruzeci de țări încă nu au nicio măsură MPOWER la nivel de bune practici și peste 30 de țări permit vânzarea de țigări fără avertismente obligatorii de sănătate.</w:t>
      </w:r>
    </w:p>
    <w:p w14:paraId="5005A012" w14:textId="77777777" w:rsidR="00CD3152" w:rsidRPr="006E0160" w:rsidRDefault="00CD3152" w:rsidP="00CD3152">
      <w:pPr>
        <w:ind w:left="284" w:firstLine="424"/>
        <w:jc w:val="both"/>
      </w:pPr>
      <w:r w:rsidRPr="006E0160">
        <w:t>Raportul OMS privind epidemia globală de tutun 2025 arată că cel mai mare impact l-au avut avertismentele sub formă grafică referitoare la efectele consumului de tutun asupra sănătății, una dintre măsurile cheie din cadrul Convenției-cadru a OMS pentru controlul tutunului (CCCT), care fac ca daunele tutunului să fie imposibil de ignorat:</w:t>
      </w:r>
    </w:p>
    <w:p w14:paraId="02DAA617" w14:textId="77777777" w:rsidR="00CD3152" w:rsidRPr="006E0160" w:rsidRDefault="00CD3152" w:rsidP="00A62A7C">
      <w:pPr>
        <w:numPr>
          <w:ilvl w:val="0"/>
          <w:numId w:val="4"/>
        </w:numPr>
        <w:spacing w:line="319" w:lineRule="auto"/>
        <w:ind w:left="284" w:firstLine="0"/>
        <w:jc w:val="both"/>
      </w:pPr>
      <w:r w:rsidRPr="006E0160">
        <w:t>110 țări le impun acum producătorilor – față de doar 9 țări în 2007 – protejând 62% din populația globală; iar</w:t>
      </w:r>
    </w:p>
    <w:p w14:paraId="192261C7" w14:textId="77777777" w:rsidR="00CD3152" w:rsidRPr="006E0160" w:rsidRDefault="00CD3152" w:rsidP="00A62A7C">
      <w:pPr>
        <w:numPr>
          <w:ilvl w:val="0"/>
          <w:numId w:val="4"/>
        </w:numPr>
        <w:spacing w:line="319" w:lineRule="auto"/>
        <w:ind w:left="284" w:firstLine="0"/>
        <w:jc w:val="both"/>
      </w:pPr>
      <w:r w:rsidRPr="006E0160">
        <w:t>25 de țări au adoptat ambalajul neutru.</w:t>
      </w:r>
    </w:p>
    <w:p w14:paraId="570DC338" w14:textId="5BBD6E96" w:rsidR="00CD3152" w:rsidRPr="006E0160" w:rsidRDefault="00CD3152" w:rsidP="00CD3152">
      <w:pPr>
        <w:ind w:left="284" w:firstLine="424"/>
        <w:jc w:val="both"/>
      </w:pPr>
      <w:r w:rsidRPr="006E0160">
        <w:t>OMS avertizează,</w:t>
      </w:r>
      <w:r w:rsidR="009D2E63">
        <w:t xml:space="preserve"> însă, </w:t>
      </w:r>
      <w:r w:rsidRPr="006E0160">
        <w:t xml:space="preserve">că aplicarea legii este inconsecventă, iar ambalajele de tutun fără fum rămân slab reglementate. </w:t>
      </w:r>
    </w:p>
    <w:p w14:paraId="46072777" w14:textId="77777777" w:rsidR="00CD3152" w:rsidRPr="006E0160" w:rsidRDefault="00CD3152" w:rsidP="00CD3152">
      <w:pPr>
        <w:ind w:left="284" w:firstLine="424"/>
        <w:jc w:val="both"/>
      </w:pPr>
      <w:r w:rsidRPr="006E0160">
        <w:t>Noul raport pune la dispoziție un nou portal de date care urmărește progresul pentru fiecare țară în parte în perioada 2007-2025.</w:t>
      </w:r>
    </w:p>
    <w:p w14:paraId="1B81DE31" w14:textId="77777777" w:rsidR="00CD3152" w:rsidRPr="006E0160" w:rsidRDefault="00CD3152" w:rsidP="00CD3152">
      <w:pPr>
        <w:ind w:left="284" w:firstLine="424"/>
        <w:jc w:val="both"/>
      </w:pPr>
      <w:r w:rsidRPr="006E0160">
        <w:t xml:space="preserve">În ciuda eficacității lor, 110 țări nu au mai desfășurat campanii anti-tutun din 2022. Cu toate acestea, 36% din populația globală trăiește acum în țări care au desfășurat campanii de bune practici, în creștere de la doar 19% în 2022. </w:t>
      </w:r>
    </w:p>
    <w:p w14:paraId="6035CF19" w14:textId="1557F10D" w:rsidR="00CD3152" w:rsidRPr="006E0160" w:rsidRDefault="00CD3152" w:rsidP="00CD3152">
      <w:pPr>
        <w:ind w:left="284" w:firstLine="424"/>
        <w:jc w:val="both"/>
      </w:pPr>
      <w:r w:rsidRPr="006E0160">
        <w:t xml:space="preserve">Taxele, serviciile de asistare la renunțare și interdicțiile de publicitate s-au extins, dar </w:t>
      </w:r>
      <w:r w:rsidR="009A27A3">
        <w:t xml:space="preserve">încă </w:t>
      </w:r>
      <w:r w:rsidRPr="006E0160">
        <w:t>sunt necesare multe îmbunătățiri:</w:t>
      </w:r>
    </w:p>
    <w:p w14:paraId="0B56CEFF" w14:textId="77777777" w:rsidR="00CD3152" w:rsidRPr="006E0160" w:rsidRDefault="00CD3152" w:rsidP="00A62A7C">
      <w:pPr>
        <w:numPr>
          <w:ilvl w:val="0"/>
          <w:numId w:val="5"/>
        </w:numPr>
        <w:tabs>
          <w:tab w:val="left" w:pos="284"/>
        </w:tabs>
        <w:spacing w:line="319" w:lineRule="auto"/>
        <w:ind w:left="284" w:firstLine="0"/>
        <w:jc w:val="both"/>
      </w:pPr>
      <w:r w:rsidRPr="006E0160">
        <w:t>impozitare: 134 de țări nu au reușit să facă țigările mai puțin accesibile. Din 2022, doar 3 au crescut taxele la nivelul celor mai bune practici.</w:t>
      </w:r>
    </w:p>
    <w:p w14:paraId="1C4FC91B" w14:textId="77777777" w:rsidR="00CD3152" w:rsidRPr="006E0160" w:rsidRDefault="00CD3152" w:rsidP="00A62A7C">
      <w:pPr>
        <w:numPr>
          <w:ilvl w:val="0"/>
          <w:numId w:val="5"/>
        </w:numPr>
        <w:tabs>
          <w:tab w:val="left" w:pos="284"/>
        </w:tabs>
        <w:spacing w:line="319" w:lineRule="auto"/>
        <w:ind w:left="284" w:firstLine="0"/>
        <w:jc w:val="both"/>
      </w:pPr>
      <w:r w:rsidRPr="006E0160">
        <w:t>renunțarea la fumat: doar 33% dintre oameni la nivel global au acces la servicii de renunțare acoperite la costuri.</w:t>
      </w:r>
    </w:p>
    <w:p w14:paraId="3BE2DAB0" w14:textId="77777777" w:rsidR="00CD3152" w:rsidRPr="006E0160" w:rsidRDefault="00CD3152" w:rsidP="00A62A7C">
      <w:pPr>
        <w:numPr>
          <w:ilvl w:val="0"/>
          <w:numId w:val="5"/>
        </w:numPr>
        <w:tabs>
          <w:tab w:val="left" w:pos="284"/>
        </w:tabs>
        <w:spacing w:line="319" w:lineRule="auto"/>
        <w:ind w:left="284" w:firstLine="0"/>
        <w:jc w:val="both"/>
      </w:pPr>
      <w:r w:rsidRPr="006E0160">
        <w:t>interdicții de publicitate: interdicțiile de bune practici există în 68 de țări, acoperind peste 25% din populația globală.</w:t>
      </w:r>
    </w:p>
    <w:p w14:paraId="08EC6F87" w14:textId="77777777" w:rsidR="00CD3152" w:rsidRPr="00267420" w:rsidRDefault="00CD3152" w:rsidP="00CD3152">
      <w:pPr>
        <w:ind w:left="284" w:firstLine="424"/>
        <w:jc w:val="both"/>
      </w:pPr>
      <w:r w:rsidRPr="00267420">
        <w:t>Aproximativ 1,3 milioane de oameni mor din cauza fumatului pasiv în fiecare an. 79 de țări au implementat medii complete fără fum, acoperind o treime din populația lumii. Din 2022, alte șase țări (Insulele Cook, Indonezia, Malaezia, Sierra Leone, Slovenia și Uzbekistan) au adoptat legi stricte antifumat, în ciuda rezistenței industriei, în special în locurile publice.</w:t>
      </w:r>
    </w:p>
    <w:p w14:paraId="5ED879B1" w14:textId="77777777" w:rsidR="00AD5333" w:rsidRDefault="00AD5333" w:rsidP="00AD5333">
      <w:pPr>
        <w:pStyle w:val="Heading4"/>
      </w:pPr>
      <w:r w:rsidRPr="00267420">
        <w:t>Dependența reinventată: ascensiunea noilor produse cu nicotină</w:t>
      </w:r>
      <w:r>
        <w:t xml:space="preserve"> </w:t>
      </w:r>
    </w:p>
    <w:p w14:paraId="62667ED3" w14:textId="16AB4167" w:rsidR="00AD5333" w:rsidRDefault="00AD5333" w:rsidP="00CD3152">
      <w:pPr>
        <w:ind w:left="284" w:firstLine="424"/>
        <w:jc w:val="both"/>
      </w:pPr>
      <w:r w:rsidRPr="00AD5333">
        <w:t>În 2026, atenția OMS</w:t>
      </w:r>
      <w:r>
        <w:t xml:space="preserve"> </w:t>
      </w:r>
      <w:r w:rsidRPr="00AD5333">
        <w:t xml:space="preserve">s-a concentrat asupra noilor produse cu nicotină, în special a nicotinei sintetice și a analogilor acesteia, considerate o provocare emergentă pentru sănătatea publică din cauza potențialului lor adictiv și a atractivității crescute în rândul tinerilor. Nicotina sintetică </w:t>
      </w:r>
      <w:r w:rsidRPr="00AD5333">
        <w:lastRenderedPageBreak/>
        <w:t>reprezintă o formă de nicotină obținută prin procese chimice de laborator, fără a fi extrasă din planta de tutun. Deși structura sa chimică este similară nicotinei derivate din tutun, aceasta poate produce efecte biologice comparabile, activând receptorii nicotinici din sistemul nervos central și generând dependență</w:t>
      </w:r>
      <w:r>
        <w:t xml:space="preserve">. </w:t>
      </w:r>
      <w:r w:rsidRPr="00AD5333">
        <w:t>OMS subliniază necesitatea actualizării legislației pentru a reglementa toate produsele care induc dependență de nicotină, indiferent de sursa acesteia</w:t>
      </w:r>
      <w:r>
        <w:t>.</w:t>
      </w:r>
    </w:p>
    <w:p w14:paraId="717F3C7F" w14:textId="6921D4BE" w:rsidR="00CD3152" w:rsidRDefault="00CD3152" w:rsidP="00CD3152">
      <w:pPr>
        <w:ind w:left="284" w:firstLine="424"/>
        <w:jc w:val="both"/>
      </w:pPr>
      <w:r w:rsidRPr="006E0160">
        <w:t>A existat o tendință în creștere de a reglementa utilizarea țigărilor electronice sau ENDS (Electronic Nicotine Delivery Systems). Numărul țărilor care reglementează sau interzic utilizarea ENDS a crescut de la 122 în 2022 la 133 în 2024, un semnal clar al atenției sporite acordate acestor produse. Cu toate acestea, peste 60 de țări încă nu au reglementări privind ENDS.</w:t>
      </w:r>
      <w:r w:rsidRPr="006E0160">
        <w:fldChar w:fldCharType="begin"/>
      </w:r>
      <w:r w:rsidR="00D4526D">
        <w:instrText xml:space="preserve"> ADDIN EN.CITE &lt;EndNote&gt;&lt;Cite&gt;&lt;Author&gt;WHO&lt;/Author&gt;&lt;Year&gt;2025&lt;/Year&gt;&lt;RecNum&gt;9214&lt;/RecNum&gt;&lt;DisplayText&gt;&lt;style size="10"&gt;[37]&lt;/style&gt;&lt;/DisplayText&gt;&lt;record&gt;&lt;rec-number&gt;9214&lt;/rec-number&gt;&lt;foreign-keys&gt;&lt;key app="EN" db-id="fw0prtesnvf55cepezbx255wwza5zw0ssatt" timestamp="1754858390" guid="32ff6953-3be1-483f-8791-9d2ecfdd4f54"&gt;9214&lt;/key&gt;&lt;/foreign-keys&gt;&lt;ref-type name="Web Page"&gt;12&lt;/ref-type&gt;&lt;contributors&gt;&lt;authors&gt;&lt;author&gt;&lt;style face="normal" font="default" charset="238" size="100%"&gt;WHO&lt;/style&gt;&lt;/author&gt;&lt;/authors&gt;&lt;secondary-authors&gt;&lt;author&gt;&lt;style face="normal" font="default" charset="238" size="100%"&gt;WHO&lt;/style&gt;&lt;/author&gt;&lt;/secondary-authors&gt;&lt;/contributors&gt;&lt;titles&gt;&lt;title&gt;Tobacco control efforts protect 6.1 billion people – WHO’s new report&lt;/title&gt;&lt;/titles&gt;&lt;volume&gt;&lt;style face="normal" font="default" charset="238" size="100%"&gt;2025&lt;/style&gt;&lt;/volume&gt;&lt;number&gt;&lt;style face="normal" font="default" charset="238" size="100%"&gt;15th July&lt;/style&gt;&lt;/number&gt;&lt;dates&gt;&lt;year&gt;&lt;style face="normal" font="default" charset="238" size="100%"&gt;2025&lt;/style&gt;&lt;/year&gt;&lt;/dates&gt;&lt;pub-location&gt;&lt;style face="normal" font="default" charset="238" size="100%"&gt;online&lt;/style&gt;&lt;/pub-location&gt;&lt;publisher&gt;&lt;style face="normal" font="default" charset="238" size="100%"&gt;WHO&lt;/style&gt;&lt;/publisher&gt;&lt;urls&gt;&lt;related-urls&gt;&lt;url&gt;https://www.who.int/news/item/23-06-2025-tobacco-control-efforts-protect-6.1-billion-people-who-s-new-report&lt;/url&gt;&lt;/related-urls&gt;&lt;/urls&gt;&lt;/record&gt;&lt;/Cite&gt;&lt;/EndNote&gt;</w:instrText>
      </w:r>
      <w:r w:rsidRPr="006E0160">
        <w:fldChar w:fldCharType="separate"/>
      </w:r>
      <w:r w:rsidR="00D4526D" w:rsidRPr="00D4526D">
        <w:rPr>
          <w:noProof/>
          <w:sz w:val="20"/>
        </w:rPr>
        <w:t>[37]</w:t>
      </w:r>
      <w:r w:rsidRPr="006E0160">
        <w:fldChar w:fldCharType="end"/>
      </w:r>
    </w:p>
    <w:p w14:paraId="261A0DDF" w14:textId="75B0B8E5" w:rsidR="005B5427" w:rsidRDefault="005B5427" w:rsidP="00CD3152">
      <w:pPr>
        <w:ind w:left="284" w:firstLine="424"/>
        <w:jc w:val="both"/>
      </w:pPr>
      <w:r>
        <w:t>C</w:t>
      </w:r>
      <w:r w:rsidR="00C05236">
        <w:t>el mai recent r</w:t>
      </w:r>
      <w:r>
        <w:t>aport</w:t>
      </w:r>
      <w:r w:rsidR="00C05236" w:rsidRPr="00C05236">
        <w:t xml:space="preserve"> privind epidemia globală de tutun </w:t>
      </w:r>
      <w:r>
        <w:fldChar w:fldCharType="begin"/>
      </w:r>
      <w:r w:rsidR="00D4526D">
        <w:instrText xml:space="preserve"> ADDIN EN.CITE &lt;EndNote&gt;&lt;Cite&gt;&lt;Author&gt;WHO&lt;/Author&gt;&lt;Year&gt;2025&lt;/Year&gt;&lt;RecNum&gt;9765&lt;/RecNum&gt;&lt;DisplayText&gt;&lt;style size="10"&gt;[38]&lt;/style&gt;&lt;/DisplayText&gt;&lt;record&gt;&lt;rec-number&gt;9765&lt;/rec-number&gt;&lt;foreign-keys&gt;&lt;key app="EN" db-id="fw0prtesnvf55cepezbx255wwza5zw0ssatt" timestamp="1781677375"&gt;9765&lt;/key&gt;&lt;/foreign-keys&gt;&lt;ref-type name="Web Page"&gt;12&lt;/ref-type&gt;&lt;contributors&gt;&lt;authors&gt;&lt;author&gt;&lt;style face="normal" font="default" charset="238" size="100%"&gt;WHO&lt;/style&gt;&lt;/author&gt;&lt;/authors&gt;&lt;secondary-authors&gt;&lt;author&gt;&lt;style face="normal" font="default" charset="238" size="100%"&gt;WHO&lt;/style&gt;&lt;/author&gt;&lt;/secondary-authors&gt;&lt;/contributors&gt;&lt;titles&gt;&lt;title&gt;&lt;style face="normal" font="default" size="100%"&gt;Country profile Romania &lt;/style&gt;&lt;style face="normal" font="default" charset="238" size="100%"&gt;- Summary of MPOWER measures in Romania&lt;/style&gt;&lt;/title&gt;&lt;secondary-title&gt;WHO report on the global tobacco epidemic, 2025 &lt;/secondary-title&gt;&lt;/titles&gt;&lt;volume&gt;&lt;style face="normal" font="default" charset="238" size="100%"&gt;2026&lt;/style&gt;&lt;/volume&gt;&lt;number&gt;&lt;style face="normal" font="default" charset="238" size="100%"&gt;May 28th&lt;/style&gt;&lt;/number&gt;&lt;dates&gt;&lt;year&gt;&lt;style face="normal" font="default" charset="238" size="100%"&gt;2025&lt;/style&gt;&lt;/year&gt;&lt;/dates&gt;&lt;pub-location&gt;&lt;style face="normal" font="default" charset="238" size="100%"&gt;online, 5 December 2025 &lt;/style&gt;&lt;/pub-location&gt;&lt;urls&gt;&lt;related-urls&gt;&lt;url&gt;https://www.who.int/publications/m/item/tobacco-2025-romania-country-profile&lt;/url&gt;&lt;/related-urls&gt;&lt;/urls&gt;&lt;/record&gt;&lt;/Cite&gt;&lt;/EndNote&gt;</w:instrText>
      </w:r>
      <w:r>
        <w:fldChar w:fldCharType="separate"/>
      </w:r>
      <w:r w:rsidR="00D4526D" w:rsidRPr="00D4526D">
        <w:rPr>
          <w:noProof/>
          <w:sz w:val="20"/>
        </w:rPr>
        <w:t>[38]</w:t>
      </w:r>
      <w:r>
        <w:fldChar w:fldCharType="end"/>
      </w:r>
      <w:r w:rsidR="00C05236">
        <w:t xml:space="preserve"> </w:t>
      </w:r>
      <w:r w:rsidRPr="005B5427">
        <w:t xml:space="preserve">– </w:t>
      </w:r>
      <w:r w:rsidRPr="005B5427">
        <w:rPr>
          <w:i/>
          <w:iCs/>
        </w:rPr>
        <w:t>Profilul de țară MPOWER România, din 4 decembrie 2025</w:t>
      </w:r>
      <w:r w:rsidRPr="00267420">
        <w:rPr>
          <w:i/>
          <w:iCs/>
        </w:rPr>
        <w:t>:</w:t>
      </w:r>
      <w:r w:rsidRPr="005B5427">
        <w:rPr>
          <w:i/>
          <w:iCs/>
        </w:rPr>
        <w:t xml:space="preserve"> Rezumatul măsurilor MPOWER din România</w:t>
      </w:r>
      <w:r w:rsidR="00C05236">
        <w:rPr>
          <w:i/>
          <w:iCs/>
        </w:rPr>
        <w:t xml:space="preserve"> - </w:t>
      </w:r>
      <w:r w:rsidR="00C05236" w:rsidRPr="00C05236">
        <w:t>evidențiază că România se confruntă în continuare cu o povară ridicată a consumului de tutun, în ciuda existenței unui cadru legislativ relativ bine dezvoltat. Prevalența fumatului rămâne una dintre cele mai ridicate din regiune, cu aproximativ 30% dintre persoanele de 15 ani și peste care consumă tutun, inclusiv 38,8% dintre bărbați și 21,3% dintre femei, conform estimărilor standardizate OMS</w:t>
      </w:r>
      <w:r w:rsidR="00C05236">
        <w:t>.</w:t>
      </w:r>
    </w:p>
    <w:p w14:paraId="796ECDF7" w14:textId="5BCE9C83" w:rsidR="00C05236" w:rsidRDefault="00C05236" w:rsidP="00CD3152">
      <w:pPr>
        <w:ind w:left="284" w:firstLine="424"/>
        <w:jc w:val="both"/>
      </w:pPr>
      <w:r w:rsidRPr="00C05236">
        <w:t xml:space="preserve">Din perspectiva politicilor publice, România înregistrează progrese semnificative în implementarea măsurilor de reglementare. </w:t>
      </w:r>
      <w:r w:rsidR="00661730">
        <w:t>Este reglementată</w:t>
      </w:r>
      <w:r w:rsidRPr="00C05236">
        <w:t xml:space="preserve"> legi</w:t>
      </w:r>
      <w:r w:rsidR="00661730">
        <w:t>slație</w:t>
      </w:r>
      <w:r w:rsidRPr="00C05236">
        <w:t xml:space="preserve"> privind mediile fără fum în toate spațiile publice majore (instituții sanitare, educaționale, locuri de muncă, restaurante, baruri și transport public), cu un sistem de sancțiuni aplicabil atât fumătorilor, cât și unităților. Totodată, legislația privind publicitatea produselor din tutun este extinsă, incluzând interdicții pentru TV, radio, internet și publicitate outdoor, precum și restricții asupra formelor indirecte de promovare</w:t>
      </w:r>
      <w:r w:rsidR="00661730">
        <w:t>.</w:t>
      </w:r>
    </w:p>
    <w:p w14:paraId="4C6DA32A" w14:textId="34FCFBAE" w:rsidR="00661730" w:rsidRDefault="00661730" w:rsidP="00CD3152">
      <w:pPr>
        <w:ind w:left="284" w:firstLine="424"/>
        <w:jc w:val="both"/>
      </w:pPr>
      <w:r w:rsidRPr="00661730">
        <w:t>În domeniul informării populației, România aplică măsuri solide privind ambalarea produselor din tutun. Legea impune avertismente de sănătate vizibile pe 65% din suprafața pachetelor, inclusiv imagini grafice și mesaje explicite privind efectele nocive ale fumatului. Aceste măsuri sunt aliniate standardelor internaționale și reprezintă unul dintre punctele forte ale politicii naționale</w:t>
      </w:r>
      <w:r w:rsidR="00766574">
        <w:fldChar w:fldCharType="begin"/>
      </w:r>
      <w:r w:rsidR="00D4526D">
        <w:instrText xml:space="preserve"> ADDIN EN.CITE &lt;EndNote&gt;&lt;Cite&gt;&lt;Author&gt;WHO&lt;/Author&gt;&lt;Year&gt;2025&lt;/Year&gt;&lt;RecNum&gt;9765&lt;/RecNum&gt;&lt;DisplayText&gt;&lt;style size="10"&gt;[38]&lt;/style&gt;&lt;/DisplayText&gt;&lt;record&gt;&lt;rec-number&gt;9765&lt;/rec-number&gt;&lt;foreign-keys&gt;&lt;key app="EN" db-id="fw0prtesnvf55cepezbx255wwza5zw0ssatt" timestamp="1781677375"&gt;9765&lt;/key&gt;&lt;/foreign-keys&gt;&lt;ref-type name="Web Page"&gt;12&lt;/ref-type&gt;&lt;contributors&gt;&lt;authors&gt;&lt;author&gt;&lt;style face="normal" font="default" charset="238" size="100%"&gt;WHO&lt;/style&gt;&lt;/author&gt;&lt;/authors&gt;&lt;secondary-authors&gt;&lt;author&gt;&lt;style face="normal" font="default" charset="238" size="100%"&gt;WHO&lt;/style&gt;&lt;/author&gt;&lt;/secondary-authors&gt;&lt;/contributors&gt;&lt;titles&gt;&lt;title&gt;&lt;style face="normal" font="default" size="100%"&gt;Country profile Romania &lt;/style&gt;&lt;style face="normal" font="default" charset="238" size="100%"&gt;- Summary of MPOWER measures in Romania&lt;/style&gt;&lt;/title&gt;&lt;secondary-title&gt;WHO report on the global tobacco epidemic, 2025 &lt;/secondary-title&gt;&lt;/titles&gt;&lt;volume&gt;&lt;style face="normal" font="default" charset="238" size="100%"&gt;2026&lt;/style&gt;&lt;/volume&gt;&lt;number&gt;&lt;style face="normal" font="default" charset="238" size="100%"&gt;May 28th&lt;/style&gt;&lt;/number&gt;&lt;dates&gt;&lt;year&gt;&lt;style face="normal" font="default" charset="238" size="100%"&gt;2025&lt;/style&gt;&lt;/year&gt;&lt;/dates&gt;&lt;pub-location&gt;&lt;style face="normal" font="default" charset="238" size="100%"&gt;online, 5 December 2025 &lt;/style&gt;&lt;/pub-location&gt;&lt;urls&gt;&lt;related-urls&gt;&lt;url&gt;https://www.who.int/publications/m/item/tobacco-2025-romania-country-profile&lt;/url&gt;&lt;/related-urls&gt;&lt;/urls&gt;&lt;/record&gt;&lt;/Cite&gt;&lt;/EndNote&gt;</w:instrText>
      </w:r>
      <w:r w:rsidR="00766574">
        <w:fldChar w:fldCharType="separate"/>
      </w:r>
      <w:r w:rsidR="00D4526D" w:rsidRPr="00D4526D">
        <w:rPr>
          <w:noProof/>
          <w:sz w:val="20"/>
        </w:rPr>
        <w:t>[38]</w:t>
      </w:r>
      <w:r w:rsidR="00766574">
        <w:fldChar w:fldCharType="end"/>
      </w:r>
      <w:r>
        <w:t>.</w:t>
      </w:r>
    </w:p>
    <w:p w14:paraId="629A0306" w14:textId="784AD0BB" w:rsidR="00661730" w:rsidRDefault="00661730" w:rsidP="00CD3152">
      <w:pPr>
        <w:ind w:left="284" w:firstLine="424"/>
        <w:jc w:val="both"/>
      </w:pPr>
      <w:r w:rsidRPr="00661730">
        <w:t>Cu toate acestea, raportul evidențiază și deficiențe importante în implementarea politicilor de prevenție. În perioada 2022–2024 nu a fost derulată o campanie națională media anti-tutun consistentă, iar România nu dispune de o structură națională specializată dedicată exclusiv controlului tutunului. Activitățile de prevenție și educație pentru sănătate sunt astfel limitate și insuficient susținute la nivel populațional</w:t>
      </w:r>
      <w:r w:rsidR="00E61B1A">
        <w:t>.</w:t>
      </w:r>
    </w:p>
    <w:p w14:paraId="6DB063FE" w14:textId="713EEFD8" w:rsidR="00E61B1A" w:rsidRDefault="00E61B1A" w:rsidP="00CD3152">
      <w:pPr>
        <w:ind w:left="284" w:firstLine="424"/>
        <w:jc w:val="both"/>
      </w:pPr>
      <w:r>
        <w:t>Referitor la</w:t>
      </w:r>
      <w:r w:rsidRPr="00E61B1A">
        <w:t xml:space="preserve"> componenta economică, taxarea produselor din tutun este moderată, cu taxe totale de aproximativ 66,5% din prețul de retail al țigărilor. Cu toate acestea, raportul arată că țigările nu au devenit mai puțin accesibile între 2014 și 2024, ceea ce indică o eficiență limitată a politicilor fiscale în reducerea consumului</w:t>
      </w:r>
      <w:r>
        <w:t>.</w:t>
      </w:r>
    </w:p>
    <w:p w14:paraId="65254B40" w14:textId="3B8FD96D" w:rsidR="00E61B1A" w:rsidRPr="00C05236" w:rsidRDefault="00E61B1A" w:rsidP="00CD3152">
      <w:pPr>
        <w:ind w:left="284" w:firstLine="424"/>
        <w:jc w:val="both"/>
      </w:pPr>
      <w:r w:rsidRPr="00E61B1A">
        <w:t>În ceea ce privește sprijinul pentru renunțare, România dispune de servicii de bază (linii telefonice de consiliere, terapii de substituție nicotinică și tratamente medicamentoase), însă acestea sunt acoperite doar parțial de sistemul de sănătate și nu sunt uniform accesibile în toate regiunile. Accesul la servicii rămâne astfel inegal, în special în mediul comunitar și în unitățile sanitare primare</w:t>
      </w:r>
      <w:r>
        <w:t>.</w:t>
      </w:r>
    </w:p>
    <w:p w14:paraId="51034D48" w14:textId="0938B659" w:rsidR="00FF3FE4" w:rsidRDefault="00E61B1A" w:rsidP="00CD3152">
      <w:pPr>
        <w:ind w:left="284" w:firstLine="424"/>
        <w:jc w:val="both"/>
      </w:pPr>
      <w:r>
        <w:t>C</w:t>
      </w:r>
      <w:r w:rsidRPr="00E61B1A">
        <w:t xml:space="preserve">oncluziile raportului indică faptul că România are un cadru legislativ relativ bine dezvoltat în domeniile de reglementare, însă rămâne în urmă la capitolele de prevenție activă, campanii publice, guvernanță instituțională dedicată și reducerea accesibilității economice a produselor din tutun. </w:t>
      </w:r>
      <w:r w:rsidRPr="00E61B1A">
        <w:lastRenderedPageBreak/>
        <w:t>Aceste dezechilibre contribuie la menținerea unei prevalențe ridicate a fumatului în populație, comparativ cu media europeană.</w:t>
      </w:r>
    </w:p>
    <w:p w14:paraId="73EBB6CB" w14:textId="04F2B17B" w:rsidR="005E2C7E" w:rsidRDefault="005E2C7E" w:rsidP="00CD3152">
      <w:pPr>
        <w:ind w:left="284" w:firstLine="424"/>
        <w:jc w:val="both"/>
      </w:pPr>
      <w:r>
        <w:rPr>
          <w:noProof/>
        </w:rPr>
        <w:drawing>
          <wp:inline distT="0" distB="0" distL="0" distR="0" wp14:anchorId="54477F13" wp14:editId="4ADB3D8C">
            <wp:extent cx="5040000" cy="3443233"/>
            <wp:effectExtent l="0" t="0" r="8255" b="5080"/>
            <wp:docPr id="1755384325"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5040000" cy="3443233"/>
                    </a:xfrm>
                    <a:prstGeom prst="rect">
                      <a:avLst/>
                    </a:prstGeom>
                    <a:noFill/>
                    <a:ln>
                      <a:noFill/>
                    </a:ln>
                  </pic:spPr>
                </pic:pic>
              </a:graphicData>
            </a:graphic>
          </wp:inline>
        </w:drawing>
      </w:r>
    </w:p>
    <w:p w14:paraId="3851B10F" w14:textId="48127442" w:rsidR="00E61B1A" w:rsidRDefault="005E2C7E" w:rsidP="005E2C7E">
      <w:pPr>
        <w:pStyle w:val="Caption"/>
        <w:jc w:val="both"/>
      </w:pPr>
      <w:r>
        <w:t xml:space="preserve">Figura </w:t>
      </w:r>
      <w:fldSimple w:instr=" STYLEREF 1 \s ">
        <w:r w:rsidR="0080370C">
          <w:rPr>
            <w:noProof/>
          </w:rPr>
          <w:t>IV</w:t>
        </w:r>
      </w:fldSimple>
      <w:r w:rsidR="0080370C">
        <w:t>.</w:t>
      </w:r>
      <w:fldSimple w:instr=" SEQ Figura \* ARABIC \s 1 ">
        <w:r w:rsidR="0080370C">
          <w:rPr>
            <w:noProof/>
          </w:rPr>
          <w:t>1</w:t>
        </w:r>
      </w:fldSimple>
      <w:r w:rsidRPr="005E2C7E">
        <w:t xml:space="preserve"> Constatări cheie ale raportului Profilul de țară MPOWER România,</w:t>
      </w:r>
      <w:r>
        <w:t xml:space="preserve"> </w:t>
      </w:r>
      <w:r w:rsidRPr="005E2C7E">
        <w:t>2025: Rezumatul măsurilor MPOWER din România</w:t>
      </w:r>
      <w:r>
        <w:t xml:space="preserve"> </w:t>
      </w:r>
      <w:r>
        <w:fldChar w:fldCharType="begin"/>
      </w:r>
      <w:r w:rsidR="00D4526D">
        <w:instrText xml:space="preserve"> ADDIN EN.CITE &lt;EndNote&gt;&lt;Cite&gt;&lt;Author&gt;WHO&lt;/Author&gt;&lt;Year&gt;2025&lt;/Year&gt;&lt;RecNum&gt;9765&lt;/RecNum&gt;&lt;DisplayText&gt;&lt;style size="10"&gt;[38]&lt;/style&gt;&lt;/DisplayText&gt;&lt;record&gt;&lt;rec-number&gt;9765&lt;/rec-number&gt;&lt;foreign-keys&gt;&lt;key app="EN" db-id="fw0prtesnvf55cepezbx255wwza5zw0ssatt" timestamp="1781677375"&gt;9765&lt;/key&gt;&lt;/foreign-keys&gt;&lt;ref-type name="Web Page"&gt;12&lt;/ref-type&gt;&lt;contributors&gt;&lt;authors&gt;&lt;author&gt;&lt;style face="normal" font="default" charset="238" size="100%"&gt;WHO&lt;/style&gt;&lt;/author&gt;&lt;/authors&gt;&lt;secondary-authors&gt;&lt;author&gt;&lt;style face="normal" font="default" charset="238" size="100%"&gt;WHO&lt;/style&gt;&lt;/author&gt;&lt;/secondary-authors&gt;&lt;/contributors&gt;&lt;titles&gt;&lt;title&gt;&lt;style face="normal" font="default" size="100%"&gt;Country profile Romania &lt;/style&gt;&lt;style face="normal" font="default" charset="238" size="100%"&gt;- Summary of MPOWER measures in Romania&lt;/style&gt;&lt;/title&gt;&lt;secondary-title&gt;WHO report on the global tobacco epidemic, 2025 &lt;/secondary-title&gt;&lt;/titles&gt;&lt;volume&gt;&lt;style face="normal" font="default" charset="238" size="100%"&gt;2026&lt;/style&gt;&lt;/volume&gt;&lt;number&gt;&lt;style face="normal" font="default" charset="238" size="100%"&gt;May 28th&lt;/style&gt;&lt;/number&gt;&lt;dates&gt;&lt;year&gt;&lt;style face="normal" font="default" charset="238" size="100%"&gt;2025&lt;/style&gt;&lt;/year&gt;&lt;/dates&gt;&lt;pub-location&gt;&lt;style face="normal" font="default" charset="238" size="100%"&gt;online, 5 December 2025 &lt;/style&gt;&lt;/pub-location&gt;&lt;urls&gt;&lt;related-urls&gt;&lt;url&gt;https://www.who.int/publications/m/item/tobacco-2025-romania-country-profile&lt;/url&gt;&lt;/related-urls&gt;&lt;/urls&gt;&lt;/record&gt;&lt;/Cite&gt;&lt;/EndNote&gt;</w:instrText>
      </w:r>
      <w:r>
        <w:fldChar w:fldCharType="separate"/>
      </w:r>
      <w:r w:rsidR="00D4526D">
        <w:rPr>
          <w:noProof/>
        </w:rPr>
        <w:t>[38]</w:t>
      </w:r>
      <w:r>
        <w:fldChar w:fldCharType="end"/>
      </w:r>
    </w:p>
    <w:p w14:paraId="75E69791" w14:textId="77777777" w:rsidR="005E2C7E" w:rsidRPr="005E2C7E" w:rsidRDefault="005E2C7E" w:rsidP="005E2C7E"/>
    <w:p w14:paraId="3940C5A7" w14:textId="239050D1" w:rsidR="00CD3152" w:rsidRPr="006E0160" w:rsidRDefault="00CD3152" w:rsidP="00CD3152">
      <w:pPr>
        <w:pStyle w:val="Heading4"/>
      </w:pPr>
      <w:r w:rsidRPr="006E0160">
        <w:t>Măsuri pentru controlul tutunului adoptate în România (2019–202</w:t>
      </w:r>
      <w:r w:rsidR="00AD0828">
        <w:t>6</w:t>
      </w:r>
      <w:r w:rsidRPr="006E0160">
        <w:t>)</w:t>
      </w:r>
    </w:p>
    <w:p w14:paraId="04EB78B4" w14:textId="77777777" w:rsidR="00CD3152" w:rsidRPr="006E0160" w:rsidRDefault="00CD3152" w:rsidP="00CD3152">
      <w:pPr>
        <w:ind w:firstLine="708"/>
        <w:jc w:val="both"/>
      </w:pPr>
      <w:r w:rsidRPr="006E0160">
        <w:t xml:space="preserve">România a implementat o serie de măsuri de control al consumului de tutun în ultimul deceniu (inclusiv interzicerea consumului de tutun în spațiile publice, etichete de avertizare ilustrate, interzicerea publicității și asistență pentru renunțarea la fumat). </w:t>
      </w:r>
    </w:p>
    <w:p w14:paraId="58824D7B" w14:textId="20CBA16B" w:rsidR="00CD3152" w:rsidRDefault="00CD3152" w:rsidP="00CD3152">
      <w:pPr>
        <w:ind w:firstLine="708"/>
        <w:jc w:val="both"/>
      </w:pPr>
      <w:r w:rsidRPr="006E0160">
        <w:t>Legislația privind tutunul a fost modificată recent pentru a transpune Directiva delegată (UE) 2022/2100 a Comisiei în ceea ce privește retragerea anumitor exceptări care vizează produsele din tutun încălzit, abordând comercializarea, vânzarea și ambalarea produselor din tutun, a țigaretelor electronice, a produselor din tutun încălzit și a produselor conexe. Legislația actualizată definește noile produse nereglementate anterior, cum ar fi „produs pentru inhalarea fără fum a înlocuitorilor de tutun”, „pungă cu nicotină pentru uz oral” și „dispozitiv electronic pentru încălzirea produselor pentru inhalare fără fum a înlocuitorilor de tutun” și interzice în mod specific vânzarea către copii cu vârsta mai mică de 18 ani, cu sancțiuni variind de la amenzi până la închiderea activității pentru nerespectarea obligațiilor legale. Aceasta conține, de asemenea, dispoziții privind publicitatea și vânzarea tutunului, a produselor din tutun și a dispozitivelor electronice în cadrul și în afara unităților de învățământ și impune instituțiilor de învățământ obligația de a elabora regulamente interne în vederea adoptării și respectării legii.</w:t>
      </w:r>
      <w:r w:rsidRPr="006E0160">
        <w:fldChar w:fldCharType="begin"/>
      </w:r>
      <w:r w:rsidR="0009552B">
        <w:instrText xml:space="preserve"> ADDIN EN.CITE &lt;EndNote&gt;&lt;Cite&gt;&lt;Author&gt;OECD&lt;/Author&gt;&lt;Year&gt;2025&lt;/Year&gt;&lt;RecNum&gt;9129&lt;/RecNum&gt;&lt;DisplayText&gt;&lt;style size="10"&gt;[4]&lt;/style&gt;&lt;/DisplayText&gt;&lt;record&gt;&lt;rec-number&gt;9129&lt;/rec-number&gt;&lt;foreign-keys&gt;&lt;key app="EN" db-id="fw0prtesnvf55cepezbx255wwza5zw0ssatt" timestamp="1754271119" guid="3ff7e050-5580-4517-a844-8a4fc2f3e8c4"&gt;9129&lt;/key&gt;&lt;/foreign-keys&gt;&lt;ref-type name="Report"&gt;27&lt;/ref-type&gt;&lt;contributors&gt;&lt;authors&gt;&lt;author&gt;&lt;style face="normal" font="default" charset="238" size="100%"&gt;OECD&lt;/style&gt;&lt;/author&gt;&lt;/authors&gt;&lt;secondary-authors&gt;&lt;author&gt;&lt;style face="normal" font="default" charset="238" size="100%"&gt;OECD&lt;/style&gt;&lt;/author&gt;&lt;/secondary-authors&gt;&lt;/contributors&gt;&lt;titles&gt;&lt;title&gt;&lt;style face="normal" font="default" charset="238" size="100%"&gt;European Cancer Inequalities Registry - Profil de țară privind cancerul, 2025&lt;/style&gt;&lt;/title&gt;&lt;secondary-title&gt;&lt;style face="normal" font="default" size="100%"&gt;„Profiluri de &lt;/style&gt;&lt;style face="normal" font="default" charset="238" size="100%"&gt;țară privind cancerul”&lt;/style&gt;&lt;/secondary-title&gt;&lt;/titles&gt;&lt;dates&gt;&lt;year&gt;&lt;style face="normal" font="default" charset="238" size="100%"&gt;2025&lt;/style&gt;&lt;/year&gt;&lt;/dates&gt;&lt;pub-location&gt;&lt;style face="normal" font="default" charset="238" size="100%"&gt;online&lt;/style&gt;&lt;/pub-location&gt;&lt;urls&gt;&lt;/urls&gt;&lt;/record&gt;&lt;/Cite&gt;&lt;/EndNote&gt;</w:instrText>
      </w:r>
      <w:r w:rsidRPr="006E0160">
        <w:fldChar w:fldCharType="separate"/>
      </w:r>
      <w:r w:rsidR="0009552B" w:rsidRPr="0009552B">
        <w:rPr>
          <w:noProof/>
          <w:sz w:val="20"/>
        </w:rPr>
        <w:t>[4]</w:t>
      </w:r>
      <w:r w:rsidRPr="006E0160">
        <w:fldChar w:fldCharType="end"/>
      </w:r>
    </w:p>
    <w:p w14:paraId="4571B17E" w14:textId="413BE214" w:rsidR="00DD5CF1" w:rsidRDefault="00736EF2" w:rsidP="00DD5CF1">
      <w:pPr>
        <w:ind w:firstLine="708"/>
        <w:jc w:val="both"/>
      </w:pPr>
      <w:r>
        <w:rPr>
          <w:noProof/>
        </w:rPr>
        <w:lastRenderedPageBreak/>
        <mc:AlternateContent>
          <mc:Choice Requires="wps">
            <w:drawing>
              <wp:anchor distT="0" distB="0" distL="114300" distR="114300" simplePos="0" relativeHeight="251680768" behindDoc="0" locked="0" layoutInCell="1" allowOverlap="1" wp14:anchorId="5A90462D" wp14:editId="4182827F">
                <wp:simplePos x="0" y="0"/>
                <wp:positionH relativeFrom="column">
                  <wp:posOffset>635</wp:posOffset>
                </wp:positionH>
                <wp:positionV relativeFrom="paragraph">
                  <wp:posOffset>493395</wp:posOffset>
                </wp:positionV>
                <wp:extent cx="4004310" cy="2724150"/>
                <wp:effectExtent l="19050" t="19050" r="15240" b="19050"/>
                <wp:wrapSquare wrapText="bothSides"/>
                <wp:docPr id="1414868599" name="Text Box 74"/>
                <wp:cNvGraphicFramePr/>
                <a:graphic xmlns:a="http://schemas.openxmlformats.org/drawingml/2006/main">
                  <a:graphicData uri="http://schemas.microsoft.com/office/word/2010/wordprocessingShape">
                    <wps:wsp>
                      <wps:cNvSpPr txBox="1"/>
                      <wps:spPr>
                        <a:xfrm>
                          <a:off x="0" y="0"/>
                          <a:ext cx="4004310" cy="2724150"/>
                        </a:xfrm>
                        <a:prstGeom prst="rect">
                          <a:avLst/>
                        </a:prstGeom>
                        <a:solidFill>
                          <a:sysClr val="window" lastClr="FFFFFF">
                            <a:lumMod val="85000"/>
                          </a:sysClr>
                        </a:solidFill>
                        <a:ln w="38100" cap="flat" cmpd="sng" algn="ctr">
                          <a:solidFill>
                            <a:srgbClr val="262262"/>
                          </a:solidFill>
                          <a:prstDash val="solid"/>
                          <a:miter lim="800000"/>
                        </a:ln>
                        <a:effectLst/>
                      </wps:spPr>
                      <wps:txbx>
                        <w:txbxContent>
                          <w:p w14:paraId="145D2A73" w14:textId="77777777" w:rsidR="00736EF2" w:rsidRPr="00964FC9" w:rsidRDefault="00736EF2" w:rsidP="00736EF2">
                            <w:pPr>
                              <w:jc w:val="both"/>
                              <w:rPr>
                                <w:color w:val="01B69B" w:themeColor="accent1"/>
                                <w:sz w:val="24"/>
                                <w:szCs w:val="24"/>
                                <w14:textOutline w14:w="9525" w14:cap="rnd" w14:cmpd="sng" w14:algn="ctr">
                                  <w14:solidFill>
                                    <w14:schemeClr w14:val="tx2"/>
                                  </w14:solidFill>
                                  <w14:prstDash w14:val="solid"/>
                                  <w14:bevel/>
                                </w14:textOutline>
                              </w:rPr>
                            </w:pPr>
                            <w:r w:rsidRPr="00964FC9">
                              <w:rPr>
                                <w:color w:val="01B69B" w:themeColor="accent1"/>
                                <w:sz w:val="24"/>
                                <w:szCs w:val="24"/>
                                <w14:textOutline w14:w="9525" w14:cap="rnd" w14:cmpd="sng" w14:algn="ctr">
                                  <w14:solidFill>
                                    <w14:schemeClr w14:val="tx2"/>
                                  </w14:solidFill>
                                  <w14:prstDash w14:val="solid"/>
                                  <w14:bevel/>
                                </w14:textOutline>
                              </w:rPr>
                              <w:t>Constatări cheie – Tobacco Control Scale 2025 Europa</w:t>
                            </w:r>
                          </w:p>
                          <w:p w14:paraId="55324017" w14:textId="77777777" w:rsidR="00736EF2" w:rsidRPr="00FB6B57" w:rsidRDefault="00736EF2" w:rsidP="00736EF2">
                            <w:pPr>
                              <w:jc w:val="both"/>
                              <w:rPr>
                                <w:color w:val="262262" w:themeColor="text2"/>
                                <w14:textOutline w14:w="9525" w14:cap="rnd" w14:cmpd="sng" w14:algn="ctr">
                                  <w14:solidFill>
                                    <w14:schemeClr w14:val="tx2"/>
                                  </w14:solidFill>
                                  <w14:prstDash w14:val="solid"/>
                                  <w14:bevel/>
                                </w14:textOutline>
                              </w:rPr>
                            </w:pPr>
                          </w:p>
                          <w:p w14:paraId="03D182AF" w14:textId="77777777" w:rsidR="00736EF2" w:rsidRPr="00964FC9" w:rsidRDefault="00736EF2" w:rsidP="00736EF2">
                            <w:pPr>
                              <w:rPr>
                                <w:rFonts w:asciiTheme="minorHAnsi" w:hAnsiTheme="minorHAnsi" w:cstheme="minorHAnsi"/>
                                <w:color w:val="262262" w:themeColor="text2"/>
                                <w14:textOutline w14:w="9525" w14:cap="rnd" w14:cmpd="sng" w14:algn="ctr">
                                  <w14:solidFill>
                                    <w14:schemeClr w14:val="tx2"/>
                                  </w14:solidFill>
                                  <w14:prstDash w14:val="solid"/>
                                  <w14:bevel/>
                                </w14:textOutline>
                              </w:rPr>
                            </w:pPr>
                            <w:r w:rsidRPr="00FB6B57">
                              <w:rPr>
                                <w:rFonts w:ascii="Segoe UI Emoji" w:hAnsi="Segoe UI Emoji" w:cs="Segoe UI Emoji"/>
                                <w:color w:val="262262" w:themeColor="text2"/>
                                <w14:textOutline w14:w="9525" w14:cap="rnd" w14:cmpd="sng" w14:algn="ctr">
                                  <w14:solidFill>
                                    <w14:schemeClr w14:val="tx2"/>
                                  </w14:solidFill>
                                  <w14:prstDash w14:val="solid"/>
                                  <w14:bevel/>
                                </w14:textOutline>
                              </w:rPr>
                              <w:t>🟠</w:t>
                            </w:r>
                            <w:r w:rsidRPr="00FB6B57">
                              <w:rPr>
                                <w:color w:val="262262" w:themeColor="text2"/>
                                <w14:textOutline w14:w="9525" w14:cap="rnd" w14:cmpd="sng" w14:algn="ctr">
                                  <w14:solidFill>
                                    <w14:schemeClr w14:val="tx2"/>
                                  </w14:solidFill>
                                  <w14:prstDash w14:val="solid"/>
                                  <w14:bevel/>
                                </w14:textOutline>
                              </w:rPr>
                              <w:t xml:space="preserve"> </w:t>
                            </w:r>
                            <w:r w:rsidRPr="00964FC9">
                              <w:rPr>
                                <w:rFonts w:asciiTheme="minorHAnsi" w:hAnsiTheme="minorHAnsi" w:cstheme="minorHAnsi"/>
                                <w:color w:val="262262" w:themeColor="text2"/>
                                <w14:textOutline w14:w="9525" w14:cap="rnd" w14:cmpd="sng" w14:algn="ctr">
                                  <w14:solidFill>
                                    <w14:schemeClr w14:val="tx2"/>
                                  </w14:solidFill>
                                  <w14:prstDash w14:val="solid"/>
                                  <w14:bevel/>
                                </w14:textOutline>
                              </w:rPr>
                              <w:t>Poziționare generală România:</w:t>
                            </w:r>
                          </w:p>
                          <w:p w14:paraId="178F1C43" w14:textId="25293D81" w:rsidR="00736EF2" w:rsidRPr="00964FC9" w:rsidRDefault="00736EF2" w:rsidP="00736EF2">
                            <w:pPr>
                              <w:ind w:firstLine="0"/>
                              <w:jc w:val="both"/>
                              <w:rPr>
                                <w:rFonts w:asciiTheme="minorHAnsi" w:hAnsiTheme="minorHAnsi" w:cstheme="minorHAnsi"/>
                                <w:color w:val="262262" w:themeColor="text2"/>
                                <w14:textOutline w14:w="9525" w14:cap="rnd" w14:cmpd="sng" w14:algn="ctr">
                                  <w14:solidFill>
                                    <w14:schemeClr w14:val="tx2"/>
                                  </w14:solidFill>
                                  <w14:prstDash w14:val="solid"/>
                                  <w14:bevel/>
                                </w14:textOutline>
                              </w:rPr>
                            </w:pPr>
                            <w:r w:rsidRPr="00964FC9">
                              <w:rPr>
                                <w:rFonts w:ascii="Segoe UI Emoji" w:hAnsi="Segoe UI Emoji" w:cs="Segoe UI Emoji"/>
                                <w:color w:val="262262" w:themeColor="text2"/>
                                <w14:textOutline w14:w="9525" w14:cap="rnd" w14:cmpd="sng" w14:algn="ctr">
                                  <w14:solidFill>
                                    <w14:schemeClr w14:val="tx2"/>
                                  </w14:solidFill>
                                  <w14:prstDash w14:val="solid"/>
                                  <w14:bevel/>
                                </w14:textOutline>
                              </w:rPr>
                              <w:t>📉</w:t>
                            </w:r>
                            <w:r w:rsidRPr="00964FC9">
                              <w:rPr>
                                <w:rFonts w:asciiTheme="minorHAnsi" w:hAnsiTheme="minorHAnsi" w:cstheme="minorHAnsi"/>
                                <w:color w:val="262262" w:themeColor="text2"/>
                                <w14:textOutline w14:w="9525" w14:cap="rnd" w14:cmpd="sng" w14:algn="ctr">
                                  <w14:solidFill>
                                    <w14:schemeClr w14:val="tx2"/>
                                  </w14:solidFill>
                                  <w14:prstDash w14:val="solid"/>
                                  <w14:bevel/>
                                </w14:textOutline>
                              </w:rPr>
                              <w:t xml:space="preserve"> scădere semnificativă a scorului ( cu 25 puncte față de 2021), </w:t>
                            </w:r>
                          </w:p>
                          <w:p w14:paraId="683C0204" w14:textId="0999E30E" w:rsidR="00736EF2" w:rsidRPr="00964FC9" w:rsidRDefault="00736EF2" w:rsidP="00AD25CB">
                            <w:pPr>
                              <w:tabs>
                                <w:tab w:val="left" w:pos="284"/>
                              </w:tabs>
                              <w:ind w:firstLine="0"/>
                              <w:jc w:val="both"/>
                              <w:rPr>
                                <w:rFonts w:asciiTheme="minorHAnsi" w:hAnsiTheme="minorHAnsi" w:cstheme="minorHAnsi"/>
                                <w:color w:val="262262" w:themeColor="text2"/>
                                <w14:textOutline w14:w="9525" w14:cap="rnd" w14:cmpd="sng" w14:algn="ctr">
                                  <w14:solidFill>
                                    <w14:schemeClr w14:val="tx2"/>
                                  </w14:solidFill>
                                  <w14:prstDash w14:val="solid"/>
                                  <w14:bevel/>
                                </w14:textOutline>
                              </w:rPr>
                            </w:pPr>
                            <w:r w:rsidRPr="00964FC9">
                              <w:rPr>
                                <w:rFonts w:ascii="Segoe UI Emoji" w:hAnsi="Segoe UI Emoji" w:cs="Segoe UI Emoji"/>
                                <w:color w:val="262262" w:themeColor="text2"/>
                                <w14:textOutline w14:w="9525" w14:cap="rnd" w14:cmpd="sng" w14:algn="ctr">
                                  <w14:solidFill>
                                    <w14:schemeClr w14:val="tx2"/>
                                  </w14:solidFill>
                                  <w14:prstDash w14:val="solid"/>
                                  <w14:bevel/>
                                </w14:textOutline>
                              </w:rPr>
                              <w:t>📊</w:t>
                            </w:r>
                            <w:r w:rsidR="00AD25CB">
                              <w:rPr>
                                <w:rFonts w:ascii="Segoe UI Emoji" w:hAnsi="Segoe UI Emoji" w:cs="Segoe UI Emoji"/>
                                <w:color w:val="262262" w:themeColor="text2"/>
                                <w14:textOutline w14:w="9525" w14:cap="rnd" w14:cmpd="sng" w14:algn="ctr">
                                  <w14:solidFill>
                                    <w14:schemeClr w14:val="tx2"/>
                                  </w14:solidFill>
                                  <w14:prstDash w14:val="solid"/>
                                  <w14:bevel/>
                                </w14:textOutline>
                              </w:rPr>
                              <w:t xml:space="preserve"> </w:t>
                            </w:r>
                            <w:r w:rsidRPr="00964FC9">
                              <w:rPr>
                                <w:rFonts w:asciiTheme="minorHAnsi" w:hAnsiTheme="minorHAnsi" w:cstheme="minorHAnsi"/>
                                <w:color w:val="262262" w:themeColor="text2"/>
                                <w14:textOutline w14:w="9525" w14:cap="rnd" w14:cmpd="sng" w14:algn="ctr">
                                  <w14:solidFill>
                                    <w14:schemeClr w14:val="tx2"/>
                                  </w14:solidFill>
                                  <w14:prstDash w14:val="solid"/>
                                  <w14:bevel/>
                                </w14:textOutline>
                              </w:rPr>
                              <w:t>zona inferioară a clasamentului european privind  implementarea politicilor de control al tutunului.</w:t>
                            </w:r>
                          </w:p>
                          <w:p w14:paraId="61263ED3" w14:textId="77777777" w:rsidR="00736EF2" w:rsidRPr="00964FC9" w:rsidRDefault="00736EF2" w:rsidP="00736EF2">
                            <w:pPr>
                              <w:ind w:firstLine="0"/>
                              <w:rPr>
                                <w:rFonts w:asciiTheme="minorHAnsi" w:hAnsiTheme="minorHAnsi" w:cstheme="minorHAnsi"/>
                                <w:color w:val="262262" w:themeColor="text2"/>
                                <w14:textOutline w14:w="9525" w14:cap="rnd" w14:cmpd="sng" w14:algn="ctr">
                                  <w14:solidFill>
                                    <w14:schemeClr w14:val="tx2"/>
                                  </w14:solidFill>
                                  <w14:prstDash w14:val="solid"/>
                                  <w14:bevel/>
                                </w14:textOutline>
                              </w:rPr>
                            </w:pPr>
                            <w:r w:rsidRPr="00964FC9">
                              <w:rPr>
                                <w:rFonts w:asciiTheme="minorHAnsi" w:hAnsiTheme="minorHAnsi" w:cstheme="minorHAnsi"/>
                                <w:b/>
                                <w:bCs/>
                                <w:color w:val="262262" w:themeColor="text2"/>
                                <w14:textOutline w14:w="9525" w14:cap="rnd" w14:cmpd="sng" w14:algn="ctr">
                                  <w14:solidFill>
                                    <w14:schemeClr w14:val="tx2"/>
                                  </w14:solidFill>
                                  <w14:prstDash w14:val="solid"/>
                                  <w14:bevel/>
                                </w14:textOutline>
                              </w:rPr>
                              <w:t xml:space="preserve">    </w:t>
                            </w:r>
                            <w:r w:rsidRPr="00964FC9">
                              <w:rPr>
                                <w:rFonts w:ascii="Segoe UI Emoji" w:hAnsi="Segoe UI Emoji" w:cs="Segoe UI Emoji"/>
                                <w:b/>
                                <w:bCs/>
                                <w:color w:val="262262" w:themeColor="text2"/>
                                <w14:textOutline w14:w="9525" w14:cap="rnd" w14:cmpd="sng" w14:algn="ctr">
                                  <w14:solidFill>
                                    <w14:schemeClr w14:val="tx2"/>
                                  </w14:solidFill>
                                  <w14:prstDash w14:val="solid"/>
                                  <w14:bevel/>
                                </w14:textOutline>
                              </w:rPr>
                              <w:t>🟠</w:t>
                            </w:r>
                            <w:r w:rsidRPr="00964FC9">
                              <w:rPr>
                                <w:rFonts w:asciiTheme="minorHAnsi" w:hAnsiTheme="minorHAnsi" w:cstheme="minorHAnsi"/>
                                <w:b/>
                                <w:bCs/>
                                <w:color w:val="262262" w:themeColor="text2"/>
                                <w14:textOutline w14:w="9525" w14:cap="rnd" w14:cmpd="sng" w14:algn="ctr">
                                  <w14:solidFill>
                                    <w14:schemeClr w14:val="tx2"/>
                                  </w14:solidFill>
                                  <w14:prstDash w14:val="solid"/>
                                  <w14:bevel/>
                                </w14:textOutline>
                              </w:rPr>
                              <w:t xml:space="preserve"> </w:t>
                            </w:r>
                            <w:r w:rsidRPr="00964FC9">
                              <w:rPr>
                                <w:rFonts w:asciiTheme="minorHAnsi" w:hAnsiTheme="minorHAnsi" w:cstheme="minorHAnsi"/>
                                <w:color w:val="262262" w:themeColor="text2"/>
                                <w14:textOutline w14:w="9525" w14:cap="rnd" w14:cmpd="sng" w14:algn="ctr">
                                  <w14:solidFill>
                                    <w14:schemeClr w14:val="tx2"/>
                                  </w14:solidFill>
                                  <w14:prstDash w14:val="solid"/>
                                  <w14:bevel/>
                                </w14:textOutline>
                              </w:rPr>
                              <w:t>Factori principali ai scăderii</w:t>
                            </w:r>
                            <w:r w:rsidRPr="00267420">
                              <w:rPr>
                                <w:rFonts w:asciiTheme="minorHAnsi" w:hAnsiTheme="minorHAnsi" w:cstheme="minorHAnsi"/>
                                <w:color w:val="262262" w:themeColor="text2"/>
                                <w14:textOutline w14:w="9525" w14:cap="rnd" w14:cmpd="sng" w14:algn="ctr">
                                  <w14:solidFill>
                                    <w14:schemeClr w14:val="tx2"/>
                                  </w14:solidFill>
                                  <w14:prstDash w14:val="solid"/>
                                  <w14:bevel/>
                                </w14:textOutline>
                              </w:rPr>
                              <w:t>:</w:t>
                            </w:r>
                            <w:r w:rsidRPr="00964FC9">
                              <w:rPr>
                                <w:rFonts w:asciiTheme="minorHAnsi" w:hAnsiTheme="minorHAnsi" w:cstheme="minorHAnsi"/>
                                <w:color w:val="262262" w:themeColor="text2"/>
                                <w14:textOutline w14:w="9525" w14:cap="rnd" w14:cmpd="sng" w14:algn="ctr">
                                  <w14:solidFill>
                                    <w14:schemeClr w14:val="tx2"/>
                                  </w14:solidFill>
                                  <w14:prstDash w14:val="solid"/>
                                  <w14:bevel/>
                                </w14:textOutline>
                              </w:rPr>
                              <w:br/>
                            </w:r>
                            <w:r w:rsidRPr="00964FC9">
                              <w:rPr>
                                <w:rFonts w:ascii="Segoe UI Emoji" w:hAnsi="Segoe UI Emoji" w:cs="Segoe UI Emoji"/>
                                <w:color w:val="262262" w:themeColor="text2"/>
                                <w14:textOutline w14:w="9525" w14:cap="rnd" w14:cmpd="sng" w14:algn="ctr">
                                  <w14:solidFill>
                                    <w14:schemeClr w14:val="tx2"/>
                                  </w14:solidFill>
                                  <w14:prstDash w14:val="solid"/>
                                  <w14:bevel/>
                                </w14:textOutline>
                              </w:rPr>
                              <w:t>🚬</w:t>
                            </w:r>
                            <w:r w:rsidRPr="00964FC9">
                              <w:rPr>
                                <w:rFonts w:asciiTheme="minorHAnsi" w:hAnsiTheme="minorHAnsi" w:cstheme="minorHAnsi"/>
                                <w:color w:val="262262" w:themeColor="text2"/>
                                <w14:textOutline w14:w="9525" w14:cap="rnd" w14:cmpd="sng" w14:algn="ctr">
                                  <w14:solidFill>
                                    <w14:schemeClr w14:val="tx2"/>
                                  </w14:solidFill>
                                  <w14:prstDash w14:val="solid"/>
                                  <w14:bevel/>
                                </w14:textOutline>
                              </w:rPr>
                              <w:t xml:space="preserve"> Reglementare insuficientă a produselor din tutun încălzit</w:t>
                            </w:r>
                            <w:r w:rsidRPr="00964FC9">
                              <w:rPr>
                                <w:rFonts w:asciiTheme="minorHAnsi" w:hAnsiTheme="minorHAnsi" w:cstheme="minorHAnsi"/>
                                <w:color w:val="262262" w:themeColor="text2"/>
                                <w14:textOutline w14:w="9525" w14:cap="rnd" w14:cmpd="sng" w14:algn="ctr">
                                  <w14:solidFill>
                                    <w14:schemeClr w14:val="tx2"/>
                                  </w14:solidFill>
                                  <w14:prstDash w14:val="solid"/>
                                  <w14:bevel/>
                                </w14:textOutline>
                              </w:rPr>
                              <w:br/>
                            </w:r>
                            <w:r w:rsidRPr="00964FC9">
                              <w:rPr>
                                <w:rFonts w:ascii="Segoe UI Emoji" w:hAnsi="Segoe UI Emoji" w:cs="Segoe UI Emoji"/>
                                <w:color w:val="262262" w:themeColor="text2"/>
                                <w14:textOutline w14:w="9525" w14:cap="rnd" w14:cmpd="sng" w14:algn="ctr">
                                  <w14:solidFill>
                                    <w14:schemeClr w14:val="tx2"/>
                                  </w14:solidFill>
                                  <w14:prstDash w14:val="solid"/>
                                  <w14:bevel/>
                                </w14:textOutline>
                              </w:rPr>
                              <w:t>💰</w:t>
                            </w:r>
                            <w:r w:rsidRPr="00964FC9">
                              <w:rPr>
                                <w:rFonts w:asciiTheme="minorHAnsi" w:hAnsiTheme="minorHAnsi" w:cstheme="minorHAnsi"/>
                                <w:color w:val="262262" w:themeColor="text2"/>
                                <w14:textOutline w14:w="9525" w14:cap="rnd" w14:cmpd="sng" w14:algn="ctr">
                                  <w14:solidFill>
                                    <w14:schemeClr w14:val="tx2"/>
                                  </w14:solidFill>
                                  <w14:prstDash w14:val="solid"/>
                                  <w14:bevel/>
                                </w14:textOutline>
                              </w:rPr>
                              <w:t xml:space="preserve"> Lipsa ajustării fiscale la inflație</w:t>
                            </w:r>
                            <w:r w:rsidRPr="00964FC9">
                              <w:rPr>
                                <w:rFonts w:asciiTheme="minorHAnsi" w:hAnsiTheme="minorHAnsi" w:cstheme="minorHAnsi"/>
                                <w:color w:val="262262" w:themeColor="text2"/>
                                <w14:textOutline w14:w="9525" w14:cap="rnd" w14:cmpd="sng" w14:algn="ctr">
                                  <w14:solidFill>
                                    <w14:schemeClr w14:val="tx2"/>
                                  </w14:solidFill>
                                  <w14:prstDash w14:val="solid"/>
                                  <w14:bevel/>
                                </w14:textOutline>
                              </w:rPr>
                              <w:br/>
                            </w:r>
                            <w:r w:rsidRPr="00964FC9">
                              <w:rPr>
                                <w:rFonts w:ascii="Segoe UI Emoji" w:hAnsi="Segoe UI Emoji" w:cs="Segoe UI Emoji"/>
                                <w:color w:val="262262" w:themeColor="text2"/>
                                <w14:textOutline w14:w="9525" w14:cap="rnd" w14:cmpd="sng" w14:algn="ctr">
                                  <w14:solidFill>
                                    <w14:schemeClr w14:val="tx2"/>
                                  </w14:solidFill>
                                  <w14:prstDash w14:val="solid"/>
                                  <w14:bevel/>
                                </w14:textOutline>
                              </w:rPr>
                              <w:t>📢</w:t>
                            </w:r>
                            <w:r w:rsidRPr="00964FC9">
                              <w:rPr>
                                <w:rFonts w:asciiTheme="minorHAnsi" w:hAnsiTheme="minorHAnsi" w:cstheme="minorHAnsi"/>
                                <w:color w:val="262262" w:themeColor="text2"/>
                                <w14:textOutline w14:w="9525" w14:cap="rnd" w14:cmpd="sng" w14:algn="ctr">
                                  <w14:solidFill>
                                    <w14:schemeClr w14:val="tx2"/>
                                  </w14:solidFill>
                                  <w14:prstDash w14:val="solid"/>
                                  <w14:bevel/>
                                </w14:textOutline>
                              </w:rPr>
                              <w:t xml:space="preserve"> </w:t>
                            </w:r>
                            <w:r>
                              <w:rPr>
                                <w:rFonts w:asciiTheme="minorHAnsi" w:hAnsiTheme="minorHAnsi" w:cstheme="minorHAnsi"/>
                                <w:color w:val="262262" w:themeColor="text2"/>
                                <w14:textOutline w14:w="9525" w14:cap="rnd" w14:cmpd="sng" w14:algn="ctr">
                                  <w14:solidFill>
                                    <w14:schemeClr w14:val="tx2"/>
                                  </w14:solidFill>
                                  <w14:prstDash w14:val="solid"/>
                                  <w14:bevel/>
                                </w14:textOutline>
                              </w:rPr>
                              <w:t>Deficiențe</w:t>
                            </w:r>
                            <w:r w:rsidRPr="00964FC9">
                              <w:rPr>
                                <w:rFonts w:asciiTheme="minorHAnsi" w:hAnsiTheme="minorHAnsi" w:cstheme="minorHAnsi"/>
                                <w:color w:val="262262" w:themeColor="text2"/>
                                <w14:textOutline w14:w="9525" w14:cap="rnd" w14:cmpd="sng" w14:algn="ctr">
                                  <w14:solidFill>
                                    <w14:schemeClr w14:val="tx2"/>
                                  </w14:solidFill>
                                  <w14:prstDash w14:val="solid"/>
                                  <w14:bevel/>
                                </w14:textOutline>
                              </w:rPr>
                              <w:t xml:space="preserve"> în controlul publicității și promovării indirecte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90462D" id="Text Box 74" o:spid="_x0000_s1028" type="#_x0000_t202" style="position:absolute;left:0;text-align:left;margin-left:.05pt;margin-top:38.85pt;width:315.3pt;height:214.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" fillcolor="#d9d9d9" strokecolor="#262262" strokeweight="3pt">
                <v:textbox>
                  <w:txbxContent>
                    <w:p w14:paraId="145D2A73" w14:textId="77777777" w:rsidR="00736EF2" w:rsidRPr="00964FC9" w:rsidRDefault="00736EF2" w:rsidP="00736EF2">
                      <w:pPr>
                        <w:jc w:val="both"/>
                        <w:rPr>
                          <w:color w:val="01B69B" w:themeColor="accent1"/>
                          <w:sz w:val="24"/>
                          <w:szCs w:val="24"/>
                          <w14:textOutline w14:w="9525" w14:cap="rnd" w14:cmpd="sng" w14:algn="ctr">
                            <w14:solidFill>
                              <w14:schemeClr w14:val="tx2"/>
                            </w14:solidFill>
                            <w14:prstDash w14:val="solid"/>
                            <w14:bevel/>
                          </w14:textOutline>
                        </w:rPr>
                      </w:pPr>
                      <w:r w:rsidRPr="00964FC9">
                        <w:rPr>
                          <w:color w:val="01B69B" w:themeColor="accent1"/>
                          <w:sz w:val="24"/>
                          <w:szCs w:val="24"/>
                          <w14:textOutline w14:w="9525" w14:cap="rnd" w14:cmpd="sng" w14:algn="ctr">
                            <w14:solidFill>
                              <w14:schemeClr w14:val="tx2"/>
                            </w14:solidFill>
                            <w14:prstDash w14:val="solid"/>
                            <w14:bevel/>
                          </w14:textOutline>
                        </w:rPr>
                        <w:t>Constatări cheie – Tobacco Control Scale 2025 Europa</w:t>
                      </w:r>
                    </w:p>
                    <w:p w14:paraId="55324017" w14:textId="77777777" w:rsidR="00736EF2" w:rsidRPr="00FB6B57" w:rsidRDefault="00736EF2" w:rsidP="00736EF2">
                      <w:pPr>
                        <w:jc w:val="both"/>
                        <w:rPr>
                          <w:color w:val="262262" w:themeColor="text2"/>
                          <w14:textOutline w14:w="9525" w14:cap="rnd" w14:cmpd="sng" w14:algn="ctr">
                            <w14:solidFill>
                              <w14:schemeClr w14:val="tx2"/>
                            </w14:solidFill>
                            <w14:prstDash w14:val="solid"/>
                            <w14:bevel/>
                          </w14:textOutline>
                        </w:rPr>
                      </w:pPr>
                    </w:p>
                    <w:p w14:paraId="03D182AF" w14:textId="77777777" w:rsidR="00736EF2" w:rsidRPr="00964FC9" w:rsidRDefault="00736EF2" w:rsidP="00736EF2">
                      <w:pPr>
                        <w:rPr>
                          <w:rFonts w:asciiTheme="minorHAnsi" w:hAnsiTheme="minorHAnsi" w:cstheme="minorHAnsi"/>
                          <w:color w:val="262262" w:themeColor="text2"/>
                          <w14:textOutline w14:w="9525" w14:cap="rnd" w14:cmpd="sng" w14:algn="ctr">
                            <w14:solidFill>
                              <w14:schemeClr w14:val="tx2"/>
                            </w14:solidFill>
                            <w14:prstDash w14:val="solid"/>
                            <w14:bevel/>
                          </w14:textOutline>
                        </w:rPr>
                      </w:pPr>
                      <w:r w:rsidRPr="00FB6B57">
                        <w:rPr>
                          <w:rFonts w:ascii="Segoe UI Emoji" w:hAnsi="Segoe UI Emoji" w:cs="Segoe UI Emoji"/>
                          <w:color w:val="262262" w:themeColor="text2"/>
                          <w14:textOutline w14:w="9525" w14:cap="rnd" w14:cmpd="sng" w14:algn="ctr">
                            <w14:solidFill>
                              <w14:schemeClr w14:val="tx2"/>
                            </w14:solidFill>
                            <w14:prstDash w14:val="solid"/>
                            <w14:bevel/>
                          </w14:textOutline>
                        </w:rPr>
                        <w:t>🟠</w:t>
                      </w:r>
                      <w:r w:rsidRPr="00FB6B57">
                        <w:rPr>
                          <w:color w:val="262262" w:themeColor="text2"/>
                          <w14:textOutline w14:w="9525" w14:cap="rnd" w14:cmpd="sng" w14:algn="ctr">
                            <w14:solidFill>
                              <w14:schemeClr w14:val="tx2"/>
                            </w14:solidFill>
                            <w14:prstDash w14:val="solid"/>
                            <w14:bevel/>
                          </w14:textOutline>
                        </w:rPr>
                        <w:t xml:space="preserve"> </w:t>
                      </w:r>
                      <w:r w:rsidRPr="00964FC9">
                        <w:rPr>
                          <w:rFonts w:asciiTheme="minorHAnsi" w:hAnsiTheme="minorHAnsi" w:cstheme="minorHAnsi"/>
                          <w:color w:val="262262" w:themeColor="text2"/>
                          <w14:textOutline w14:w="9525" w14:cap="rnd" w14:cmpd="sng" w14:algn="ctr">
                            <w14:solidFill>
                              <w14:schemeClr w14:val="tx2"/>
                            </w14:solidFill>
                            <w14:prstDash w14:val="solid"/>
                            <w14:bevel/>
                          </w14:textOutline>
                        </w:rPr>
                        <w:t>Poziționare generală România:</w:t>
                      </w:r>
                    </w:p>
                    <w:p w14:paraId="178F1C43" w14:textId="25293D81" w:rsidR="00736EF2" w:rsidRPr="00964FC9" w:rsidRDefault="00736EF2" w:rsidP="00736EF2">
                      <w:pPr>
                        <w:ind w:firstLine="0"/>
                        <w:jc w:val="both"/>
                        <w:rPr>
                          <w:rFonts w:asciiTheme="minorHAnsi" w:hAnsiTheme="minorHAnsi" w:cstheme="minorHAnsi"/>
                          <w:color w:val="262262" w:themeColor="text2"/>
                          <w14:textOutline w14:w="9525" w14:cap="rnd" w14:cmpd="sng" w14:algn="ctr">
                            <w14:solidFill>
                              <w14:schemeClr w14:val="tx2"/>
                            </w14:solidFill>
                            <w14:prstDash w14:val="solid"/>
                            <w14:bevel/>
                          </w14:textOutline>
                        </w:rPr>
                      </w:pPr>
                      <w:r w:rsidRPr="00964FC9">
                        <w:rPr>
                          <w:rFonts w:ascii="Segoe UI Emoji" w:hAnsi="Segoe UI Emoji" w:cs="Segoe UI Emoji"/>
                          <w:color w:val="262262" w:themeColor="text2"/>
                          <w14:textOutline w14:w="9525" w14:cap="rnd" w14:cmpd="sng" w14:algn="ctr">
                            <w14:solidFill>
                              <w14:schemeClr w14:val="tx2"/>
                            </w14:solidFill>
                            <w14:prstDash w14:val="solid"/>
                            <w14:bevel/>
                          </w14:textOutline>
                        </w:rPr>
                        <w:t>📉</w:t>
                      </w:r>
                      <w:r w:rsidRPr="00964FC9">
                        <w:rPr>
                          <w:rFonts w:asciiTheme="minorHAnsi" w:hAnsiTheme="minorHAnsi" w:cstheme="minorHAnsi"/>
                          <w:color w:val="262262" w:themeColor="text2"/>
                          <w14:textOutline w14:w="9525" w14:cap="rnd" w14:cmpd="sng" w14:algn="ctr">
                            <w14:solidFill>
                              <w14:schemeClr w14:val="tx2"/>
                            </w14:solidFill>
                            <w14:prstDash w14:val="solid"/>
                            <w14:bevel/>
                          </w14:textOutline>
                        </w:rPr>
                        <w:t xml:space="preserve"> scădere semnificativă a scorului ( cu 25 puncte față de 2021), </w:t>
                      </w:r>
                    </w:p>
                    <w:p w14:paraId="683C0204" w14:textId="0999E30E" w:rsidR="00736EF2" w:rsidRPr="00964FC9" w:rsidRDefault="00736EF2" w:rsidP="00AD25CB">
                      <w:pPr>
                        <w:tabs>
                          <w:tab w:val="left" w:pos="284"/>
                        </w:tabs>
                        <w:ind w:firstLine="0"/>
                        <w:jc w:val="both"/>
                        <w:rPr>
                          <w:rFonts w:asciiTheme="minorHAnsi" w:hAnsiTheme="minorHAnsi" w:cstheme="minorHAnsi"/>
                          <w:color w:val="262262" w:themeColor="text2"/>
                          <w14:textOutline w14:w="9525" w14:cap="rnd" w14:cmpd="sng" w14:algn="ctr">
                            <w14:solidFill>
                              <w14:schemeClr w14:val="tx2"/>
                            </w14:solidFill>
                            <w14:prstDash w14:val="solid"/>
                            <w14:bevel/>
                          </w14:textOutline>
                        </w:rPr>
                      </w:pPr>
                      <w:r w:rsidRPr="00964FC9">
                        <w:rPr>
                          <w:rFonts w:ascii="Segoe UI Emoji" w:hAnsi="Segoe UI Emoji" w:cs="Segoe UI Emoji"/>
                          <w:color w:val="262262" w:themeColor="text2"/>
                          <w14:textOutline w14:w="9525" w14:cap="rnd" w14:cmpd="sng" w14:algn="ctr">
                            <w14:solidFill>
                              <w14:schemeClr w14:val="tx2"/>
                            </w14:solidFill>
                            <w14:prstDash w14:val="solid"/>
                            <w14:bevel/>
                          </w14:textOutline>
                        </w:rPr>
                        <w:t>📊</w:t>
                      </w:r>
                      <w:r w:rsidR="00AD25CB">
                        <w:rPr>
                          <w:rFonts w:ascii="Segoe UI Emoji" w:hAnsi="Segoe UI Emoji" w:cs="Segoe UI Emoji"/>
                          <w:color w:val="262262" w:themeColor="text2"/>
                          <w14:textOutline w14:w="9525" w14:cap="rnd" w14:cmpd="sng" w14:algn="ctr">
                            <w14:solidFill>
                              <w14:schemeClr w14:val="tx2"/>
                            </w14:solidFill>
                            <w14:prstDash w14:val="solid"/>
                            <w14:bevel/>
                          </w14:textOutline>
                        </w:rPr>
                        <w:t xml:space="preserve"> </w:t>
                      </w:r>
                      <w:r w:rsidRPr="00964FC9">
                        <w:rPr>
                          <w:rFonts w:asciiTheme="minorHAnsi" w:hAnsiTheme="minorHAnsi" w:cstheme="minorHAnsi"/>
                          <w:color w:val="262262" w:themeColor="text2"/>
                          <w14:textOutline w14:w="9525" w14:cap="rnd" w14:cmpd="sng" w14:algn="ctr">
                            <w14:solidFill>
                              <w14:schemeClr w14:val="tx2"/>
                            </w14:solidFill>
                            <w14:prstDash w14:val="solid"/>
                            <w14:bevel/>
                          </w14:textOutline>
                        </w:rPr>
                        <w:t>zona inferioară a clasamentului european privind  implementarea politicilor de control al tutunului.</w:t>
                      </w:r>
                    </w:p>
                    <w:p w14:paraId="61263ED3" w14:textId="77777777" w:rsidR="00736EF2" w:rsidRPr="00964FC9" w:rsidRDefault="00736EF2" w:rsidP="00736EF2">
                      <w:pPr>
                        <w:ind w:firstLine="0"/>
                        <w:rPr>
                          <w:rFonts w:asciiTheme="minorHAnsi" w:hAnsiTheme="minorHAnsi" w:cstheme="minorHAnsi"/>
                          <w:color w:val="262262" w:themeColor="text2"/>
                          <w14:textOutline w14:w="9525" w14:cap="rnd" w14:cmpd="sng" w14:algn="ctr">
                            <w14:solidFill>
                              <w14:schemeClr w14:val="tx2"/>
                            </w14:solidFill>
                            <w14:prstDash w14:val="solid"/>
                            <w14:bevel/>
                          </w14:textOutline>
                        </w:rPr>
                      </w:pPr>
                      <w:r w:rsidRPr="00964FC9">
                        <w:rPr>
                          <w:rFonts w:asciiTheme="minorHAnsi" w:hAnsiTheme="minorHAnsi" w:cstheme="minorHAnsi"/>
                          <w:b/>
                          <w:bCs/>
                          <w:color w:val="262262" w:themeColor="text2"/>
                          <w14:textOutline w14:w="9525" w14:cap="rnd" w14:cmpd="sng" w14:algn="ctr">
                            <w14:solidFill>
                              <w14:schemeClr w14:val="tx2"/>
                            </w14:solidFill>
                            <w14:prstDash w14:val="solid"/>
                            <w14:bevel/>
                          </w14:textOutline>
                        </w:rPr>
                        <w:t xml:space="preserve">    </w:t>
                      </w:r>
                      <w:r w:rsidRPr="00964FC9">
                        <w:rPr>
                          <w:rFonts w:ascii="Segoe UI Emoji" w:hAnsi="Segoe UI Emoji" w:cs="Segoe UI Emoji"/>
                          <w:b/>
                          <w:bCs/>
                          <w:color w:val="262262" w:themeColor="text2"/>
                          <w14:textOutline w14:w="9525" w14:cap="rnd" w14:cmpd="sng" w14:algn="ctr">
                            <w14:solidFill>
                              <w14:schemeClr w14:val="tx2"/>
                            </w14:solidFill>
                            <w14:prstDash w14:val="solid"/>
                            <w14:bevel/>
                          </w14:textOutline>
                        </w:rPr>
                        <w:t>🟠</w:t>
                      </w:r>
                      <w:r w:rsidRPr="00964FC9">
                        <w:rPr>
                          <w:rFonts w:asciiTheme="minorHAnsi" w:hAnsiTheme="minorHAnsi" w:cstheme="minorHAnsi"/>
                          <w:b/>
                          <w:bCs/>
                          <w:color w:val="262262" w:themeColor="text2"/>
                          <w14:textOutline w14:w="9525" w14:cap="rnd" w14:cmpd="sng" w14:algn="ctr">
                            <w14:solidFill>
                              <w14:schemeClr w14:val="tx2"/>
                            </w14:solidFill>
                            <w14:prstDash w14:val="solid"/>
                            <w14:bevel/>
                          </w14:textOutline>
                        </w:rPr>
                        <w:t xml:space="preserve"> </w:t>
                      </w:r>
                      <w:r w:rsidRPr="00964FC9">
                        <w:rPr>
                          <w:rFonts w:asciiTheme="minorHAnsi" w:hAnsiTheme="minorHAnsi" w:cstheme="minorHAnsi"/>
                          <w:color w:val="262262" w:themeColor="text2"/>
                          <w14:textOutline w14:w="9525" w14:cap="rnd" w14:cmpd="sng" w14:algn="ctr">
                            <w14:solidFill>
                              <w14:schemeClr w14:val="tx2"/>
                            </w14:solidFill>
                            <w14:prstDash w14:val="solid"/>
                            <w14:bevel/>
                          </w14:textOutline>
                        </w:rPr>
                        <w:t>Factori principali ai scăderii</w:t>
                      </w:r>
                      <w:r w:rsidRPr="00267420">
                        <w:rPr>
                          <w:rFonts w:asciiTheme="minorHAnsi" w:hAnsiTheme="minorHAnsi" w:cstheme="minorHAnsi"/>
                          <w:color w:val="262262" w:themeColor="text2"/>
                          <w14:textOutline w14:w="9525" w14:cap="rnd" w14:cmpd="sng" w14:algn="ctr">
                            <w14:solidFill>
                              <w14:schemeClr w14:val="tx2"/>
                            </w14:solidFill>
                            <w14:prstDash w14:val="solid"/>
                            <w14:bevel/>
                          </w14:textOutline>
                        </w:rPr>
                        <w:t>:</w:t>
                      </w:r>
                      <w:r w:rsidRPr="00964FC9">
                        <w:rPr>
                          <w:rFonts w:asciiTheme="minorHAnsi" w:hAnsiTheme="minorHAnsi" w:cstheme="minorHAnsi"/>
                          <w:color w:val="262262" w:themeColor="text2"/>
                          <w14:textOutline w14:w="9525" w14:cap="rnd" w14:cmpd="sng" w14:algn="ctr">
                            <w14:solidFill>
                              <w14:schemeClr w14:val="tx2"/>
                            </w14:solidFill>
                            <w14:prstDash w14:val="solid"/>
                            <w14:bevel/>
                          </w14:textOutline>
                        </w:rPr>
                        <w:br/>
                      </w:r>
                      <w:r w:rsidRPr="00964FC9">
                        <w:rPr>
                          <w:rFonts w:ascii="Segoe UI Emoji" w:hAnsi="Segoe UI Emoji" w:cs="Segoe UI Emoji"/>
                          <w:color w:val="262262" w:themeColor="text2"/>
                          <w14:textOutline w14:w="9525" w14:cap="rnd" w14:cmpd="sng" w14:algn="ctr">
                            <w14:solidFill>
                              <w14:schemeClr w14:val="tx2"/>
                            </w14:solidFill>
                            <w14:prstDash w14:val="solid"/>
                            <w14:bevel/>
                          </w14:textOutline>
                        </w:rPr>
                        <w:t>🚬</w:t>
                      </w:r>
                      <w:r w:rsidRPr="00964FC9">
                        <w:rPr>
                          <w:rFonts w:asciiTheme="minorHAnsi" w:hAnsiTheme="minorHAnsi" w:cstheme="minorHAnsi"/>
                          <w:color w:val="262262" w:themeColor="text2"/>
                          <w14:textOutline w14:w="9525" w14:cap="rnd" w14:cmpd="sng" w14:algn="ctr">
                            <w14:solidFill>
                              <w14:schemeClr w14:val="tx2"/>
                            </w14:solidFill>
                            <w14:prstDash w14:val="solid"/>
                            <w14:bevel/>
                          </w14:textOutline>
                        </w:rPr>
                        <w:t xml:space="preserve"> Reglementare insuficientă a produselor din tutun încălzit</w:t>
                      </w:r>
                      <w:r w:rsidRPr="00964FC9">
                        <w:rPr>
                          <w:rFonts w:asciiTheme="minorHAnsi" w:hAnsiTheme="minorHAnsi" w:cstheme="minorHAnsi"/>
                          <w:color w:val="262262" w:themeColor="text2"/>
                          <w14:textOutline w14:w="9525" w14:cap="rnd" w14:cmpd="sng" w14:algn="ctr">
                            <w14:solidFill>
                              <w14:schemeClr w14:val="tx2"/>
                            </w14:solidFill>
                            <w14:prstDash w14:val="solid"/>
                            <w14:bevel/>
                          </w14:textOutline>
                        </w:rPr>
                        <w:br/>
                      </w:r>
                      <w:r w:rsidRPr="00964FC9">
                        <w:rPr>
                          <w:rFonts w:ascii="Segoe UI Emoji" w:hAnsi="Segoe UI Emoji" w:cs="Segoe UI Emoji"/>
                          <w:color w:val="262262" w:themeColor="text2"/>
                          <w14:textOutline w14:w="9525" w14:cap="rnd" w14:cmpd="sng" w14:algn="ctr">
                            <w14:solidFill>
                              <w14:schemeClr w14:val="tx2"/>
                            </w14:solidFill>
                            <w14:prstDash w14:val="solid"/>
                            <w14:bevel/>
                          </w14:textOutline>
                        </w:rPr>
                        <w:t>💰</w:t>
                      </w:r>
                      <w:r w:rsidRPr="00964FC9">
                        <w:rPr>
                          <w:rFonts w:asciiTheme="minorHAnsi" w:hAnsiTheme="minorHAnsi" w:cstheme="minorHAnsi"/>
                          <w:color w:val="262262" w:themeColor="text2"/>
                          <w14:textOutline w14:w="9525" w14:cap="rnd" w14:cmpd="sng" w14:algn="ctr">
                            <w14:solidFill>
                              <w14:schemeClr w14:val="tx2"/>
                            </w14:solidFill>
                            <w14:prstDash w14:val="solid"/>
                            <w14:bevel/>
                          </w14:textOutline>
                        </w:rPr>
                        <w:t xml:space="preserve"> Lipsa ajustării fiscale la inflație</w:t>
                      </w:r>
                      <w:r w:rsidRPr="00964FC9">
                        <w:rPr>
                          <w:rFonts w:asciiTheme="minorHAnsi" w:hAnsiTheme="minorHAnsi" w:cstheme="minorHAnsi"/>
                          <w:color w:val="262262" w:themeColor="text2"/>
                          <w14:textOutline w14:w="9525" w14:cap="rnd" w14:cmpd="sng" w14:algn="ctr">
                            <w14:solidFill>
                              <w14:schemeClr w14:val="tx2"/>
                            </w14:solidFill>
                            <w14:prstDash w14:val="solid"/>
                            <w14:bevel/>
                          </w14:textOutline>
                        </w:rPr>
                        <w:br/>
                      </w:r>
                      <w:r w:rsidRPr="00964FC9">
                        <w:rPr>
                          <w:rFonts w:ascii="Segoe UI Emoji" w:hAnsi="Segoe UI Emoji" w:cs="Segoe UI Emoji"/>
                          <w:color w:val="262262" w:themeColor="text2"/>
                          <w14:textOutline w14:w="9525" w14:cap="rnd" w14:cmpd="sng" w14:algn="ctr">
                            <w14:solidFill>
                              <w14:schemeClr w14:val="tx2"/>
                            </w14:solidFill>
                            <w14:prstDash w14:val="solid"/>
                            <w14:bevel/>
                          </w14:textOutline>
                        </w:rPr>
                        <w:t>📢</w:t>
                      </w:r>
                      <w:r w:rsidRPr="00964FC9">
                        <w:rPr>
                          <w:rFonts w:asciiTheme="minorHAnsi" w:hAnsiTheme="minorHAnsi" w:cstheme="minorHAnsi"/>
                          <w:color w:val="262262" w:themeColor="text2"/>
                          <w14:textOutline w14:w="9525" w14:cap="rnd" w14:cmpd="sng" w14:algn="ctr">
                            <w14:solidFill>
                              <w14:schemeClr w14:val="tx2"/>
                            </w14:solidFill>
                            <w14:prstDash w14:val="solid"/>
                            <w14:bevel/>
                          </w14:textOutline>
                        </w:rPr>
                        <w:t xml:space="preserve"> </w:t>
                      </w:r>
                      <w:r>
                        <w:rPr>
                          <w:rFonts w:asciiTheme="minorHAnsi" w:hAnsiTheme="minorHAnsi" w:cstheme="minorHAnsi"/>
                          <w:color w:val="262262" w:themeColor="text2"/>
                          <w14:textOutline w14:w="9525" w14:cap="rnd" w14:cmpd="sng" w14:algn="ctr">
                            <w14:solidFill>
                              <w14:schemeClr w14:val="tx2"/>
                            </w14:solidFill>
                            <w14:prstDash w14:val="solid"/>
                            <w14:bevel/>
                          </w14:textOutline>
                        </w:rPr>
                        <w:t>Deficiențe</w:t>
                      </w:r>
                      <w:r w:rsidRPr="00964FC9">
                        <w:rPr>
                          <w:rFonts w:asciiTheme="minorHAnsi" w:hAnsiTheme="minorHAnsi" w:cstheme="minorHAnsi"/>
                          <w:color w:val="262262" w:themeColor="text2"/>
                          <w14:textOutline w14:w="9525" w14:cap="rnd" w14:cmpd="sng" w14:algn="ctr">
                            <w14:solidFill>
                              <w14:schemeClr w14:val="tx2"/>
                            </w14:solidFill>
                            <w14:prstDash w14:val="solid"/>
                            <w14:bevel/>
                          </w14:textOutline>
                        </w:rPr>
                        <w:t xml:space="preserve"> în controlul publicității și promovării indirecte</w:t>
                      </w:r>
                    </w:p>
                  </w:txbxContent>
                </v:textbox>
                <w10:wrap type="square"/>
              </v:shape>
            </w:pict>
          </mc:Fallback>
        </mc:AlternateContent>
      </w:r>
      <w:r w:rsidR="00CD3152" w:rsidRPr="006E0160">
        <w:t>În</w:t>
      </w:r>
      <w:r w:rsidR="0038221F">
        <w:t xml:space="preserve"> cadrul Scalei de control a tutunului,</w:t>
      </w:r>
      <w:r w:rsidR="00CD3152" w:rsidRPr="006E0160">
        <w:t xml:space="preserve"> 2021, România s-a clasat pe locul al 8-lea</w:t>
      </w:r>
      <w:r w:rsidR="0038221F">
        <w:t xml:space="preserve"> din 37 de țări europene</w:t>
      </w:r>
      <w:r w:rsidR="00CD3152" w:rsidRPr="006E0160">
        <w:t xml:space="preserve"> </w:t>
      </w:r>
      <w:r w:rsidR="0038221F">
        <w:t>cu un scor de 61 de puncte din 100 posibile</w:t>
      </w:r>
      <w:r w:rsidR="00CD3152" w:rsidRPr="006E0160">
        <w:t>. Aceasta reprezintă o îmbunătățire a poziționării în clasament de la locul 12 în 2019 și a fost unul dintre cele mai bune rezultate în rândul țărilor din Europa Centrală</w:t>
      </w:r>
      <w:r w:rsidR="00CD3152" w:rsidRPr="006E0160">
        <w:fldChar w:fldCharType="begin"/>
      </w:r>
      <w:r w:rsidR="00D4526D">
        <w:instrText xml:space="preserve"> ADDIN EN.CITE &lt;EndNote&gt;&lt;Cite&gt;&lt;Author&gt;Joossens L&lt;/Author&gt;&lt;Year&gt;2022&lt;/Year&gt;&lt;RecNum&gt;9123&lt;/RecNum&gt;&lt;DisplayText&gt;&lt;style size="10"&gt;[39]&lt;/style&gt;&lt;/DisplayText&gt;&lt;record&gt;&lt;rec-number&gt;9123&lt;/rec-number&gt;&lt;foreign-keys&gt;&lt;key app="EN" db-id="fw0prtesnvf55cepezbx255wwza5zw0ssatt" timestamp="1754270457" guid="f5c6385f-a996-4426-b1db-fb26c6d1665b"&gt;9123&lt;/key&gt;&lt;/foreign-keys&gt;&lt;ref-type name="Report"&gt;27&lt;/ref-type&gt;&lt;contributors&gt;&lt;authors&gt;&lt;author&gt;&lt;style face="normal" font="default" size="100%"&gt;Joossens L&lt;/style&gt;&lt;style face="normal" font="default" charset="238" size="100%"&gt;,&lt;/style&gt;&lt;/author&gt;&lt;author&gt;&lt;style face="normal" font="default" size="100%"&gt;Olefir L&lt;/style&gt;&lt;style face="normal" font="default" charset="238" size="100%"&gt;,&lt;/style&gt;&lt;/author&gt;&lt;author&gt;&lt;style face="normal" font="default" size="100%"&gt;Feliu A&lt;/style&gt;&lt;style face="normal" font="default" charset="238" size="100%"&gt;,&lt;/style&gt;&lt;/author&gt;&lt;author&gt;Fernandez E&lt;/author&gt;&lt;/authors&gt;&lt;/contributors&gt;&lt;titles&gt;&lt;title&gt;The Tobacco Control Scale 2021 in Europe&lt;/title&gt;&lt;secondary-title&gt;Smoke Free Partnership (SFP)&lt;/secondary-title&gt;&lt;/titles&gt;&lt;dates&gt;&lt;year&gt;&lt;style face="normal" font="default" charset="238" size="100%"&gt;2022&lt;/style&gt;&lt;/year&gt;&lt;/dates&gt;&lt;pub-location&gt;Brussels&lt;/pub-location&gt;&lt;publisher&gt; Catalan Institute of Oncology&lt;/publisher&gt;&lt;urls&gt;&lt;related-urls&gt;&lt;url&gt;https://www.tobaccocontrolscale.org/wp-content/uploads/2022/12/TCS-Report-2021-Interactive-V4.pdf&lt;/url&gt;&lt;/related-urls&gt;&lt;/urls&gt;&lt;/record&gt;&lt;/Cite&gt;&lt;/EndNote&gt;</w:instrText>
      </w:r>
      <w:r w:rsidR="00CD3152" w:rsidRPr="006E0160">
        <w:fldChar w:fldCharType="separate"/>
      </w:r>
      <w:r w:rsidR="00D4526D" w:rsidRPr="00D4526D">
        <w:rPr>
          <w:noProof/>
          <w:sz w:val="20"/>
        </w:rPr>
        <w:t>[39]</w:t>
      </w:r>
      <w:r w:rsidR="00CD3152" w:rsidRPr="006E0160">
        <w:fldChar w:fldCharType="end"/>
      </w:r>
      <w:r w:rsidR="00CD3152" w:rsidRPr="006E0160">
        <w:t xml:space="preserve">. </w:t>
      </w:r>
      <w:r w:rsidR="00F81AC1">
        <w:t>În</w:t>
      </w:r>
      <w:r w:rsidR="00DD5CF1">
        <w:t>să în</w:t>
      </w:r>
      <w:r w:rsidR="00F81AC1">
        <w:t xml:space="preserve"> cel mai recent raport al</w:t>
      </w:r>
      <w:r w:rsidR="00F81AC1" w:rsidRPr="00F81AC1">
        <w:t xml:space="preserve"> Scalei de control a tutunului, 202</w:t>
      </w:r>
      <w:r w:rsidR="00F81AC1">
        <w:t>5,</w:t>
      </w:r>
      <w:r w:rsidR="00F81AC1">
        <w:fldChar w:fldCharType="begin"/>
      </w:r>
      <w:r w:rsidR="00D4526D">
        <w:instrText xml:space="preserve"> ADDIN EN.CITE &lt;EndNote&gt;&lt;Cite&gt;&lt;Author&gt;Joossens L.&lt;/Author&gt;&lt;Year&gt;2026&lt;/Year&gt;&lt;RecNum&gt;9766&lt;/RecNum&gt;&lt;DisplayText&gt;&lt;style size="10"&gt;[40]&lt;/style&gt;&lt;/DisplayText&gt;&lt;record&gt;&lt;rec-number&gt;9766&lt;/rec-number&gt;&lt;foreign-keys&gt;&lt;key app="EN" db-id="fw0prtesnvf55cepezbx255wwza5zw0ssatt" timestamp="1781679659"&gt;9766&lt;/key&gt;&lt;/foreign-keys&gt;&lt;ref-type name="Report"&gt;27&lt;/ref-type&gt;&lt;contributors&gt;&lt;authors&gt;&lt;author&gt;&lt;style face="normal" font="default" size="100%"&gt;Joossens L., Abbink H., Roman E&lt;/style&gt;&lt;style face="normal" font="default" charset="238" size="100%"&gt;,&lt;/style&gt;&lt;/author&gt;&lt;/authors&gt;&lt;secondary-authors&gt;&lt;author&gt;Smoke Free Partnership&lt;/author&gt;&lt;/secondary-authors&gt;&lt;/contributors&gt;&lt;titles&gt;&lt;title&gt;The Tobacco Control Scale 2025 in Europe&lt;/title&gt;&lt;secondary-title&gt;The Tobacco Control Scale in Europe&lt;/secondary-title&gt;&lt;/titles&gt;&lt;dates&gt;&lt;year&gt;&lt;style face="normal" font="default" charset="238" size="100%"&gt;2026&lt;/style&gt;&lt;/year&gt;&lt;pub-dates&gt;&lt;date&gt;20 May 2026&lt;/date&gt;&lt;/pub-dates&gt;&lt;/dates&gt;&lt;pub-location&gt;Brussels&lt;/pub-location&gt;&lt;urls&gt;&lt;related-urls&gt;&lt;url&gt;https://tobaccocontrolscale.org/wp-content/uploads/2026/05/TCS-2025.pdf&lt;/url&gt;&lt;/related-urls&gt;&lt;/urls&gt;&lt;/record&gt;&lt;/Cite&gt;&lt;/EndNote&gt;</w:instrText>
      </w:r>
      <w:r w:rsidR="00F81AC1">
        <w:fldChar w:fldCharType="separate"/>
      </w:r>
      <w:r w:rsidR="00D4526D" w:rsidRPr="00D4526D">
        <w:rPr>
          <w:noProof/>
          <w:sz w:val="20"/>
        </w:rPr>
        <w:t>[40]</w:t>
      </w:r>
      <w:r w:rsidR="00F81AC1">
        <w:fldChar w:fldCharType="end"/>
      </w:r>
      <w:r w:rsidR="00F81AC1">
        <w:t xml:space="preserve"> publicat în 20 mai 2026, </w:t>
      </w:r>
      <w:r w:rsidR="00DD5CF1" w:rsidRPr="00DD5CF1">
        <w:t>România înregistrează o scădere semnificativă a scorului față de ediția anterioară (</w:t>
      </w:r>
      <w:r w:rsidR="00DD5CF1">
        <w:t xml:space="preserve">cu </w:t>
      </w:r>
      <w:r w:rsidR="00DD5CF1" w:rsidRPr="00DD5CF1">
        <w:t xml:space="preserve">aproximativ 25 puncte), situându-se într-o zonă inferioară a clasamentului european, </w:t>
      </w:r>
      <w:r w:rsidR="00DD5CF1">
        <w:t xml:space="preserve">deteriorare asociată în principal cu: </w:t>
      </w:r>
    </w:p>
    <w:p w14:paraId="2DC07ED7" w14:textId="69D0C344" w:rsidR="00DD5CF1" w:rsidRDefault="00DD5CF1" w:rsidP="00A62A7C">
      <w:pPr>
        <w:pStyle w:val="ListParagraph"/>
        <w:numPr>
          <w:ilvl w:val="0"/>
          <w:numId w:val="42"/>
        </w:numPr>
        <w:jc w:val="both"/>
      </w:pPr>
      <w:r>
        <w:t>reglementarea insuficientă a produselor din tutun încălzit,</w:t>
      </w:r>
    </w:p>
    <w:p w14:paraId="4CCED89E" w14:textId="145ECFBF" w:rsidR="00DD5CF1" w:rsidRDefault="00DD5CF1" w:rsidP="00A62A7C">
      <w:pPr>
        <w:pStyle w:val="ListParagraph"/>
        <w:numPr>
          <w:ilvl w:val="0"/>
          <w:numId w:val="42"/>
        </w:numPr>
        <w:jc w:val="both"/>
      </w:pPr>
      <w:r>
        <w:t>întârzieri în actualizarea politicilor fiscale în raport cu inflația,</w:t>
      </w:r>
    </w:p>
    <w:p w14:paraId="7649E906" w14:textId="29610980" w:rsidR="00F81AC1" w:rsidRDefault="00DD5CF1" w:rsidP="00A62A7C">
      <w:pPr>
        <w:pStyle w:val="ListParagraph"/>
        <w:numPr>
          <w:ilvl w:val="0"/>
          <w:numId w:val="42"/>
        </w:numPr>
        <w:jc w:val="both"/>
      </w:pPr>
      <w:r>
        <w:t>și implementarea mai slabă a unor măsuri de control al publicității și accesibilității produselor din tutun.</w:t>
      </w:r>
    </w:p>
    <w:p w14:paraId="16BA3BB5" w14:textId="1E9C3E6A" w:rsidR="009D2E63" w:rsidRDefault="009D2E63" w:rsidP="005727E6">
      <w:pPr>
        <w:pStyle w:val="ListParagraph"/>
        <w:ind w:left="0" w:firstLine="708"/>
        <w:jc w:val="both"/>
      </w:pPr>
      <w:r>
        <w:t xml:space="preserve">Același raport </w:t>
      </w:r>
      <w:r w:rsidR="00D220E5">
        <w:t xml:space="preserve">evidențiază că pentru prima dată </w:t>
      </w:r>
      <w:r w:rsidR="008426AE">
        <w:t>25 de</w:t>
      </w:r>
      <w:r w:rsidR="00D220E5" w:rsidRPr="00D220E5">
        <w:t xml:space="preserve"> țări </w:t>
      </w:r>
      <w:r w:rsidR="00D220E5">
        <w:t xml:space="preserve">dintre cele 37 evaluate </w:t>
      </w:r>
      <w:r w:rsidR="00D220E5" w:rsidRPr="00D220E5">
        <w:t xml:space="preserve">au avut un scor mai mic în </w:t>
      </w:r>
      <w:r w:rsidR="00D220E5">
        <w:t xml:space="preserve">anul </w:t>
      </w:r>
      <w:r w:rsidR="00D220E5" w:rsidRPr="00D220E5">
        <w:t xml:space="preserve">2025 decât </w:t>
      </w:r>
      <w:r w:rsidR="008426AE">
        <w:t>în 2021</w:t>
      </w:r>
      <w:r w:rsidR="00D220E5">
        <w:t>, fapt ce se datorează î</w:t>
      </w:r>
      <w:r w:rsidR="00D220E5" w:rsidRPr="00D220E5">
        <w:t xml:space="preserve">n principal </w:t>
      </w:r>
      <w:r w:rsidR="00D220E5">
        <w:t xml:space="preserve">la </w:t>
      </w:r>
      <w:r w:rsidR="00D220E5" w:rsidRPr="00D220E5">
        <w:t>două motive: în mai multe țări produsele din tutun încălzit nu erau</w:t>
      </w:r>
      <w:r w:rsidR="00D220E5">
        <w:t xml:space="preserve"> la fel de bine</w:t>
      </w:r>
      <w:r w:rsidR="00D220E5" w:rsidRPr="00D220E5">
        <w:t xml:space="preserve"> reglementate ca </w:t>
      </w:r>
      <w:r w:rsidR="00D220E5">
        <w:t xml:space="preserve">și </w:t>
      </w:r>
      <w:r w:rsidR="00D220E5" w:rsidRPr="00D220E5">
        <w:t>țigările, iar în al doilea rând prețu</w:t>
      </w:r>
      <w:r w:rsidR="008426AE">
        <w:t>lui</w:t>
      </w:r>
      <w:r w:rsidR="00D220E5" w:rsidRPr="00D220E5">
        <w:t xml:space="preserve"> țigărilor</w:t>
      </w:r>
      <w:r w:rsidR="008426AE">
        <w:t xml:space="preserve"> care</w:t>
      </w:r>
      <w:r w:rsidR="00D220E5" w:rsidRPr="00D220E5">
        <w:t xml:space="preserve"> nu era în mare parte adaptat la inflație.</w:t>
      </w:r>
      <w:r w:rsidR="008426AE" w:rsidRPr="008426AE">
        <w:t xml:space="preserve"> România (-25)</w:t>
      </w:r>
      <w:r w:rsidR="008426AE">
        <w:t>,</w:t>
      </w:r>
      <w:r w:rsidR="008426AE" w:rsidRPr="008426AE">
        <w:t xml:space="preserve"> Italia (-15), Grecia (-10) și Cehia (-9) au înregistrat cele mai semnificative scăderi ale scorului. Scăderile din România, Italia și Cehia se d</w:t>
      </w:r>
      <w:r w:rsidR="005727E6">
        <w:t>atorează</w:t>
      </w:r>
      <w:r w:rsidR="008426AE" w:rsidRPr="008426AE">
        <w:t xml:space="preserve"> în principal excluder</w:t>
      </w:r>
      <w:r w:rsidR="005727E6">
        <w:t>ii</w:t>
      </w:r>
      <w:r w:rsidR="008426AE" w:rsidRPr="008426AE">
        <w:t xml:space="preserve"> produselor din tutun încălzit din reglementări</w:t>
      </w:r>
      <w:r w:rsidR="00E40172">
        <w:t>le referitoare la restricționare</w:t>
      </w:r>
      <w:r w:rsidR="005727E6">
        <w:t xml:space="preserve"> </w:t>
      </w:r>
      <w:r w:rsidR="008426AE" w:rsidRPr="008426AE">
        <w:t>și/sau publicitate.</w:t>
      </w:r>
    </w:p>
    <w:p w14:paraId="19E35B73" w14:textId="125E0968" w:rsidR="00CD3152" w:rsidRDefault="00CD3152" w:rsidP="00CD3152">
      <w:pPr>
        <w:ind w:firstLine="708"/>
        <w:jc w:val="both"/>
      </w:pPr>
      <w:r w:rsidRPr="006E0160">
        <w:t>În plus,</w:t>
      </w:r>
      <w:r w:rsidR="00E45F25">
        <w:t xml:space="preserve"> în România,</w:t>
      </w:r>
      <w:r w:rsidRPr="006E0160">
        <w:t xml:space="preserve"> Programul național privind controlul tutunului</w:t>
      </w:r>
      <w:r w:rsidR="00E45F25">
        <w:t xml:space="preserve"> (</w:t>
      </w:r>
      <w:r w:rsidR="00526976" w:rsidRPr="00526976">
        <w:t>Programul Național „Stop Fumat”</w:t>
      </w:r>
      <w:r w:rsidR="00526976">
        <w:t>)</w:t>
      </w:r>
      <w:r w:rsidRPr="006E0160">
        <w:t xml:space="preserve">, finanțat și coordonat de Ministerul Sănătății, </w:t>
      </w:r>
      <w:r>
        <w:t>are sincope în</w:t>
      </w:r>
      <w:r w:rsidRPr="006E0160">
        <w:t xml:space="preserve"> furnizarea de medicamente pentru renunțarea la fumat și oferă doar consiliere psihologică la cerere. Prevenirea adoptării obiceiului de a fuma și intervențiile de scurtă durată pentru renunțarea la fumat sunt incluse în pachetul de servicii care urmează să fie furnizate în cadrul asistenței medicale primare, însă sunt necesare servicii specializate pentru renunțarea la fumat, care să ofere consiliere psihologică, terapie de substituție a nicotinei și medicamente prescrise. În plus, campaniile de educație pentru sănătate care vizează în principal minorii sunt organizate în mod inconsecvent și oportunist.</w:t>
      </w:r>
      <w:r w:rsidRPr="006E0160">
        <w:fldChar w:fldCharType="begin"/>
      </w:r>
      <w:r w:rsidR="0009552B">
        <w:instrText xml:space="preserve"> ADDIN EN.CITE &lt;EndNote&gt;&lt;Cite&gt;&lt;Author&gt;OECD&lt;/Author&gt;&lt;Year&gt;2025&lt;/Year&gt;&lt;RecNum&gt;9129&lt;/RecNum&gt;&lt;DisplayText&gt;&lt;style size="10"&gt;[4]&lt;/style&gt;&lt;/DisplayText&gt;&lt;record&gt;&lt;rec-number&gt;9129&lt;/rec-number&gt;&lt;foreign-keys&gt;&lt;key app="EN" db-id="fw0prtesnvf55cepezbx255wwza5zw0ssatt" timestamp="1754271119" guid="3ff7e050-5580-4517-a844-8a4fc2f3e8c4"&gt;9129&lt;/key&gt;&lt;/foreign-keys&gt;&lt;ref-type name="Report"&gt;27&lt;/ref-type&gt;&lt;contributors&gt;&lt;authors&gt;&lt;author&gt;&lt;style face="normal" font="default" charset="238" size="100%"&gt;OECD&lt;/style&gt;&lt;/author&gt;&lt;/authors&gt;&lt;secondary-authors&gt;&lt;author&gt;&lt;style face="normal" font="default" charset="238" size="100%"&gt;OECD&lt;/style&gt;&lt;/author&gt;&lt;/secondary-authors&gt;&lt;/contributors&gt;&lt;titles&gt;&lt;title&gt;&lt;style face="normal" font="default" charset="238" size="100%"&gt;European Cancer Inequalities Registry - Profil de țară privind cancerul, 2025&lt;/style&gt;&lt;/title&gt;&lt;secondary-title&gt;&lt;style face="normal" font="default" size="100%"&gt;„Profiluri de &lt;/style&gt;&lt;style face="normal" font="default" charset="238" size="100%"&gt;țară privind cancerul”&lt;/style&gt;&lt;/secondary-title&gt;&lt;/titles&gt;&lt;dates&gt;&lt;year&gt;&lt;style face="normal" font="default" charset="238" size="100%"&gt;2025&lt;/style&gt;&lt;/year&gt;&lt;/dates&gt;&lt;pub-location&gt;&lt;style face="normal" font="default" charset="238" size="100%"&gt;online&lt;/style&gt;&lt;/pub-location&gt;&lt;urls&gt;&lt;/urls&gt;&lt;/record&gt;&lt;/Cite&gt;&lt;/EndNote&gt;</w:instrText>
      </w:r>
      <w:r w:rsidRPr="006E0160">
        <w:fldChar w:fldCharType="separate"/>
      </w:r>
      <w:r w:rsidR="0009552B" w:rsidRPr="0009552B">
        <w:rPr>
          <w:noProof/>
          <w:sz w:val="20"/>
        </w:rPr>
        <w:t>[4]</w:t>
      </w:r>
      <w:r w:rsidRPr="006E0160">
        <w:fldChar w:fldCharType="end"/>
      </w:r>
    </w:p>
    <w:p w14:paraId="23AE6A95" w14:textId="4073456D" w:rsidR="000D2398" w:rsidRDefault="000D2398" w:rsidP="00CD3152">
      <w:pPr>
        <w:ind w:firstLine="708"/>
        <w:jc w:val="both"/>
      </w:pPr>
      <w:r>
        <w:t>Câteva dintre prevederile legislative importante sunt enumerate succint</w:t>
      </w:r>
    </w:p>
    <w:p w14:paraId="7B1DC398" w14:textId="6B92C35A" w:rsidR="000D2398" w:rsidRDefault="000D2398" w:rsidP="000D2398">
      <w:pPr>
        <w:pStyle w:val="ListParagraph"/>
        <w:numPr>
          <w:ilvl w:val="0"/>
          <w:numId w:val="43"/>
        </w:numPr>
        <w:tabs>
          <w:tab w:val="left" w:pos="284"/>
        </w:tabs>
        <w:ind w:left="0" w:firstLine="0"/>
        <w:jc w:val="both"/>
      </w:pPr>
      <w:r w:rsidRPr="00532AAE">
        <w:rPr>
          <w:b/>
          <w:bCs/>
          <w:i/>
          <w:iCs/>
        </w:rPr>
        <w:t>Ordonanța Guvernului nr. 16/2022</w:t>
      </w:r>
      <w:r w:rsidRPr="000D2398">
        <w:t xml:space="preserve"> </w:t>
      </w:r>
      <w:r>
        <w:t xml:space="preserve">- </w:t>
      </w:r>
      <w:r w:rsidRPr="000D2398">
        <w:t>a introdus un calendar multianual de accizare pentru lichidele care conțin nicotină și pentru tutunul conținut în produsele din tutun încălzit. Măsura a reprezentat o schimbare de politică</w:t>
      </w:r>
      <w:r>
        <w:t xml:space="preserve"> - </w:t>
      </w:r>
      <w:r w:rsidRPr="000D2398">
        <w:t xml:space="preserve"> fiscalitatea nu a mai vizat exclusiv țigaretele și produsele tradiționale, ci a început să includă explicit produse emergente</w:t>
      </w:r>
    </w:p>
    <w:p w14:paraId="18030FA3" w14:textId="577A5A79" w:rsidR="000D2398" w:rsidRDefault="000D2398" w:rsidP="000D2398">
      <w:pPr>
        <w:pStyle w:val="ListParagraph"/>
        <w:numPr>
          <w:ilvl w:val="0"/>
          <w:numId w:val="43"/>
        </w:numPr>
        <w:tabs>
          <w:tab w:val="left" w:pos="284"/>
        </w:tabs>
        <w:ind w:left="0" w:firstLine="0"/>
        <w:jc w:val="both"/>
      </w:pPr>
      <w:r w:rsidRPr="00532AAE">
        <w:rPr>
          <w:b/>
          <w:bCs/>
          <w:i/>
          <w:iCs/>
        </w:rPr>
        <w:lastRenderedPageBreak/>
        <w:t>Ordonanța Guvernului nr. 23/2023</w:t>
      </w:r>
      <w:r w:rsidRPr="000D2398">
        <w:t xml:space="preserve"> </w:t>
      </w:r>
      <w:r>
        <w:t xml:space="preserve">- </w:t>
      </w:r>
      <w:r w:rsidRPr="000D2398">
        <w:t>a transpus Directiva delegată (UE) 2022/2100 și a introdus în legislația română definiția produsului din tutun încălzit. Prin retragerea anumitor exceptări, produsele din tutun încălzit pentru fumat au fost supuse interdicției aromelor caracteristice și cerințelor de etichetare aplicabile produselor din tutun pentru fumat.</w:t>
      </w:r>
    </w:p>
    <w:p w14:paraId="60CC3E6F" w14:textId="1C9192C4" w:rsidR="00532AAE" w:rsidRDefault="00532AAE" w:rsidP="000D2398">
      <w:pPr>
        <w:pStyle w:val="ListParagraph"/>
        <w:numPr>
          <w:ilvl w:val="0"/>
          <w:numId w:val="43"/>
        </w:numPr>
        <w:tabs>
          <w:tab w:val="left" w:pos="284"/>
        </w:tabs>
        <w:ind w:left="0" w:firstLine="0"/>
        <w:jc w:val="both"/>
      </w:pPr>
      <w:r w:rsidRPr="00532AAE">
        <w:rPr>
          <w:b/>
          <w:bCs/>
          <w:i/>
          <w:iCs/>
        </w:rPr>
        <w:t>Legea nr. 296/2023</w:t>
      </w:r>
      <w:r w:rsidRPr="00532AAE">
        <w:t xml:space="preserve"> a extins accizarea de la lichidele cu nicotină la lichidele cu sau fără nicotină și a inclus produse destinate inhalării fără ardere care conțin înlocuitori de tutun, cu sau fără nicotină.</w:t>
      </w:r>
    </w:p>
    <w:p w14:paraId="03A20C09" w14:textId="49EF2DD0" w:rsidR="00532AAE" w:rsidRDefault="00532AAE" w:rsidP="000D2398">
      <w:pPr>
        <w:pStyle w:val="ListParagraph"/>
        <w:numPr>
          <w:ilvl w:val="0"/>
          <w:numId w:val="43"/>
        </w:numPr>
        <w:tabs>
          <w:tab w:val="left" w:pos="284"/>
        </w:tabs>
        <w:ind w:left="0" w:firstLine="0"/>
        <w:jc w:val="both"/>
      </w:pPr>
      <w:r w:rsidRPr="00532AAE">
        <w:rPr>
          <w:b/>
          <w:bCs/>
          <w:i/>
          <w:iCs/>
        </w:rPr>
        <w:t>OUG nr. 43/2024</w:t>
      </w:r>
      <w:r w:rsidRPr="00532AAE">
        <w:t xml:space="preserve"> a adăugat reguli tehnice pentru determinarea cantității accizabile în cazul unor produse cu substrat solid care conține nicotină. În 2026, Hotărârea Guvernului nr. 39/2026 a clarificat modul de calcul pentru produsele pe bază de înlocuitori de tutun încadrate la anumite coduri tarifare.</w:t>
      </w:r>
    </w:p>
    <w:p w14:paraId="1616CCFE" w14:textId="377CC395" w:rsidR="007F725D" w:rsidRDefault="007F725D" w:rsidP="002A7AA4">
      <w:pPr>
        <w:ind w:firstLine="708"/>
        <w:jc w:val="both"/>
      </w:pPr>
      <w:r>
        <w:t>P</w:t>
      </w:r>
      <w:r w:rsidRPr="007F725D">
        <w:t xml:space="preserve">revederile </w:t>
      </w:r>
      <w:r w:rsidRPr="00805077">
        <w:rPr>
          <w:b/>
          <w:bCs/>
          <w:i/>
          <w:iCs/>
        </w:rPr>
        <w:t>Legii nr. 64/2024</w:t>
      </w:r>
      <w:r w:rsidRPr="007F725D">
        <w:rPr>
          <w:i/>
          <w:iCs/>
        </w:rPr>
        <w:t xml:space="preserve"> </w:t>
      </w:r>
      <w:r w:rsidRPr="00AF7AAE">
        <w:rPr>
          <w:b/>
          <w:bCs/>
          <w:i/>
          <w:iCs/>
        </w:rPr>
        <w:t>pentru modificarea şi completarea unor acte normative din domeniul produselor din tutun (în vigoare de la 31 martie 2024</w:t>
      </w:r>
      <w:r w:rsidR="00A60216" w:rsidRPr="00AF7AAE">
        <w:rPr>
          <w:b/>
          <w:bCs/>
          <w:i/>
          <w:iCs/>
        </w:rPr>
        <w:t>)</w:t>
      </w:r>
      <w:r w:rsidRPr="007F725D">
        <w:t>, coroborate cu</w:t>
      </w:r>
      <w:r w:rsidR="00187FF1">
        <w:t xml:space="preserve"> cele ale</w:t>
      </w:r>
      <w:r w:rsidRPr="007F725D">
        <w:t xml:space="preserve"> </w:t>
      </w:r>
      <w:r w:rsidR="009C56F1" w:rsidRPr="00805077">
        <w:rPr>
          <w:b/>
          <w:bCs/>
          <w:i/>
          <w:iCs/>
        </w:rPr>
        <w:t>Leg</w:t>
      </w:r>
      <w:r w:rsidR="00187FF1" w:rsidRPr="00805077">
        <w:rPr>
          <w:b/>
          <w:bCs/>
          <w:i/>
          <w:iCs/>
        </w:rPr>
        <w:t xml:space="preserve">ii </w:t>
      </w:r>
      <w:r w:rsidR="009C56F1" w:rsidRPr="00805077">
        <w:rPr>
          <w:b/>
          <w:bCs/>
          <w:i/>
          <w:iCs/>
        </w:rPr>
        <w:t xml:space="preserve"> nr. 232/2024</w:t>
      </w:r>
      <w:r w:rsidR="009C56F1" w:rsidRPr="002B172A">
        <w:rPr>
          <w:i/>
          <w:iCs/>
        </w:rPr>
        <w:t xml:space="preserve"> </w:t>
      </w:r>
      <w:r w:rsidR="009C56F1" w:rsidRPr="00AF7AAE">
        <w:rPr>
          <w:b/>
          <w:bCs/>
          <w:i/>
          <w:iCs/>
        </w:rPr>
        <w:t>pentru modificarea Legii nr. 148/2000 privind publicitatea şi a art. 29 din Legea audiovizualului nr. 504/2002 (în vigoare de la 25 iulie 2024)</w:t>
      </w:r>
      <w:r w:rsidR="002B172A" w:rsidRPr="002B172A">
        <w:t xml:space="preserve"> extind interdicțiile de publicitate </w:t>
      </w:r>
      <w:r w:rsidR="002B172A">
        <w:t xml:space="preserve">aplicabile produselor clasice de tutun și </w:t>
      </w:r>
      <w:r w:rsidRPr="007F725D">
        <w:t>consolidează cadrul legislativ național privind controlul noilor produse cu nicotină, prin menținerea interdicției de vânzare către persoane sub 18 ani și extinderea acesteia asupra țigaretelor electronice</w:t>
      </w:r>
      <w:r w:rsidR="00187FF1">
        <w:t xml:space="preserve"> (inclusiv de tip vape)</w:t>
      </w:r>
      <w:r w:rsidRPr="007F725D">
        <w:t>, produselor din tutun încălzit și pliculețelor cu nicotină</w:t>
      </w:r>
      <w:r w:rsidR="00187FF1">
        <w:t xml:space="preserve"> pentru uz oral (pouch-uri)</w:t>
      </w:r>
      <w:r w:rsidRPr="007F725D">
        <w:t>. De asemenea, sunt întărite dispozițiile privind comercializarea, verificarea vârstei, precum și restricțiile de publicitate și promovare, inclusiv în proximitatea unităților de învățământ și în mediul audiovizual.</w:t>
      </w:r>
    </w:p>
    <w:p w14:paraId="139AC1AA" w14:textId="5C73EAE3" w:rsidR="003B334F" w:rsidRDefault="00CA4594" w:rsidP="00AD0828">
      <w:pPr>
        <w:ind w:firstLine="708"/>
        <w:jc w:val="both"/>
      </w:pPr>
      <w:r>
        <w:rPr>
          <w:noProof/>
        </w:rPr>
        <mc:AlternateContent>
          <mc:Choice Requires="wps">
            <w:drawing>
              <wp:anchor distT="0" distB="0" distL="114300" distR="114300" simplePos="0" relativeHeight="251682816" behindDoc="0" locked="0" layoutInCell="1" allowOverlap="1" wp14:anchorId="7D477907" wp14:editId="4578AD9A">
                <wp:simplePos x="0" y="0"/>
                <wp:positionH relativeFrom="column">
                  <wp:posOffset>635</wp:posOffset>
                </wp:positionH>
                <wp:positionV relativeFrom="paragraph">
                  <wp:posOffset>243840</wp:posOffset>
                </wp:positionV>
                <wp:extent cx="4004310" cy="3067050"/>
                <wp:effectExtent l="19050" t="19050" r="15240" b="19050"/>
                <wp:wrapSquare wrapText="bothSides"/>
                <wp:docPr id="2009551617" name="Text Box 74"/>
                <wp:cNvGraphicFramePr/>
                <a:graphic xmlns:a="http://schemas.openxmlformats.org/drawingml/2006/main">
                  <a:graphicData uri="http://schemas.microsoft.com/office/word/2010/wordprocessingShape">
                    <wps:wsp>
                      <wps:cNvSpPr txBox="1"/>
                      <wps:spPr>
                        <a:xfrm>
                          <a:off x="0" y="0"/>
                          <a:ext cx="4004310" cy="3067050"/>
                        </a:xfrm>
                        <a:prstGeom prst="rect">
                          <a:avLst/>
                        </a:prstGeom>
                        <a:solidFill>
                          <a:sysClr val="window" lastClr="FFFFFF">
                            <a:lumMod val="85000"/>
                          </a:sysClr>
                        </a:solidFill>
                        <a:ln w="38100" cap="flat" cmpd="sng" algn="ctr">
                          <a:solidFill>
                            <a:srgbClr val="262262"/>
                          </a:solidFill>
                          <a:prstDash val="solid"/>
                          <a:miter lim="800000"/>
                        </a:ln>
                        <a:effectLst/>
                      </wps:spPr>
                      <wps:txbx>
                        <w:txbxContent>
                          <w:p w14:paraId="49C316DF" w14:textId="249F9C70" w:rsidR="00CA4594" w:rsidRPr="00964FC9" w:rsidRDefault="00CA4594" w:rsidP="00CA4594">
                            <w:pPr>
                              <w:jc w:val="both"/>
                              <w:rPr>
                                <w:color w:val="01B69B" w:themeColor="accent1"/>
                                <w:sz w:val="24"/>
                                <w:szCs w:val="24"/>
                                <w14:textOutline w14:w="9525" w14:cap="rnd" w14:cmpd="sng" w14:algn="ctr">
                                  <w14:solidFill>
                                    <w14:schemeClr w14:val="tx2"/>
                                  </w14:solidFill>
                                  <w14:prstDash w14:val="solid"/>
                                  <w14:bevel/>
                                </w14:textOutline>
                              </w:rPr>
                            </w:pPr>
                            <w:r>
                              <w:rPr>
                                <w:color w:val="01B69B" w:themeColor="accent1"/>
                                <w:sz w:val="24"/>
                                <w:szCs w:val="24"/>
                                <w14:textOutline w14:w="9525" w14:cap="rnd" w14:cmpd="sng" w14:algn="ctr">
                                  <w14:solidFill>
                                    <w14:schemeClr w14:val="tx2"/>
                                  </w14:solidFill>
                                  <w14:prstDash w14:val="solid"/>
                                  <w14:bevel/>
                                </w14:textOutline>
                              </w:rPr>
                              <w:t>Reglementări recente în România</w:t>
                            </w:r>
                          </w:p>
                          <w:p w14:paraId="352DCEFB" w14:textId="0C21A9AA" w:rsidR="00CA4594" w:rsidRPr="00964FC9" w:rsidRDefault="00CA4594" w:rsidP="00CA4594">
                            <w:pPr>
                              <w:rPr>
                                <w:rFonts w:asciiTheme="minorHAnsi" w:hAnsiTheme="minorHAnsi" w:cstheme="minorHAnsi"/>
                                <w:color w:val="262262" w:themeColor="text2"/>
                                <w14:textOutline w14:w="9525" w14:cap="rnd" w14:cmpd="sng" w14:algn="ctr">
                                  <w14:solidFill>
                                    <w14:schemeClr w14:val="tx2"/>
                                  </w14:solidFill>
                                  <w14:prstDash w14:val="solid"/>
                                  <w14:bevel/>
                                </w14:textOutline>
                              </w:rPr>
                            </w:pPr>
                            <w:r w:rsidRPr="00FB6B57">
                              <w:rPr>
                                <w:rFonts w:ascii="Segoe UI Emoji" w:hAnsi="Segoe UI Emoji" w:cs="Segoe UI Emoji"/>
                                <w:color w:val="262262" w:themeColor="text2"/>
                                <w14:textOutline w14:w="9525" w14:cap="rnd" w14:cmpd="sng" w14:algn="ctr">
                                  <w14:solidFill>
                                    <w14:schemeClr w14:val="tx2"/>
                                  </w14:solidFill>
                                  <w14:prstDash w14:val="solid"/>
                                  <w14:bevel/>
                                </w14:textOutline>
                              </w:rPr>
                              <w:t>🟠</w:t>
                            </w:r>
                            <w:r w:rsidRPr="00FB6B57">
                              <w:rPr>
                                <w:color w:val="262262" w:themeColor="text2"/>
                                <w14:textOutline w14:w="9525" w14:cap="rnd" w14:cmpd="sng" w14:algn="ctr">
                                  <w14:solidFill>
                                    <w14:schemeClr w14:val="tx2"/>
                                  </w14:solidFill>
                                  <w14:prstDash w14:val="solid"/>
                                  <w14:bevel/>
                                </w14:textOutline>
                              </w:rPr>
                              <w:t xml:space="preserve"> </w:t>
                            </w:r>
                            <w:r>
                              <w:rPr>
                                <w:rFonts w:asciiTheme="minorHAnsi" w:hAnsiTheme="minorHAnsi" w:cstheme="minorHAnsi"/>
                                <w:color w:val="262262" w:themeColor="text2"/>
                                <w14:textOutline w14:w="9525" w14:cap="rnd" w14:cmpd="sng" w14:algn="ctr">
                                  <w14:solidFill>
                                    <w14:schemeClr w14:val="tx2"/>
                                  </w14:solidFill>
                                  <w14:prstDash w14:val="solid"/>
                                  <w14:bevel/>
                                </w14:textOutline>
                              </w:rPr>
                              <w:t>Legea 64/2024 și Legea 232/2024</w:t>
                            </w:r>
                            <w:r w:rsidR="00AF7AAE" w:rsidRPr="00AF7AAE">
                              <w:rPr>
                                <w:rFonts w:asciiTheme="minorHAnsi" w:hAnsiTheme="minorHAnsi" w:cstheme="minorHAnsi"/>
                                <w:color w:val="262262" w:themeColor="text2"/>
                                <w14:textOutline w14:w="9525" w14:cap="rnd" w14:cmpd="sng" w14:algn="ctr">
                                  <w14:solidFill>
                                    <w14:schemeClr w14:val="tx2"/>
                                  </w14:solidFill>
                                  <w14:prstDash w14:val="solid"/>
                                  <w14:bevel/>
                                </w14:textOutline>
                              </w:rPr>
                              <w:t>:</w:t>
                            </w:r>
                          </w:p>
                          <w:p w14:paraId="396A375E" w14:textId="0F85A55A" w:rsidR="00CA4594" w:rsidRPr="00964FC9" w:rsidRDefault="00AE360F" w:rsidP="00AF7AAE">
                            <w:pPr>
                              <w:ind w:firstLine="0"/>
                              <w:jc w:val="both"/>
                              <w:rPr>
                                <w:rFonts w:asciiTheme="minorHAnsi" w:hAnsiTheme="minorHAnsi" w:cstheme="minorHAnsi"/>
                                <w:color w:val="262262" w:themeColor="text2"/>
                                <w14:textOutline w14:w="9525" w14:cap="rnd" w14:cmpd="sng" w14:algn="ctr">
                                  <w14:solidFill>
                                    <w14:schemeClr w14:val="tx2"/>
                                  </w14:solidFill>
                                  <w14:prstDash w14:val="solid"/>
                                  <w14:bevel/>
                                </w14:textOutline>
                              </w:rPr>
                            </w:pPr>
                            <w:r w:rsidRPr="00AE360F">
                              <w:rPr>
                                <w:rFonts w:ascii="Segoe UI Emoji" w:hAnsi="Segoe UI Emoji" w:cs="Segoe UI Emoji"/>
                                <w:color w:val="262262" w:themeColor="text2"/>
                                <w14:textOutline w14:w="9525" w14:cap="rnd" w14:cmpd="sng" w14:algn="ctr">
                                  <w14:solidFill>
                                    <w14:schemeClr w14:val="tx2"/>
                                  </w14:solidFill>
                                  <w14:prstDash w14:val="solid"/>
                                  <w14:bevel/>
                                </w14:textOutline>
                              </w:rPr>
                              <w:t>🚫</w:t>
                            </w:r>
                            <w:r w:rsidR="00CA4594" w:rsidRPr="00964FC9">
                              <w:rPr>
                                <w:rFonts w:asciiTheme="minorHAnsi" w:hAnsiTheme="minorHAnsi" w:cstheme="minorHAnsi"/>
                                <w:color w:val="262262" w:themeColor="text2"/>
                                <w14:textOutline w14:w="9525" w14:cap="rnd" w14:cmpd="sng" w14:algn="ctr">
                                  <w14:solidFill>
                                    <w14:schemeClr w14:val="tx2"/>
                                  </w14:solidFill>
                                  <w14:prstDash w14:val="solid"/>
                                  <w14:bevel/>
                                </w14:textOutline>
                              </w:rPr>
                              <w:t xml:space="preserve"> </w:t>
                            </w:r>
                            <w:r w:rsidR="00C25B48" w:rsidRPr="00C25B48">
                              <w:rPr>
                                <w:rFonts w:asciiTheme="minorHAnsi" w:hAnsiTheme="minorHAnsi" w:cstheme="minorHAnsi"/>
                                <w:color w:val="262262" w:themeColor="text2"/>
                                <w14:textOutline w14:w="9525" w14:cap="rnd" w14:cmpd="sng" w14:algn="ctr">
                                  <w14:solidFill>
                                    <w14:schemeClr w14:val="tx2"/>
                                  </w14:solidFill>
                                  <w14:prstDash w14:val="solid"/>
                                  <w14:bevel/>
                                </w14:textOutline>
                              </w:rPr>
                              <w:t>extind interdicțiile de publicitate</w:t>
                            </w:r>
                            <w:r>
                              <w:rPr>
                                <w:rFonts w:asciiTheme="minorHAnsi" w:hAnsiTheme="minorHAnsi" w:cstheme="minorHAnsi"/>
                                <w:color w:val="262262" w:themeColor="text2"/>
                                <w14:textOutline w14:w="9525" w14:cap="rnd" w14:cmpd="sng" w14:algn="ctr">
                                  <w14:solidFill>
                                    <w14:schemeClr w14:val="tx2"/>
                                  </w14:solidFill>
                                  <w14:prstDash w14:val="solid"/>
                                  <w14:bevel/>
                                </w14:textOutline>
                              </w:rPr>
                              <w:t xml:space="preserve"> și promovare și asupra produselor emergente</w:t>
                            </w:r>
                            <w:r w:rsidR="00CA4594" w:rsidRPr="00964FC9">
                              <w:rPr>
                                <w:rFonts w:asciiTheme="minorHAnsi" w:hAnsiTheme="minorHAnsi" w:cstheme="minorHAnsi"/>
                                <w:color w:val="262262" w:themeColor="text2"/>
                                <w14:textOutline w14:w="9525" w14:cap="rnd" w14:cmpd="sng" w14:algn="ctr">
                                  <w14:solidFill>
                                    <w14:schemeClr w14:val="tx2"/>
                                  </w14:solidFill>
                                  <w14:prstDash w14:val="solid"/>
                                  <w14:bevel/>
                                </w14:textOutline>
                              </w:rPr>
                              <w:t xml:space="preserve">, </w:t>
                            </w:r>
                          </w:p>
                          <w:p w14:paraId="3ADAF63A" w14:textId="07952C91" w:rsidR="00CA4594" w:rsidRPr="00964FC9" w:rsidRDefault="00AE360F" w:rsidP="00AF7AAE">
                            <w:pPr>
                              <w:tabs>
                                <w:tab w:val="left" w:pos="284"/>
                              </w:tabs>
                              <w:ind w:firstLine="0"/>
                              <w:jc w:val="both"/>
                              <w:rPr>
                                <w:rFonts w:asciiTheme="minorHAnsi" w:hAnsiTheme="minorHAnsi" w:cstheme="minorHAnsi"/>
                                <w:color w:val="262262" w:themeColor="text2"/>
                                <w14:textOutline w14:w="9525" w14:cap="rnd" w14:cmpd="sng" w14:algn="ctr">
                                  <w14:solidFill>
                                    <w14:schemeClr w14:val="tx2"/>
                                  </w14:solidFill>
                                  <w14:prstDash w14:val="solid"/>
                                  <w14:bevel/>
                                </w14:textOutline>
                              </w:rPr>
                            </w:pPr>
                            <w:r w:rsidRPr="00AE360F">
                              <w:rPr>
                                <w:rFonts w:ascii="Segoe UI Emoji" w:hAnsi="Segoe UI Emoji" w:cs="Segoe UI Emoji"/>
                                <w:color w:val="262262" w:themeColor="text2"/>
                                <w14:textOutline w14:w="9525" w14:cap="rnd" w14:cmpd="sng" w14:algn="ctr">
                                  <w14:solidFill>
                                    <w14:schemeClr w14:val="tx2"/>
                                  </w14:solidFill>
                                  <w14:prstDash w14:val="solid"/>
                                  <w14:bevel/>
                                </w14:textOutline>
                              </w:rPr>
                              <w:t>🛒</w:t>
                            </w:r>
                            <w:r w:rsidR="00CA4594">
                              <w:rPr>
                                <w:rFonts w:ascii="Segoe UI Emoji" w:hAnsi="Segoe UI Emoji" w:cs="Segoe UI Emoji"/>
                                <w:color w:val="262262" w:themeColor="text2"/>
                                <w14:textOutline w14:w="9525" w14:cap="rnd" w14:cmpd="sng" w14:algn="ctr">
                                  <w14:solidFill>
                                    <w14:schemeClr w14:val="tx2"/>
                                  </w14:solidFill>
                                  <w14:prstDash w14:val="solid"/>
                                  <w14:bevel/>
                                </w14:textOutline>
                              </w:rPr>
                              <w:t xml:space="preserve"> </w:t>
                            </w:r>
                            <w:r>
                              <w:rPr>
                                <w:rFonts w:ascii="Segoe UI Emoji" w:hAnsi="Segoe UI Emoji" w:cs="Segoe UI Emoji"/>
                                <w:color w:val="262262" w:themeColor="text2"/>
                                <w14:textOutline w14:w="9525" w14:cap="rnd" w14:cmpd="sng" w14:algn="ctr">
                                  <w14:solidFill>
                                    <w14:schemeClr w14:val="tx2"/>
                                  </w14:solidFill>
                                  <w14:prstDash w14:val="solid"/>
                                  <w14:bevel/>
                                </w14:textOutline>
                              </w:rPr>
                              <w:t>protec</w:t>
                            </w:r>
                            <w:r>
                              <w:rPr>
                                <w:rFonts w:cs="Calibri"/>
                                <w:color w:val="262262" w:themeColor="text2"/>
                                <w14:textOutline w14:w="9525" w14:cap="rnd" w14:cmpd="sng" w14:algn="ctr">
                                  <w14:solidFill>
                                    <w14:schemeClr w14:val="tx2"/>
                                  </w14:solidFill>
                                  <w14:prstDash w14:val="solid"/>
                                  <w14:bevel/>
                                </w14:textOutline>
                              </w:rPr>
                              <w:t xml:space="preserve">ția minorilor - </w:t>
                            </w:r>
                            <w:r w:rsidR="00C25B48" w:rsidRPr="00C25B48">
                              <w:rPr>
                                <w:rFonts w:asciiTheme="minorHAnsi" w:hAnsiTheme="minorHAnsi" w:cstheme="minorHAnsi"/>
                                <w:color w:val="262262" w:themeColor="text2"/>
                                <w14:textOutline w14:w="9525" w14:cap="rnd" w14:cmpd="sng" w14:algn="ctr">
                                  <w14:solidFill>
                                    <w14:schemeClr w14:val="tx2"/>
                                  </w14:solidFill>
                                  <w14:prstDash w14:val="solid"/>
                                  <w14:bevel/>
                                </w14:textOutline>
                              </w:rPr>
                              <w:t xml:space="preserve">menținerea interdicției de vânzare către persoane sub 18 ani și extinderea acesteia asupra țigaretelor electronice </w:t>
                            </w:r>
                            <w:r w:rsidR="00C25B48" w:rsidRPr="00C25B48">
                              <w:rPr>
                                <w:rFonts w:asciiTheme="minorHAnsi" w:hAnsiTheme="minorHAnsi" w:cstheme="minorHAnsi"/>
                                <w:color w:val="262262" w:themeColor="text2"/>
                                <w14:textOutline w14:w="9525" w14:cap="rnd" w14:cmpd="sng" w14:algn="ctr">
                                  <w14:solidFill>
                                    <w14:schemeClr w14:val="tx2"/>
                                  </w14:solidFill>
                                  <w14:prstDash w14:val="solid"/>
                                  <w14:bevel/>
                                </w14:textOutline>
                              </w:rPr>
                              <w:t>(inclusiv de tip vape), produselor din tutun încălzit și pliculețelor cu nicotină pentru uz oral (pouch-uri)</w:t>
                            </w:r>
                            <w:r w:rsidR="00CA4594" w:rsidRPr="00964FC9">
                              <w:rPr>
                                <w:rFonts w:asciiTheme="minorHAnsi" w:hAnsiTheme="minorHAnsi" w:cstheme="minorHAnsi"/>
                                <w:color w:val="262262" w:themeColor="text2"/>
                                <w14:textOutline w14:w="9525" w14:cap="rnd" w14:cmpd="sng" w14:algn="ctr">
                                  <w14:solidFill>
                                    <w14:schemeClr w14:val="tx2"/>
                                  </w14:solidFill>
                                  <w14:prstDash w14:val="solid"/>
                                  <w14:bevel/>
                                </w14:textOutline>
                              </w:rPr>
                              <w:t>.</w:t>
                            </w:r>
                          </w:p>
                          <w:p w14:paraId="7D24EA2E" w14:textId="4812CFDE" w:rsidR="00CA4594" w:rsidRPr="00964FC9" w:rsidRDefault="00CA4594" w:rsidP="00AF7AAE">
                            <w:pPr>
                              <w:ind w:firstLine="0"/>
                              <w:rPr>
                                <w:rFonts w:asciiTheme="minorHAnsi" w:hAnsiTheme="minorHAnsi" w:cstheme="minorHAnsi"/>
                                <w:color w:val="262262" w:themeColor="text2"/>
                                <w14:textOutline w14:w="9525" w14:cap="rnd" w14:cmpd="sng" w14:algn="ctr">
                                  <w14:solidFill>
                                    <w14:schemeClr w14:val="tx2"/>
                                  </w14:solidFill>
                                  <w14:prstDash w14:val="solid"/>
                                  <w14:bevel/>
                                </w14:textOutline>
                              </w:rPr>
                            </w:pPr>
                            <w:r w:rsidRPr="00964FC9">
                              <w:rPr>
                                <w:rFonts w:asciiTheme="minorHAnsi" w:hAnsiTheme="minorHAnsi" w:cstheme="minorHAnsi"/>
                                <w:b/>
                                <w:bCs/>
                                <w:color w:val="262262" w:themeColor="text2"/>
                                <w14:textOutline w14:w="9525" w14:cap="rnd" w14:cmpd="sng" w14:algn="ctr">
                                  <w14:solidFill>
                                    <w14:schemeClr w14:val="tx2"/>
                                  </w14:solidFill>
                                  <w14:prstDash w14:val="solid"/>
                                  <w14:bevel/>
                                </w14:textOutline>
                              </w:rPr>
                              <w:t xml:space="preserve">    </w:t>
                            </w:r>
                            <w:r w:rsidRPr="00964FC9">
                              <w:rPr>
                                <w:rFonts w:ascii="Segoe UI Emoji" w:hAnsi="Segoe UI Emoji" w:cs="Segoe UI Emoji"/>
                                <w:b/>
                                <w:bCs/>
                                <w:color w:val="262262" w:themeColor="text2"/>
                                <w14:textOutline w14:w="9525" w14:cap="rnd" w14:cmpd="sng" w14:algn="ctr">
                                  <w14:solidFill>
                                    <w14:schemeClr w14:val="tx2"/>
                                  </w14:solidFill>
                                  <w14:prstDash w14:val="solid"/>
                                  <w14:bevel/>
                                </w14:textOutline>
                              </w:rPr>
                              <w:t>🟠</w:t>
                            </w:r>
                            <w:r w:rsidRPr="00964FC9">
                              <w:rPr>
                                <w:rFonts w:asciiTheme="minorHAnsi" w:hAnsiTheme="minorHAnsi" w:cstheme="minorHAnsi"/>
                                <w:b/>
                                <w:bCs/>
                                <w:color w:val="262262" w:themeColor="text2"/>
                                <w14:textOutline w14:w="9525" w14:cap="rnd" w14:cmpd="sng" w14:algn="ctr">
                                  <w14:solidFill>
                                    <w14:schemeClr w14:val="tx2"/>
                                  </w14:solidFill>
                                  <w14:prstDash w14:val="solid"/>
                                  <w14:bevel/>
                                </w14:textOutline>
                              </w:rPr>
                              <w:t xml:space="preserve"> </w:t>
                            </w:r>
                            <w:r w:rsidR="00C25B48" w:rsidRPr="00C25B48">
                              <w:rPr>
                                <w:rFonts w:asciiTheme="minorHAnsi" w:hAnsiTheme="minorHAnsi" w:cstheme="minorHAnsi"/>
                                <w:color w:val="262262" w:themeColor="text2"/>
                                <w14:textOutline w14:w="9525" w14:cap="rnd" w14:cmpd="sng" w14:algn="ctr">
                                  <w14:solidFill>
                                    <w14:schemeClr w14:val="tx2"/>
                                  </w14:solidFill>
                                  <w14:prstDash w14:val="solid"/>
                                  <w14:bevel/>
                                </w14:textOutline>
                              </w:rPr>
                              <w:t>Legea nr. 90/2026</w:t>
                            </w:r>
                            <w:r w:rsidRPr="00267420">
                              <w:rPr>
                                <w:rFonts w:asciiTheme="minorHAnsi" w:hAnsiTheme="minorHAnsi" w:cstheme="minorHAnsi"/>
                                <w:color w:val="262262" w:themeColor="text2"/>
                                <w14:textOutline w14:w="9525" w14:cap="rnd" w14:cmpd="sng" w14:algn="ctr">
                                  <w14:solidFill>
                                    <w14:schemeClr w14:val="tx2"/>
                                  </w14:solidFill>
                                  <w14:prstDash w14:val="solid"/>
                                  <w14:bevel/>
                                </w14:textOutline>
                              </w:rPr>
                              <w:t>:</w:t>
                            </w:r>
                            <w:r w:rsidRPr="00964FC9">
                              <w:rPr>
                                <w:rFonts w:asciiTheme="minorHAnsi" w:hAnsiTheme="minorHAnsi" w:cstheme="minorHAnsi"/>
                                <w:color w:val="262262" w:themeColor="text2"/>
                                <w14:textOutline w14:w="9525" w14:cap="rnd" w14:cmpd="sng" w14:algn="ctr">
                                  <w14:solidFill>
                                    <w14:schemeClr w14:val="tx2"/>
                                  </w14:solidFill>
                                  <w14:prstDash w14:val="solid"/>
                                  <w14:bevel/>
                                </w14:textOutline>
                              </w:rPr>
                              <w:br/>
                            </w:r>
                            <w:r w:rsidR="00AE360F" w:rsidRPr="00AE360F">
                              <w:rPr>
                                <w:rFonts w:ascii="Segoe UI Emoji" w:hAnsi="Segoe UI Emoji" w:cs="Segoe UI Emoji"/>
                                <w:color w:val="262262" w:themeColor="text2"/>
                                <w14:textOutline w14:w="9525" w14:cap="rnd" w14:cmpd="sng" w14:algn="ctr">
                                  <w14:solidFill>
                                    <w14:schemeClr w14:val="tx2"/>
                                  </w14:solidFill>
                                  <w14:prstDash w14:val="solid"/>
                                  <w14:bevel/>
                                </w14:textOutline>
                              </w:rPr>
                              <w:t>⚖️</w:t>
                            </w:r>
                            <w:r w:rsidRPr="00964FC9">
                              <w:rPr>
                                <w:rFonts w:asciiTheme="minorHAnsi" w:hAnsiTheme="minorHAnsi" w:cstheme="minorHAnsi"/>
                                <w:color w:val="262262" w:themeColor="text2"/>
                                <w14:textOutline w14:w="9525" w14:cap="rnd" w14:cmpd="sng" w14:algn="ctr">
                                  <w14:solidFill>
                                    <w14:schemeClr w14:val="tx2"/>
                                  </w14:solidFill>
                                  <w14:prstDash w14:val="solid"/>
                                  <w14:bevel/>
                                </w14:textOutline>
                              </w:rPr>
                              <w:t xml:space="preserve"> </w:t>
                            </w:r>
                            <w:r w:rsidR="00C25B48" w:rsidRPr="00C25B48">
                              <w:rPr>
                                <w:rFonts w:asciiTheme="minorHAnsi" w:hAnsiTheme="minorHAnsi" w:cstheme="minorHAnsi"/>
                                <w:color w:val="262262" w:themeColor="text2"/>
                                <w14:textOutline w14:w="9525" w14:cap="rnd" w14:cmpd="sng" w14:algn="ctr">
                                  <w14:solidFill>
                                    <w14:schemeClr w14:val="tx2"/>
                                  </w14:solidFill>
                                  <w14:prstDash w14:val="solid"/>
                                  <w14:bevel/>
                                </w14:textOutline>
                              </w:rPr>
                              <w:t>extinderea definițiilor legale pentru a include țigaretele electronice, produsele din tutun încălzit, dispozitivele electronice de livrare a nicotinei și pliculețele cu nicotină pentru uz oral</w:t>
                            </w:r>
                            <w:r w:rsidRPr="00964FC9">
                              <w:rPr>
                                <w:rFonts w:asciiTheme="minorHAnsi" w:hAnsiTheme="minorHAnsi" w:cstheme="minorHAnsi"/>
                                <w:color w:val="262262" w:themeColor="text2"/>
                                <w14:textOutline w14:w="9525" w14:cap="rnd" w14:cmpd="sng" w14:algn="ctr">
                                  <w14:solidFill>
                                    <w14:schemeClr w14:val="tx2"/>
                                  </w14:solidFill>
                                  <w14:prstDash w14:val="solid"/>
                                  <w14:bevel/>
                                </w14:textOutline>
                              </w:rPr>
                              <w:br/>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477907" id="_x0000_s1029" type="#_x0000_t202" style="position:absolute;left:0;text-align:left;margin-left:.05pt;margin-top:19.2pt;width:315.3pt;height:241.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" fillcolor="#d9d9d9" strokecolor="#262262" strokeweight="3pt">
                <v:textbox>
                  <w:txbxContent>
                    <w:p w14:paraId="49C316DF" w14:textId="249F9C70" w:rsidR="00CA4594" w:rsidRPr="00964FC9" w:rsidRDefault="00CA4594" w:rsidP="00CA4594">
                      <w:pPr>
                        <w:jc w:val="both"/>
                        <w:rPr>
                          <w:color w:val="01B69B" w:themeColor="accent1"/>
                          <w:sz w:val="24"/>
                          <w:szCs w:val="24"/>
                          <w14:textOutline w14:w="9525" w14:cap="rnd" w14:cmpd="sng" w14:algn="ctr">
                            <w14:solidFill>
                              <w14:schemeClr w14:val="tx2"/>
                            </w14:solidFill>
                            <w14:prstDash w14:val="solid"/>
                            <w14:bevel/>
                          </w14:textOutline>
                        </w:rPr>
                      </w:pPr>
                      <w:r>
                        <w:rPr>
                          <w:color w:val="01B69B" w:themeColor="accent1"/>
                          <w:sz w:val="24"/>
                          <w:szCs w:val="24"/>
                          <w14:textOutline w14:w="9525" w14:cap="rnd" w14:cmpd="sng" w14:algn="ctr">
                            <w14:solidFill>
                              <w14:schemeClr w14:val="tx2"/>
                            </w14:solidFill>
                            <w14:prstDash w14:val="solid"/>
                            <w14:bevel/>
                          </w14:textOutline>
                        </w:rPr>
                        <w:t>Reglementări recente în România</w:t>
                      </w:r>
                    </w:p>
                    <w:p w14:paraId="352DCEFB" w14:textId="0C21A9AA" w:rsidR="00CA4594" w:rsidRPr="00964FC9" w:rsidRDefault="00CA4594" w:rsidP="00CA4594">
                      <w:pPr>
                        <w:rPr>
                          <w:rFonts w:asciiTheme="minorHAnsi" w:hAnsiTheme="minorHAnsi" w:cstheme="minorHAnsi"/>
                          <w:color w:val="262262" w:themeColor="text2"/>
                          <w14:textOutline w14:w="9525" w14:cap="rnd" w14:cmpd="sng" w14:algn="ctr">
                            <w14:solidFill>
                              <w14:schemeClr w14:val="tx2"/>
                            </w14:solidFill>
                            <w14:prstDash w14:val="solid"/>
                            <w14:bevel/>
                          </w14:textOutline>
                        </w:rPr>
                      </w:pPr>
                      <w:r w:rsidRPr="00FB6B57">
                        <w:rPr>
                          <w:rFonts w:ascii="Segoe UI Emoji" w:hAnsi="Segoe UI Emoji" w:cs="Segoe UI Emoji"/>
                          <w:color w:val="262262" w:themeColor="text2"/>
                          <w14:textOutline w14:w="9525" w14:cap="rnd" w14:cmpd="sng" w14:algn="ctr">
                            <w14:solidFill>
                              <w14:schemeClr w14:val="tx2"/>
                            </w14:solidFill>
                            <w14:prstDash w14:val="solid"/>
                            <w14:bevel/>
                          </w14:textOutline>
                        </w:rPr>
                        <w:t>🟠</w:t>
                      </w:r>
                      <w:r w:rsidRPr="00FB6B57">
                        <w:rPr>
                          <w:color w:val="262262" w:themeColor="text2"/>
                          <w14:textOutline w14:w="9525" w14:cap="rnd" w14:cmpd="sng" w14:algn="ctr">
                            <w14:solidFill>
                              <w14:schemeClr w14:val="tx2"/>
                            </w14:solidFill>
                            <w14:prstDash w14:val="solid"/>
                            <w14:bevel/>
                          </w14:textOutline>
                        </w:rPr>
                        <w:t xml:space="preserve"> </w:t>
                      </w:r>
                      <w:r>
                        <w:rPr>
                          <w:rFonts w:asciiTheme="minorHAnsi" w:hAnsiTheme="minorHAnsi" w:cstheme="minorHAnsi"/>
                          <w:color w:val="262262" w:themeColor="text2"/>
                          <w14:textOutline w14:w="9525" w14:cap="rnd" w14:cmpd="sng" w14:algn="ctr">
                            <w14:solidFill>
                              <w14:schemeClr w14:val="tx2"/>
                            </w14:solidFill>
                            <w14:prstDash w14:val="solid"/>
                            <w14:bevel/>
                          </w14:textOutline>
                        </w:rPr>
                        <w:t>Legea 64/2024 și Legea 232/2024</w:t>
                      </w:r>
                      <w:r w:rsidR="00AF7AAE" w:rsidRPr="00AF7AAE">
                        <w:rPr>
                          <w:rFonts w:asciiTheme="minorHAnsi" w:hAnsiTheme="minorHAnsi" w:cstheme="minorHAnsi"/>
                          <w:color w:val="262262" w:themeColor="text2"/>
                          <w14:textOutline w14:w="9525" w14:cap="rnd" w14:cmpd="sng" w14:algn="ctr">
                            <w14:solidFill>
                              <w14:schemeClr w14:val="tx2"/>
                            </w14:solidFill>
                            <w14:prstDash w14:val="solid"/>
                            <w14:bevel/>
                          </w14:textOutline>
                        </w:rPr>
                        <w:t>:</w:t>
                      </w:r>
                    </w:p>
                    <w:p w14:paraId="396A375E" w14:textId="0F85A55A" w:rsidR="00CA4594" w:rsidRPr="00964FC9" w:rsidRDefault="00AE360F" w:rsidP="00AF7AAE">
                      <w:pPr>
                        <w:ind w:firstLine="0"/>
                        <w:jc w:val="both"/>
                        <w:rPr>
                          <w:rFonts w:asciiTheme="minorHAnsi" w:hAnsiTheme="minorHAnsi" w:cstheme="minorHAnsi"/>
                          <w:color w:val="262262" w:themeColor="text2"/>
                          <w14:textOutline w14:w="9525" w14:cap="rnd" w14:cmpd="sng" w14:algn="ctr">
                            <w14:solidFill>
                              <w14:schemeClr w14:val="tx2"/>
                            </w14:solidFill>
                            <w14:prstDash w14:val="solid"/>
                            <w14:bevel/>
                          </w14:textOutline>
                        </w:rPr>
                      </w:pPr>
                      <w:r w:rsidRPr="00AE360F">
                        <w:rPr>
                          <w:rFonts w:ascii="Segoe UI Emoji" w:hAnsi="Segoe UI Emoji" w:cs="Segoe UI Emoji"/>
                          <w:color w:val="262262" w:themeColor="text2"/>
                          <w14:textOutline w14:w="9525" w14:cap="rnd" w14:cmpd="sng" w14:algn="ctr">
                            <w14:solidFill>
                              <w14:schemeClr w14:val="tx2"/>
                            </w14:solidFill>
                            <w14:prstDash w14:val="solid"/>
                            <w14:bevel/>
                          </w14:textOutline>
                        </w:rPr>
                        <w:t>🚫</w:t>
                      </w:r>
                      <w:r w:rsidR="00CA4594" w:rsidRPr="00964FC9">
                        <w:rPr>
                          <w:rFonts w:asciiTheme="minorHAnsi" w:hAnsiTheme="minorHAnsi" w:cstheme="minorHAnsi"/>
                          <w:color w:val="262262" w:themeColor="text2"/>
                          <w14:textOutline w14:w="9525" w14:cap="rnd" w14:cmpd="sng" w14:algn="ctr">
                            <w14:solidFill>
                              <w14:schemeClr w14:val="tx2"/>
                            </w14:solidFill>
                            <w14:prstDash w14:val="solid"/>
                            <w14:bevel/>
                          </w14:textOutline>
                        </w:rPr>
                        <w:t xml:space="preserve"> </w:t>
                      </w:r>
                      <w:r w:rsidR="00C25B48" w:rsidRPr="00C25B48">
                        <w:rPr>
                          <w:rFonts w:asciiTheme="minorHAnsi" w:hAnsiTheme="minorHAnsi" w:cstheme="minorHAnsi"/>
                          <w:color w:val="262262" w:themeColor="text2"/>
                          <w14:textOutline w14:w="9525" w14:cap="rnd" w14:cmpd="sng" w14:algn="ctr">
                            <w14:solidFill>
                              <w14:schemeClr w14:val="tx2"/>
                            </w14:solidFill>
                            <w14:prstDash w14:val="solid"/>
                            <w14:bevel/>
                          </w14:textOutline>
                        </w:rPr>
                        <w:t>extind interdicțiile de publicitate</w:t>
                      </w:r>
                      <w:r>
                        <w:rPr>
                          <w:rFonts w:asciiTheme="minorHAnsi" w:hAnsiTheme="minorHAnsi" w:cstheme="minorHAnsi"/>
                          <w:color w:val="262262" w:themeColor="text2"/>
                          <w14:textOutline w14:w="9525" w14:cap="rnd" w14:cmpd="sng" w14:algn="ctr">
                            <w14:solidFill>
                              <w14:schemeClr w14:val="tx2"/>
                            </w14:solidFill>
                            <w14:prstDash w14:val="solid"/>
                            <w14:bevel/>
                          </w14:textOutline>
                        </w:rPr>
                        <w:t xml:space="preserve"> și promovare și asupra produselor emergente</w:t>
                      </w:r>
                      <w:r w:rsidR="00CA4594" w:rsidRPr="00964FC9">
                        <w:rPr>
                          <w:rFonts w:asciiTheme="minorHAnsi" w:hAnsiTheme="minorHAnsi" w:cstheme="minorHAnsi"/>
                          <w:color w:val="262262" w:themeColor="text2"/>
                          <w14:textOutline w14:w="9525" w14:cap="rnd" w14:cmpd="sng" w14:algn="ctr">
                            <w14:solidFill>
                              <w14:schemeClr w14:val="tx2"/>
                            </w14:solidFill>
                            <w14:prstDash w14:val="solid"/>
                            <w14:bevel/>
                          </w14:textOutline>
                        </w:rPr>
                        <w:t xml:space="preserve">, </w:t>
                      </w:r>
                    </w:p>
                    <w:p w14:paraId="3ADAF63A" w14:textId="07952C91" w:rsidR="00CA4594" w:rsidRPr="00964FC9" w:rsidRDefault="00AE360F" w:rsidP="00AF7AAE">
                      <w:pPr>
                        <w:tabs>
                          <w:tab w:val="left" w:pos="284"/>
                        </w:tabs>
                        <w:ind w:firstLine="0"/>
                        <w:jc w:val="both"/>
                        <w:rPr>
                          <w:rFonts w:asciiTheme="minorHAnsi" w:hAnsiTheme="minorHAnsi" w:cstheme="minorHAnsi"/>
                          <w:color w:val="262262" w:themeColor="text2"/>
                          <w14:textOutline w14:w="9525" w14:cap="rnd" w14:cmpd="sng" w14:algn="ctr">
                            <w14:solidFill>
                              <w14:schemeClr w14:val="tx2"/>
                            </w14:solidFill>
                            <w14:prstDash w14:val="solid"/>
                            <w14:bevel/>
                          </w14:textOutline>
                        </w:rPr>
                      </w:pPr>
                      <w:r w:rsidRPr="00AE360F">
                        <w:rPr>
                          <w:rFonts w:ascii="Segoe UI Emoji" w:hAnsi="Segoe UI Emoji" w:cs="Segoe UI Emoji"/>
                          <w:color w:val="262262" w:themeColor="text2"/>
                          <w14:textOutline w14:w="9525" w14:cap="rnd" w14:cmpd="sng" w14:algn="ctr">
                            <w14:solidFill>
                              <w14:schemeClr w14:val="tx2"/>
                            </w14:solidFill>
                            <w14:prstDash w14:val="solid"/>
                            <w14:bevel/>
                          </w14:textOutline>
                        </w:rPr>
                        <w:t>🛒</w:t>
                      </w:r>
                      <w:r w:rsidR="00CA4594">
                        <w:rPr>
                          <w:rFonts w:ascii="Segoe UI Emoji" w:hAnsi="Segoe UI Emoji" w:cs="Segoe UI Emoji"/>
                          <w:color w:val="262262" w:themeColor="text2"/>
                          <w14:textOutline w14:w="9525" w14:cap="rnd" w14:cmpd="sng" w14:algn="ctr">
                            <w14:solidFill>
                              <w14:schemeClr w14:val="tx2"/>
                            </w14:solidFill>
                            <w14:prstDash w14:val="solid"/>
                            <w14:bevel/>
                          </w14:textOutline>
                        </w:rPr>
                        <w:t xml:space="preserve"> </w:t>
                      </w:r>
                      <w:r>
                        <w:rPr>
                          <w:rFonts w:ascii="Segoe UI Emoji" w:hAnsi="Segoe UI Emoji" w:cs="Segoe UI Emoji"/>
                          <w:color w:val="262262" w:themeColor="text2"/>
                          <w14:textOutline w14:w="9525" w14:cap="rnd" w14:cmpd="sng" w14:algn="ctr">
                            <w14:solidFill>
                              <w14:schemeClr w14:val="tx2"/>
                            </w14:solidFill>
                            <w14:prstDash w14:val="solid"/>
                            <w14:bevel/>
                          </w14:textOutline>
                        </w:rPr>
                        <w:t>protec</w:t>
                      </w:r>
                      <w:r>
                        <w:rPr>
                          <w:rFonts w:cs="Calibri"/>
                          <w:color w:val="262262" w:themeColor="text2"/>
                          <w14:textOutline w14:w="9525" w14:cap="rnd" w14:cmpd="sng" w14:algn="ctr">
                            <w14:solidFill>
                              <w14:schemeClr w14:val="tx2"/>
                            </w14:solidFill>
                            <w14:prstDash w14:val="solid"/>
                            <w14:bevel/>
                          </w14:textOutline>
                        </w:rPr>
                        <w:t xml:space="preserve">ția minorilor - </w:t>
                      </w:r>
                      <w:r w:rsidR="00C25B48" w:rsidRPr="00C25B48">
                        <w:rPr>
                          <w:rFonts w:asciiTheme="minorHAnsi" w:hAnsiTheme="minorHAnsi" w:cstheme="minorHAnsi"/>
                          <w:color w:val="262262" w:themeColor="text2"/>
                          <w14:textOutline w14:w="9525" w14:cap="rnd" w14:cmpd="sng" w14:algn="ctr">
                            <w14:solidFill>
                              <w14:schemeClr w14:val="tx2"/>
                            </w14:solidFill>
                            <w14:prstDash w14:val="solid"/>
                            <w14:bevel/>
                          </w14:textOutline>
                        </w:rPr>
                        <w:t xml:space="preserve">menținerea interdicției de vânzare către persoane sub 18 ani și extinderea acesteia asupra țigaretelor electronice </w:t>
                      </w:r>
                      <w:r w:rsidR="00C25B48" w:rsidRPr="00C25B48">
                        <w:rPr>
                          <w:rFonts w:asciiTheme="minorHAnsi" w:hAnsiTheme="minorHAnsi" w:cstheme="minorHAnsi"/>
                          <w:color w:val="262262" w:themeColor="text2"/>
                          <w14:textOutline w14:w="9525" w14:cap="rnd" w14:cmpd="sng" w14:algn="ctr">
                            <w14:solidFill>
                              <w14:schemeClr w14:val="tx2"/>
                            </w14:solidFill>
                            <w14:prstDash w14:val="solid"/>
                            <w14:bevel/>
                          </w14:textOutline>
                        </w:rPr>
                        <w:t>(inclusiv de tip vape), produselor din tutun încălzit și pliculețelor cu nicotină pentru uz oral (pouch-uri)</w:t>
                      </w:r>
                      <w:r w:rsidR="00CA4594" w:rsidRPr="00964FC9">
                        <w:rPr>
                          <w:rFonts w:asciiTheme="minorHAnsi" w:hAnsiTheme="minorHAnsi" w:cstheme="minorHAnsi"/>
                          <w:color w:val="262262" w:themeColor="text2"/>
                          <w14:textOutline w14:w="9525" w14:cap="rnd" w14:cmpd="sng" w14:algn="ctr">
                            <w14:solidFill>
                              <w14:schemeClr w14:val="tx2"/>
                            </w14:solidFill>
                            <w14:prstDash w14:val="solid"/>
                            <w14:bevel/>
                          </w14:textOutline>
                        </w:rPr>
                        <w:t>.</w:t>
                      </w:r>
                    </w:p>
                    <w:p w14:paraId="7D24EA2E" w14:textId="4812CFDE" w:rsidR="00CA4594" w:rsidRPr="00964FC9" w:rsidRDefault="00CA4594" w:rsidP="00AF7AAE">
                      <w:pPr>
                        <w:ind w:firstLine="0"/>
                        <w:rPr>
                          <w:rFonts w:asciiTheme="minorHAnsi" w:hAnsiTheme="minorHAnsi" w:cstheme="minorHAnsi"/>
                          <w:color w:val="262262" w:themeColor="text2"/>
                          <w14:textOutline w14:w="9525" w14:cap="rnd" w14:cmpd="sng" w14:algn="ctr">
                            <w14:solidFill>
                              <w14:schemeClr w14:val="tx2"/>
                            </w14:solidFill>
                            <w14:prstDash w14:val="solid"/>
                            <w14:bevel/>
                          </w14:textOutline>
                        </w:rPr>
                      </w:pPr>
                      <w:r w:rsidRPr="00964FC9">
                        <w:rPr>
                          <w:rFonts w:asciiTheme="minorHAnsi" w:hAnsiTheme="minorHAnsi" w:cstheme="minorHAnsi"/>
                          <w:b/>
                          <w:bCs/>
                          <w:color w:val="262262" w:themeColor="text2"/>
                          <w14:textOutline w14:w="9525" w14:cap="rnd" w14:cmpd="sng" w14:algn="ctr">
                            <w14:solidFill>
                              <w14:schemeClr w14:val="tx2"/>
                            </w14:solidFill>
                            <w14:prstDash w14:val="solid"/>
                            <w14:bevel/>
                          </w14:textOutline>
                        </w:rPr>
                        <w:t xml:space="preserve">    </w:t>
                      </w:r>
                      <w:r w:rsidRPr="00964FC9">
                        <w:rPr>
                          <w:rFonts w:ascii="Segoe UI Emoji" w:hAnsi="Segoe UI Emoji" w:cs="Segoe UI Emoji"/>
                          <w:b/>
                          <w:bCs/>
                          <w:color w:val="262262" w:themeColor="text2"/>
                          <w14:textOutline w14:w="9525" w14:cap="rnd" w14:cmpd="sng" w14:algn="ctr">
                            <w14:solidFill>
                              <w14:schemeClr w14:val="tx2"/>
                            </w14:solidFill>
                            <w14:prstDash w14:val="solid"/>
                            <w14:bevel/>
                          </w14:textOutline>
                        </w:rPr>
                        <w:t>🟠</w:t>
                      </w:r>
                      <w:r w:rsidRPr="00964FC9">
                        <w:rPr>
                          <w:rFonts w:asciiTheme="minorHAnsi" w:hAnsiTheme="minorHAnsi" w:cstheme="minorHAnsi"/>
                          <w:b/>
                          <w:bCs/>
                          <w:color w:val="262262" w:themeColor="text2"/>
                          <w14:textOutline w14:w="9525" w14:cap="rnd" w14:cmpd="sng" w14:algn="ctr">
                            <w14:solidFill>
                              <w14:schemeClr w14:val="tx2"/>
                            </w14:solidFill>
                            <w14:prstDash w14:val="solid"/>
                            <w14:bevel/>
                          </w14:textOutline>
                        </w:rPr>
                        <w:t xml:space="preserve"> </w:t>
                      </w:r>
                      <w:r w:rsidR="00C25B48" w:rsidRPr="00C25B48">
                        <w:rPr>
                          <w:rFonts w:asciiTheme="minorHAnsi" w:hAnsiTheme="minorHAnsi" w:cstheme="minorHAnsi"/>
                          <w:color w:val="262262" w:themeColor="text2"/>
                          <w14:textOutline w14:w="9525" w14:cap="rnd" w14:cmpd="sng" w14:algn="ctr">
                            <w14:solidFill>
                              <w14:schemeClr w14:val="tx2"/>
                            </w14:solidFill>
                            <w14:prstDash w14:val="solid"/>
                            <w14:bevel/>
                          </w14:textOutline>
                        </w:rPr>
                        <w:t>Legea nr. 90/2026</w:t>
                      </w:r>
                      <w:r w:rsidRPr="00267420">
                        <w:rPr>
                          <w:rFonts w:asciiTheme="minorHAnsi" w:hAnsiTheme="minorHAnsi" w:cstheme="minorHAnsi"/>
                          <w:color w:val="262262" w:themeColor="text2"/>
                          <w14:textOutline w14:w="9525" w14:cap="rnd" w14:cmpd="sng" w14:algn="ctr">
                            <w14:solidFill>
                              <w14:schemeClr w14:val="tx2"/>
                            </w14:solidFill>
                            <w14:prstDash w14:val="solid"/>
                            <w14:bevel/>
                          </w14:textOutline>
                        </w:rPr>
                        <w:t>:</w:t>
                      </w:r>
                      <w:r w:rsidRPr="00964FC9">
                        <w:rPr>
                          <w:rFonts w:asciiTheme="minorHAnsi" w:hAnsiTheme="minorHAnsi" w:cstheme="minorHAnsi"/>
                          <w:color w:val="262262" w:themeColor="text2"/>
                          <w14:textOutline w14:w="9525" w14:cap="rnd" w14:cmpd="sng" w14:algn="ctr">
                            <w14:solidFill>
                              <w14:schemeClr w14:val="tx2"/>
                            </w14:solidFill>
                            <w14:prstDash w14:val="solid"/>
                            <w14:bevel/>
                          </w14:textOutline>
                        </w:rPr>
                        <w:br/>
                      </w:r>
                      <w:r w:rsidR="00AE360F" w:rsidRPr="00AE360F">
                        <w:rPr>
                          <w:rFonts w:ascii="Segoe UI Emoji" w:hAnsi="Segoe UI Emoji" w:cs="Segoe UI Emoji"/>
                          <w:color w:val="262262" w:themeColor="text2"/>
                          <w14:textOutline w14:w="9525" w14:cap="rnd" w14:cmpd="sng" w14:algn="ctr">
                            <w14:solidFill>
                              <w14:schemeClr w14:val="tx2"/>
                            </w14:solidFill>
                            <w14:prstDash w14:val="solid"/>
                            <w14:bevel/>
                          </w14:textOutline>
                        </w:rPr>
                        <w:t>⚖️</w:t>
                      </w:r>
                      <w:r w:rsidRPr="00964FC9">
                        <w:rPr>
                          <w:rFonts w:asciiTheme="minorHAnsi" w:hAnsiTheme="minorHAnsi" w:cstheme="minorHAnsi"/>
                          <w:color w:val="262262" w:themeColor="text2"/>
                          <w14:textOutline w14:w="9525" w14:cap="rnd" w14:cmpd="sng" w14:algn="ctr">
                            <w14:solidFill>
                              <w14:schemeClr w14:val="tx2"/>
                            </w14:solidFill>
                            <w14:prstDash w14:val="solid"/>
                            <w14:bevel/>
                          </w14:textOutline>
                        </w:rPr>
                        <w:t xml:space="preserve"> </w:t>
                      </w:r>
                      <w:r w:rsidR="00C25B48" w:rsidRPr="00C25B48">
                        <w:rPr>
                          <w:rFonts w:asciiTheme="minorHAnsi" w:hAnsiTheme="minorHAnsi" w:cstheme="minorHAnsi"/>
                          <w:color w:val="262262" w:themeColor="text2"/>
                          <w14:textOutline w14:w="9525" w14:cap="rnd" w14:cmpd="sng" w14:algn="ctr">
                            <w14:solidFill>
                              <w14:schemeClr w14:val="tx2"/>
                            </w14:solidFill>
                            <w14:prstDash w14:val="solid"/>
                            <w14:bevel/>
                          </w14:textOutline>
                        </w:rPr>
                        <w:t>extinderea definițiilor legale pentru a include țigaretele electronice, produsele din tutun încălzit, dispozitivele electronice de livrare a nicotinei și pliculețele cu nicotină pentru uz oral</w:t>
                      </w:r>
                      <w:r w:rsidRPr="00964FC9">
                        <w:rPr>
                          <w:rFonts w:asciiTheme="minorHAnsi" w:hAnsiTheme="minorHAnsi" w:cstheme="minorHAnsi"/>
                          <w:color w:val="262262" w:themeColor="text2"/>
                          <w14:textOutline w14:w="9525" w14:cap="rnd" w14:cmpd="sng" w14:algn="ctr">
                            <w14:solidFill>
                              <w14:schemeClr w14:val="tx2"/>
                            </w14:solidFill>
                            <w14:prstDash w14:val="solid"/>
                            <w14:bevel/>
                          </w14:textOutline>
                        </w:rPr>
                        <w:br/>
                      </w:r>
                    </w:p>
                  </w:txbxContent>
                </v:textbox>
                <w10:wrap type="square"/>
              </v:shape>
            </w:pict>
          </mc:Fallback>
        </mc:AlternateContent>
      </w:r>
      <w:r w:rsidR="00FF039E" w:rsidRPr="00805077">
        <w:rPr>
          <w:b/>
          <w:bCs/>
          <w:i/>
          <w:iCs/>
        </w:rPr>
        <w:t>Legea nr. 90/2026</w:t>
      </w:r>
      <w:r w:rsidR="00FF039E" w:rsidRPr="00FF039E">
        <w:rPr>
          <w:i/>
          <w:iCs/>
        </w:rPr>
        <w:t xml:space="preserve"> </w:t>
      </w:r>
      <w:r w:rsidR="00FF039E" w:rsidRPr="00AF7AAE">
        <w:rPr>
          <w:b/>
          <w:bCs/>
          <w:i/>
          <w:iCs/>
        </w:rPr>
        <w:t>privind aprobarea Ordonanţei Guvernului nr. 23/2023 pentru modificarea şi completarea Legii nr. 201/2016 privind stabilirea condiţiilor pentru fabricarea, prezentarea şi vânzarea produselor din tutun şi a produselor conexe şi de modificare a Legii nr. 349/2002 pentru prevenirea şi combaterea efectelor consumului produselor din tutun</w:t>
      </w:r>
      <w:r w:rsidR="00AD0828" w:rsidRPr="00AF7AAE">
        <w:rPr>
          <w:b/>
          <w:bCs/>
        </w:rPr>
        <w:t xml:space="preserve">, </w:t>
      </w:r>
      <w:r w:rsidR="00AF7AAE">
        <w:rPr>
          <w:b/>
          <w:bCs/>
        </w:rPr>
        <w:t>(</w:t>
      </w:r>
      <w:r w:rsidR="00FF039E" w:rsidRPr="00AF7AAE">
        <w:rPr>
          <w:b/>
          <w:bCs/>
          <w:i/>
          <w:iCs/>
        </w:rPr>
        <w:t>în vigoare de la 12 iunie</w:t>
      </w:r>
      <w:r w:rsidR="00AF7AAE">
        <w:rPr>
          <w:b/>
          <w:bCs/>
          <w:i/>
          <w:iCs/>
        </w:rPr>
        <w:t xml:space="preserve"> 2026)</w:t>
      </w:r>
      <w:r w:rsidR="00AD0828" w:rsidRPr="00FF039E">
        <w:t xml:space="preserve">, actualizează cadrul legislativ privind produsele din tutun și produsele conexe, cu accent pe adaptarea reglementărilor la noile produse cu nicotină. </w:t>
      </w:r>
    </w:p>
    <w:p w14:paraId="25F563CB" w14:textId="00F7EAD0" w:rsidR="00AD0828" w:rsidRDefault="00AD0828" w:rsidP="00AD0828">
      <w:pPr>
        <w:ind w:firstLine="708"/>
        <w:jc w:val="both"/>
      </w:pPr>
      <w:r w:rsidRPr="00FF039E">
        <w:t>Principal</w:t>
      </w:r>
      <w:r w:rsidR="003B334F">
        <w:t>ele</w:t>
      </w:r>
      <w:r w:rsidRPr="00FF039E">
        <w:t xml:space="preserve"> nout</w:t>
      </w:r>
      <w:r w:rsidR="003B334F">
        <w:t>ăți</w:t>
      </w:r>
      <w:r w:rsidRPr="00FF039E">
        <w:t xml:space="preserve"> const</w:t>
      </w:r>
      <w:r w:rsidR="003B334F">
        <w:t>au</w:t>
      </w:r>
      <w:r w:rsidRPr="00FF039E">
        <w:t xml:space="preserve"> în extinderea definițiilor legale pentru a include țigaretele electronice, produsele din tutun încălzit, dispozitivele electronice de livrare a nicotinei și pliculețele cu nicotină pentru uz oral. Prin această modificare, legislația românească recunoaște explicit noile forme de consum care nu implică arderea tutunului, dar care pot induce dependență de nicotină.</w:t>
      </w:r>
    </w:p>
    <w:p w14:paraId="5B92A48C" w14:textId="77777777" w:rsidR="003B334F" w:rsidRDefault="003B334F" w:rsidP="00AD0828">
      <w:pPr>
        <w:ind w:firstLine="708"/>
        <w:jc w:val="both"/>
      </w:pPr>
    </w:p>
    <w:p w14:paraId="05845A23" w14:textId="77777777" w:rsidR="003B334F" w:rsidRDefault="003B334F" w:rsidP="00AD0828">
      <w:pPr>
        <w:ind w:firstLine="708"/>
        <w:jc w:val="both"/>
      </w:pPr>
    </w:p>
    <w:p w14:paraId="5D3E0146" w14:textId="77777777" w:rsidR="003B334F" w:rsidRDefault="003B334F" w:rsidP="00AD0828">
      <w:pPr>
        <w:ind w:firstLine="708"/>
        <w:jc w:val="both"/>
      </w:pPr>
    </w:p>
    <w:p w14:paraId="35E089EA" w14:textId="77777777" w:rsidR="003B334F" w:rsidRDefault="003B334F" w:rsidP="00AD0828">
      <w:pPr>
        <w:ind w:firstLine="708"/>
        <w:jc w:val="both"/>
      </w:pPr>
    </w:p>
    <w:p w14:paraId="13FD4219" w14:textId="59C65345" w:rsidR="003B334F" w:rsidRDefault="00B97B11" w:rsidP="00AD0828">
      <w:pPr>
        <w:ind w:firstLine="708"/>
        <w:jc w:val="both"/>
      </w:pPr>
      <w:r>
        <w:rPr>
          <w:noProof/>
        </w:rPr>
        <w:drawing>
          <wp:inline distT="0" distB="0" distL="0" distR="0" wp14:anchorId="5F98698F" wp14:editId="6877DF81">
            <wp:extent cx="4304030" cy="1584960"/>
            <wp:effectExtent l="0" t="0" r="1270" b="0"/>
            <wp:docPr id="741393091"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4304030" cy="1584960"/>
                    </a:xfrm>
                    <a:prstGeom prst="rect">
                      <a:avLst/>
                    </a:prstGeom>
                    <a:noFill/>
                  </pic:spPr>
                </pic:pic>
              </a:graphicData>
            </a:graphic>
          </wp:inline>
        </w:drawing>
      </w:r>
    </w:p>
    <w:p w14:paraId="4E9A5F0C" w14:textId="77777777" w:rsidR="003B334F" w:rsidRDefault="003B334F" w:rsidP="00AD0828">
      <w:pPr>
        <w:ind w:firstLine="708"/>
        <w:jc w:val="both"/>
      </w:pPr>
    </w:p>
    <w:p w14:paraId="459EA516" w14:textId="578E3704" w:rsidR="003B334F" w:rsidRDefault="00B97B11" w:rsidP="00B97B11">
      <w:pPr>
        <w:pStyle w:val="Caption"/>
        <w:jc w:val="center"/>
      </w:pPr>
      <w:r>
        <w:t xml:space="preserve">Figura </w:t>
      </w:r>
      <w:fldSimple w:instr=" STYLEREF 1 \s ">
        <w:r w:rsidR="0080370C">
          <w:rPr>
            <w:noProof/>
          </w:rPr>
          <w:t>IV</w:t>
        </w:r>
      </w:fldSimple>
      <w:r w:rsidR="0080370C">
        <w:t>.</w:t>
      </w:r>
      <w:fldSimple w:instr=" SEQ Figura \* ARABIC \s 1 ">
        <w:r w:rsidR="0080370C">
          <w:rPr>
            <w:noProof/>
          </w:rPr>
          <w:t>2</w:t>
        </w:r>
      </w:fldSimple>
      <w:r w:rsidRPr="00B97B11">
        <w:t xml:space="preserve"> Piloni legislativi fundamentali în România</w:t>
      </w:r>
    </w:p>
    <w:p w14:paraId="687FEEC0" w14:textId="77777777" w:rsidR="003B334F" w:rsidRDefault="003B334F" w:rsidP="00AD0828">
      <w:pPr>
        <w:ind w:firstLine="708"/>
        <w:jc w:val="both"/>
      </w:pPr>
    </w:p>
    <w:p w14:paraId="21649960" w14:textId="22AAF645" w:rsidR="00CD3152" w:rsidRPr="006E0160" w:rsidRDefault="00CD3152" w:rsidP="00CD3152">
      <w:pPr>
        <w:pStyle w:val="Heading1"/>
        <w:tabs>
          <w:tab w:val="clear" w:pos="142"/>
        </w:tabs>
        <w:spacing w:line="240" w:lineRule="auto"/>
      </w:pPr>
      <w:bookmarkStart w:id="99" w:name="_Toc232660575"/>
      <w:r w:rsidRPr="006E0160">
        <w:t>Identificarea și analiza</w:t>
      </w:r>
      <w:r>
        <w:t xml:space="preserve"> suplimentară a</w:t>
      </w:r>
      <w:r w:rsidRPr="006E0160">
        <w:t xml:space="preserve"> grupurilor țintă în România</w:t>
      </w:r>
      <w:bookmarkEnd w:id="99"/>
    </w:p>
    <w:p w14:paraId="2B5CCCEC" w14:textId="77777777" w:rsidR="00CD3152" w:rsidRDefault="00CD3152" w:rsidP="001A1C0B">
      <w:pPr>
        <w:pStyle w:val="Heading2"/>
      </w:pPr>
      <w:bookmarkStart w:id="100" w:name="_Toc232660576"/>
      <w:r w:rsidRPr="006E0160">
        <w:t>Consumul de produse de tutun la populația 15</w:t>
      </w:r>
      <w:r>
        <w:t xml:space="preserve"> -24 de ani</w:t>
      </w:r>
      <w:bookmarkEnd w:id="100"/>
    </w:p>
    <w:p w14:paraId="222E336E" w14:textId="77777777" w:rsidR="00CD3152" w:rsidRPr="003A1E75" w:rsidRDefault="00CD3152" w:rsidP="00CD3152"/>
    <w:p w14:paraId="6177D78E" w14:textId="77777777" w:rsidR="00CD3152" w:rsidRPr="001B5E12" w:rsidRDefault="00CD3152" w:rsidP="00CD3152">
      <w:pPr>
        <w:pStyle w:val="Heading3"/>
      </w:pPr>
      <w:bookmarkStart w:id="101" w:name="_Toc232660577"/>
      <w:r w:rsidRPr="001B5E12">
        <w:t>Consumul de produse de tutun convenționale la populația 15-24 de ani – EHIS 2019</w:t>
      </w:r>
      <w:bookmarkEnd w:id="101"/>
    </w:p>
    <w:p w14:paraId="4D953F32" w14:textId="77777777" w:rsidR="00CD3152" w:rsidRDefault="00CD3152" w:rsidP="00CD3152">
      <w:pPr>
        <w:keepNext/>
        <w:jc w:val="center"/>
      </w:pPr>
      <w:r>
        <w:rPr>
          <w:noProof/>
        </w:rPr>
        <w:drawing>
          <wp:inline distT="0" distB="0" distL="0" distR="0" wp14:anchorId="1AD2FE46" wp14:editId="2B7170D6">
            <wp:extent cx="5040000" cy="2520000"/>
            <wp:effectExtent l="0" t="0" r="8255" b="13970"/>
            <wp:docPr id="1769275540" name="Chart 1">
              <a:extLst xmlns:a="http://schemas.openxmlformats.org/drawingml/2006/main">
                <a:ext uri="{FF2B5EF4-FFF2-40B4-BE49-F238E27FC236}">
                  <a16:creationId xmlns:a16="http://schemas.microsoft.com/office/drawing/2014/main" id="{3E4CB04E-8CAF-4677-A9E5-1663147133D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2"/>
              </a:graphicData>
            </a:graphic>
          </wp:inline>
        </w:drawing>
      </w:r>
    </w:p>
    <w:p w14:paraId="71A64E7B" w14:textId="118E16B5" w:rsidR="00CD3152" w:rsidRDefault="00CD3152" w:rsidP="00CD3152">
      <w:pPr>
        <w:pStyle w:val="Caption"/>
        <w:jc w:val="center"/>
        <w:rPr>
          <w:color w:val="000000"/>
          <w:lang w:eastAsia="ro-RO" w:bidi="ro-RO"/>
        </w:rPr>
      </w:pPr>
      <w:bookmarkStart w:id="102" w:name="_Ref211404651"/>
      <w:r>
        <w:t xml:space="preserve">Figura </w:t>
      </w:r>
      <w:fldSimple w:instr=" STYLEREF 1 \s ">
        <w:r w:rsidR="0080370C">
          <w:rPr>
            <w:noProof/>
          </w:rPr>
          <w:t>V</w:t>
        </w:r>
      </w:fldSimple>
      <w:r w:rsidR="0080370C">
        <w:t>.</w:t>
      </w:r>
      <w:fldSimple w:instr=" SEQ Figura \* ARABIC \s 1 ">
        <w:r w:rsidR="0080370C">
          <w:rPr>
            <w:noProof/>
          </w:rPr>
          <w:t>1</w:t>
        </w:r>
      </w:fldSimple>
      <w:bookmarkEnd w:id="102"/>
      <w:r w:rsidRPr="00CB5B4F">
        <w:t xml:space="preserve"> Frecvența consumului de tutun, zilnic și ocazional la populația rezidentă de 15 – 24 ani</w:t>
      </w:r>
      <w:r>
        <w:t xml:space="preserve"> din Rom#nia</w:t>
      </w:r>
      <w:r w:rsidRPr="00CB5B4F">
        <w:t>,</w:t>
      </w:r>
      <w:r>
        <w:t xml:space="preserve"> </w:t>
      </w:r>
      <w:r w:rsidRPr="00CB5B4F">
        <w:t>Sursa:</w:t>
      </w:r>
      <w:r>
        <w:t xml:space="preserve"> </w:t>
      </w:r>
      <w:r w:rsidRPr="006E0160">
        <w:t>EHIS 2019</w:t>
      </w:r>
      <w:r>
        <w:fldChar w:fldCharType="begin"/>
      </w:r>
      <w:r w:rsidR="0009552B">
        <w:instrText xml:space="preserve"> ADDIN EN.CITE &lt;EndNote&gt;&lt;Cite&gt;&lt;Author&gt;INS&lt;/Author&gt;&lt;Year&gt;2021&lt;/Year&gt;&lt;RecNum&gt;9227&lt;/RecNum&gt;&lt;DisplayText&gt;&lt;style size="10"&gt;[3]&lt;/style&gt;&lt;/DisplayText&gt;&lt;record&gt;&lt;rec-number&gt;9227&lt;/rec-number&gt;&lt;foreign-keys&gt;&lt;key app="EN" db-id="fw0prtesnvf55cepezbx255wwza5zw0ssatt" timestamp="1759716798" guid="36a23b9d-60d3-4874-abc0-31c6c4eb1a87"&gt;9227&lt;/key&gt;&lt;/foreign-keys&gt;&lt;ref-type name="Report"&gt;27&lt;/ref-type&gt;&lt;contributors&gt;&lt;authors&gt;&lt;author&gt;&lt;style face="normal" font="default" charset="238" size="100%"&gt;INS&lt;/style&gt;&lt;/author&gt;&lt;/authors&gt;&lt;secondary-authors&gt;&lt;author&gt;&lt;style face="normal" font="default" charset="238" size="100%"&gt;INS&lt;/style&gt;&lt;/author&gt;&lt;/secondary-authors&gt;&lt;/contributors&gt;&lt;titles&gt;&lt;title&gt;&lt;style face="normal" font="default" charset="238" size="100%"&gt;Starea de sănătate a populației din Rom&lt;/style&gt;&lt;style face="normal" font="default" size="100%"&gt;â&lt;/style&gt;&lt;style face="normal" font="default" charset="238" size="100%"&gt;nia -2019&lt;/style&gt;&lt;/title&gt;&lt;/titles&gt;&lt;dates&gt;&lt;year&gt;&lt;style face="normal" font="default" charset="238" size="100%"&gt;2021&lt;/style&gt;&lt;/year&gt;&lt;/dates&gt;&lt;label&gt;&lt;style face="normal" font="default" charset="238" size="100%"&gt;INS Starea de sănătate a populației din Rom&lt;/style&gt;&lt;style face="normal" font="default" size="100%"&gt;â&lt;/style&gt;&lt;style face="normal" font="default" charset="238" size="100%"&gt;nia -2019&lt;/style&gt;&lt;/label&gt;&lt;urls&gt;&lt;related-urls&gt;&lt;url&gt;https://insse.ro/cms/sites/default/files/field/publicatii/starea_de_sanatate_a_populatiei_din_romania_2019.pdf&lt;/url&gt;&lt;/related-urls&gt;&lt;/urls&gt;&lt;/record&gt;&lt;/Cite&gt;&lt;/EndNote&gt;</w:instrText>
      </w:r>
      <w:r>
        <w:fldChar w:fldCharType="separate"/>
      </w:r>
      <w:r w:rsidR="0009552B">
        <w:rPr>
          <w:noProof/>
        </w:rPr>
        <w:t>[3]</w:t>
      </w:r>
      <w:r>
        <w:fldChar w:fldCharType="end"/>
      </w:r>
    </w:p>
    <w:p w14:paraId="141DC56A" w14:textId="77777777" w:rsidR="00CD3152" w:rsidRPr="006E0160" w:rsidRDefault="00CD3152" w:rsidP="00CD3152">
      <w:pPr>
        <w:ind w:firstLine="708"/>
        <w:jc w:val="both"/>
        <w:rPr>
          <w:lang w:eastAsia="ro-RO" w:bidi="ro-RO"/>
        </w:rPr>
      </w:pPr>
      <w:r>
        <w:rPr>
          <w:lang w:eastAsia="ro-RO" w:bidi="ro-RO"/>
        </w:rPr>
        <w:t>Conform A</w:t>
      </w:r>
      <w:r w:rsidRPr="003A1E75">
        <w:rPr>
          <w:lang w:eastAsia="ro-RO" w:bidi="ro-RO"/>
        </w:rPr>
        <w:t>nchet</w:t>
      </w:r>
      <w:r>
        <w:rPr>
          <w:lang w:eastAsia="ro-RO" w:bidi="ro-RO"/>
        </w:rPr>
        <w:t>ei</w:t>
      </w:r>
      <w:r w:rsidRPr="003A1E75">
        <w:rPr>
          <w:lang w:eastAsia="ro-RO" w:bidi="ro-RO"/>
        </w:rPr>
        <w:t xml:space="preserve"> asupra sănătății realizată prin interviu (SANPOP) în anul 2019</w:t>
      </w:r>
      <w:r>
        <w:rPr>
          <w:lang w:eastAsia="ro-RO" w:bidi="ro-RO"/>
        </w:rPr>
        <w:t>, care</w:t>
      </w:r>
      <w:r w:rsidRPr="003A1E75">
        <w:rPr>
          <w:lang w:eastAsia="ro-RO" w:bidi="ro-RO"/>
        </w:rPr>
        <w:t xml:space="preserve"> reprezintă implementarea în sistemul statistic românesc a celei de a treia Anchete Europene de Sănătate prin Interviu (EHIS),</w:t>
      </w:r>
      <w:r>
        <w:rPr>
          <w:lang w:eastAsia="ro-RO" w:bidi="ro-RO"/>
        </w:rPr>
        <w:t xml:space="preserve"> aproape 1/5</w:t>
      </w:r>
      <w:r w:rsidRPr="006E0160">
        <w:rPr>
          <w:lang w:eastAsia="ro-RO" w:bidi="ro-RO"/>
        </w:rPr>
        <w:t xml:space="preserve"> din populația rezidentă de 15</w:t>
      </w:r>
      <w:r>
        <w:rPr>
          <w:lang w:eastAsia="ro-RO" w:bidi="ro-RO"/>
        </w:rPr>
        <w:t xml:space="preserve"> - 24 </w:t>
      </w:r>
      <w:r w:rsidRPr="006E0160">
        <w:rPr>
          <w:lang w:eastAsia="ro-RO" w:bidi="ro-RO"/>
        </w:rPr>
        <w:t xml:space="preserve"> ani</w:t>
      </w:r>
      <w:r>
        <w:rPr>
          <w:lang w:eastAsia="ro-RO" w:bidi="ro-RO"/>
        </w:rPr>
        <w:t xml:space="preserve"> fumează</w:t>
      </w:r>
      <w:r w:rsidRPr="006E0160">
        <w:rPr>
          <w:lang w:eastAsia="ro-RO" w:bidi="ro-RO"/>
        </w:rPr>
        <w:t>, 1</w:t>
      </w:r>
      <w:r>
        <w:rPr>
          <w:lang w:eastAsia="ro-RO" w:bidi="ro-RO"/>
        </w:rPr>
        <w:t>0</w:t>
      </w:r>
      <w:r w:rsidRPr="006E0160">
        <w:rPr>
          <w:lang w:eastAsia="ro-RO" w:bidi="ro-RO"/>
        </w:rPr>
        <w:t>% din aceasta fiind fumători zilnici</w:t>
      </w:r>
      <w:r>
        <w:rPr>
          <w:lang w:eastAsia="ro-RO" w:bidi="ro-RO"/>
        </w:rPr>
        <w:t xml:space="preserve"> (</w:t>
      </w:r>
      <w:r>
        <w:rPr>
          <w:lang w:eastAsia="ro-RO" w:bidi="ro-RO"/>
        </w:rPr>
        <w:fldChar w:fldCharType="begin"/>
      </w:r>
      <w:r>
        <w:rPr>
          <w:lang w:eastAsia="ro-RO" w:bidi="ro-RO"/>
        </w:rPr>
        <w:instrText xml:space="preserve"> REF _Ref211404651 \h </w:instrText>
      </w:r>
      <w:r>
        <w:rPr>
          <w:lang w:eastAsia="ro-RO" w:bidi="ro-RO"/>
        </w:rPr>
      </w:r>
      <w:r>
        <w:rPr>
          <w:lang w:eastAsia="ro-RO" w:bidi="ro-RO"/>
        </w:rPr>
        <w:fldChar w:fldCharType="separate"/>
      </w:r>
      <w:r>
        <w:t xml:space="preserve">Figura </w:t>
      </w:r>
      <w:r>
        <w:rPr>
          <w:noProof/>
        </w:rPr>
        <w:t>V</w:t>
      </w:r>
      <w:r>
        <w:t>.</w:t>
      </w:r>
      <w:r>
        <w:rPr>
          <w:noProof/>
        </w:rPr>
        <w:t>1</w:t>
      </w:r>
      <w:r>
        <w:rPr>
          <w:lang w:eastAsia="ro-RO" w:bidi="ro-RO"/>
        </w:rPr>
        <w:fldChar w:fldCharType="end"/>
      </w:r>
      <w:r>
        <w:rPr>
          <w:lang w:eastAsia="ro-RO" w:bidi="ro-RO"/>
        </w:rPr>
        <w:t>)</w:t>
      </w:r>
      <w:r w:rsidRPr="006E0160">
        <w:rPr>
          <w:lang w:eastAsia="ro-RO" w:bidi="ro-RO"/>
        </w:rPr>
        <w:t xml:space="preserve">. </w:t>
      </w:r>
    </w:p>
    <w:tbl>
      <w:tblPr>
        <w:tblW w:w="0" w:type="auto"/>
        <w:tblLook w:val="04A0" w:firstRow="1" w:lastRow="0" w:firstColumn="1" w:lastColumn="0" w:noHBand="0" w:noVBand="1"/>
      </w:tblPr>
      <w:tblGrid>
        <w:gridCol w:w="4691"/>
        <w:gridCol w:w="4521"/>
      </w:tblGrid>
      <w:tr w:rsidR="00CD3152" w:rsidRPr="006E0160" w14:paraId="56DC521C" w14:textId="77777777" w:rsidTr="00F032B4">
        <w:tc>
          <w:tcPr>
            <w:tcW w:w="4776" w:type="dxa"/>
          </w:tcPr>
          <w:p w14:paraId="552B2961" w14:textId="77777777" w:rsidR="00CD3152" w:rsidRPr="006E0160" w:rsidRDefault="00CD3152" w:rsidP="00F032B4">
            <w:pPr>
              <w:keepNext/>
              <w:jc w:val="both"/>
            </w:pPr>
            <w:r>
              <w:rPr>
                <w:noProof/>
              </w:rPr>
              <w:lastRenderedPageBreak/>
              <w:drawing>
                <wp:inline distT="0" distB="0" distL="0" distR="0" wp14:anchorId="3A029E6E" wp14:editId="1184AFE4">
                  <wp:extent cx="2880000" cy="2160000"/>
                  <wp:effectExtent l="0" t="0" r="15875" b="12065"/>
                  <wp:docPr id="870505945" name="Chart 1">
                    <a:extLst xmlns:a="http://schemas.openxmlformats.org/drawingml/2006/main">
                      <a:ext uri="{FF2B5EF4-FFF2-40B4-BE49-F238E27FC236}">
                        <a16:creationId xmlns:a16="http://schemas.microsoft.com/office/drawing/2014/main" id="{DAB23263-248F-4401-90D4-6EF429E3D24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3"/>
                    </a:graphicData>
                  </a:graphic>
                </wp:inline>
              </w:drawing>
            </w:r>
          </w:p>
          <w:p w14:paraId="73DF5F14" w14:textId="03A25CD9" w:rsidR="00CD3152" w:rsidRPr="006E0160" w:rsidRDefault="00CD3152" w:rsidP="00F032B4">
            <w:pPr>
              <w:pStyle w:val="Caption"/>
              <w:jc w:val="both"/>
              <w:rPr>
                <w:color w:val="000000"/>
                <w:lang w:eastAsia="ro-RO" w:bidi="ro-RO"/>
              </w:rPr>
            </w:pPr>
            <w:bookmarkStart w:id="103" w:name="_Ref211577417"/>
            <w:r w:rsidRPr="006E0160">
              <w:t xml:space="preserve">Figura </w:t>
            </w:r>
            <w:fldSimple w:instr=" STYLEREF 1 \s ">
              <w:r w:rsidR="0080370C">
                <w:rPr>
                  <w:noProof/>
                </w:rPr>
                <w:t>V</w:t>
              </w:r>
            </w:fldSimple>
            <w:r w:rsidR="0080370C">
              <w:t>.</w:t>
            </w:r>
            <w:fldSimple w:instr=" SEQ Figura \* ARABIC \s 1 ">
              <w:r w:rsidR="0080370C">
                <w:rPr>
                  <w:noProof/>
                </w:rPr>
                <w:t>2</w:t>
              </w:r>
            </w:fldSimple>
            <w:bookmarkEnd w:id="103"/>
            <w:r w:rsidRPr="006E0160">
              <w:t xml:space="preserve"> Frecvența consumului de tutun, zilnic și ocazional la populația rezidentă de 15</w:t>
            </w:r>
            <w:r>
              <w:t>-24 de ani din România</w:t>
            </w:r>
            <w:r w:rsidRPr="006E0160">
              <w:t>,</w:t>
            </w:r>
            <w:r>
              <w:t xml:space="preserve"> </w:t>
            </w:r>
            <w:r w:rsidRPr="006E0160">
              <w:t xml:space="preserve">pe </w:t>
            </w:r>
            <w:r>
              <w:t>genuri</w:t>
            </w:r>
            <w:r w:rsidRPr="001A1C0B">
              <w:rPr>
                <w:lang w:val="fr-FR"/>
              </w:rPr>
              <w:t>;</w:t>
            </w:r>
            <w:r w:rsidRPr="006E0160">
              <w:t xml:space="preserve"> Sursa: EHIS 2019</w:t>
            </w:r>
            <w:r>
              <w:fldChar w:fldCharType="begin"/>
            </w:r>
            <w:r w:rsidR="0009552B">
              <w:instrText xml:space="preserve"> ADDIN EN.CITE &lt;EndNote&gt;&lt;Cite&gt;&lt;Author&gt;INS&lt;/Author&gt;&lt;Year&gt;2021&lt;/Year&gt;&lt;RecNum&gt;9227&lt;/RecNum&gt;&lt;DisplayText&gt;&lt;style size="10"&gt;[3]&lt;/style&gt;&lt;/DisplayText&gt;&lt;record&gt;&lt;rec-number&gt;9227&lt;/rec-number&gt;&lt;foreign-keys&gt;&lt;key app="EN" db-id="fw0prtesnvf55cepezbx255wwza5zw0ssatt" timestamp="1759716798" guid="36a23b9d-60d3-4874-abc0-31c6c4eb1a87"&gt;9227&lt;/key&gt;&lt;/foreign-keys&gt;&lt;ref-type name="Report"&gt;27&lt;/ref-type&gt;&lt;contributors&gt;&lt;authors&gt;&lt;author&gt;&lt;style face="normal" font="default" charset="238" size="100%"&gt;INS&lt;/style&gt;&lt;/author&gt;&lt;/authors&gt;&lt;secondary-authors&gt;&lt;author&gt;&lt;style face="normal" font="default" charset="238" size="100%"&gt;INS&lt;/style&gt;&lt;/author&gt;&lt;/secondary-authors&gt;&lt;/contributors&gt;&lt;titles&gt;&lt;title&gt;&lt;style face="normal" font="default" charset="238" size="100%"&gt;Starea de sănătate a populației din Rom&lt;/style&gt;&lt;style face="normal" font="default" size="100%"&gt;â&lt;/style&gt;&lt;style face="normal" font="default" charset="238" size="100%"&gt;nia -2019&lt;/style&gt;&lt;/title&gt;&lt;/titles&gt;&lt;dates&gt;&lt;year&gt;&lt;style face="normal" font="default" charset="238" size="100%"&gt;2021&lt;/style&gt;&lt;/year&gt;&lt;/dates&gt;&lt;label&gt;&lt;style face="normal" font="default" charset="238" size="100%"&gt;INS Starea de sănătate a populației din Rom&lt;/style&gt;&lt;style face="normal" font="default" size="100%"&gt;â&lt;/style&gt;&lt;style face="normal" font="default" charset="238" size="100%"&gt;nia -2019&lt;/style&gt;&lt;/label&gt;&lt;urls&gt;&lt;related-urls&gt;&lt;url&gt;https://insse.ro/cms/sites/default/files/field/publicatii/starea_de_sanatate_a_populatiei_din_romania_2019.pdf&lt;/url&gt;&lt;/related-urls&gt;&lt;/urls&gt;&lt;/record&gt;&lt;/Cite&gt;&lt;/EndNote&gt;</w:instrText>
            </w:r>
            <w:r>
              <w:fldChar w:fldCharType="separate"/>
            </w:r>
            <w:r w:rsidR="0009552B">
              <w:rPr>
                <w:noProof/>
              </w:rPr>
              <w:t>[3]</w:t>
            </w:r>
            <w:r>
              <w:fldChar w:fldCharType="end"/>
            </w:r>
          </w:p>
        </w:tc>
        <w:tc>
          <w:tcPr>
            <w:tcW w:w="4426" w:type="dxa"/>
          </w:tcPr>
          <w:p w14:paraId="5B4F713C" w14:textId="77777777" w:rsidR="00CD3152" w:rsidRPr="006E0160" w:rsidRDefault="00CD3152" w:rsidP="00F032B4">
            <w:pPr>
              <w:keepNext/>
              <w:jc w:val="both"/>
            </w:pPr>
            <w:r>
              <w:rPr>
                <w:noProof/>
              </w:rPr>
              <w:drawing>
                <wp:inline distT="0" distB="0" distL="0" distR="0" wp14:anchorId="2A5C6DB5" wp14:editId="36E99537">
                  <wp:extent cx="2773680" cy="2159635"/>
                  <wp:effectExtent l="0" t="0" r="7620" b="12065"/>
                  <wp:docPr id="1734050662" name="Chart 1">
                    <a:extLst xmlns:a="http://schemas.openxmlformats.org/drawingml/2006/main">
                      <a:ext uri="{FF2B5EF4-FFF2-40B4-BE49-F238E27FC236}">
                        <a16:creationId xmlns:a16="http://schemas.microsoft.com/office/drawing/2014/main" id="{B7740EE8-3F3E-4FDF-A933-9B51EC476A3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4"/>
                    </a:graphicData>
                  </a:graphic>
                </wp:inline>
              </w:drawing>
            </w:r>
          </w:p>
          <w:p w14:paraId="11B7E517" w14:textId="0D595968" w:rsidR="00CD3152" w:rsidRPr="006E0160" w:rsidRDefault="00CD3152" w:rsidP="00F032B4">
            <w:pPr>
              <w:pStyle w:val="Caption"/>
              <w:jc w:val="both"/>
              <w:rPr>
                <w:color w:val="000000"/>
                <w:lang w:eastAsia="ro-RO" w:bidi="ro-RO"/>
              </w:rPr>
            </w:pPr>
            <w:bookmarkStart w:id="104" w:name="_Ref211577466"/>
            <w:r w:rsidRPr="006E0160">
              <w:t xml:space="preserve">Figura </w:t>
            </w:r>
            <w:fldSimple w:instr=" STYLEREF 1 \s ">
              <w:r w:rsidR="0080370C">
                <w:rPr>
                  <w:noProof/>
                </w:rPr>
                <w:t>V</w:t>
              </w:r>
            </w:fldSimple>
            <w:r w:rsidR="0080370C">
              <w:t>.</w:t>
            </w:r>
            <w:fldSimple w:instr=" SEQ Figura \* ARABIC \s 1 ">
              <w:r w:rsidR="0080370C">
                <w:rPr>
                  <w:noProof/>
                </w:rPr>
                <w:t>3</w:t>
              </w:r>
            </w:fldSimple>
            <w:bookmarkEnd w:id="104"/>
            <w:r w:rsidRPr="006E0160">
              <w:t xml:space="preserve"> Frecvența consumului de tutun, zilnic și ocazional la populația rezidentă </w:t>
            </w:r>
            <w:r w:rsidRPr="00E01E83">
              <w:t>15-24 de ani</w:t>
            </w:r>
            <w:r>
              <w:t xml:space="preserve"> din România</w:t>
            </w:r>
            <w:r w:rsidRPr="006E0160">
              <w:t>,</w:t>
            </w:r>
            <w:r>
              <w:t xml:space="preserve"> </w:t>
            </w:r>
            <w:r w:rsidRPr="006E0160">
              <w:t>pe medii de rezidență</w:t>
            </w:r>
            <w:r>
              <w:t>;</w:t>
            </w:r>
            <w:r w:rsidRPr="006E0160">
              <w:t xml:space="preserve"> Sursa: EHIS 2019</w:t>
            </w:r>
            <w:r>
              <w:fldChar w:fldCharType="begin"/>
            </w:r>
            <w:r w:rsidR="0009552B">
              <w:instrText xml:space="preserve"> ADDIN EN.CITE &lt;EndNote&gt;&lt;Cite&gt;&lt;Author&gt;INS&lt;/Author&gt;&lt;Year&gt;2021&lt;/Year&gt;&lt;RecNum&gt;9227&lt;/RecNum&gt;&lt;DisplayText&gt;&lt;style size="10"&gt;[3]&lt;/style&gt;&lt;/DisplayText&gt;&lt;record&gt;&lt;rec-number&gt;9227&lt;/rec-number&gt;&lt;foreign-keys&gt;&lt;key app="EN" db-id="fw0prtesnvf55cepezbx255wwza5zw0ssatt" timestamp="1759716798" guid="36a23b9d-60d3-4874-abc0-31c6c4eb1a87"&gt;9227&lt;/key&gt;&lt;/foreign-keys&gt;&lt;ref-type name="Report"&gt;27&lt;/ref-type&gt;&lt;contributors&gt;&lt;authors&gt;&lt;author&gt;&lt;style face="normal" font="default" charset="238" size="100%"&gt;INS&lt;/style&gt;&lt;/author&gt;&lt;/authors&gt;&lt;secondary-authors&gt;&lt;author&gt;&lt;style face="normal" font="default" charset="238" size="100%"&gt;INS&lt;/style&gt;&lt;/author&gt;&lt;/secondary-authors&gt;&lt;/contributors&gt;&lt;titles&gt;&lt;title&gt;&lt;style face="normal" font="default" charset="238" size="100%"&gt;Starea de sănătate a populației din Rom&lt;/style&gt;&lt;style face="normal" font="default" size="100%"&gt;â&lt;/style&gt;&lt;style face="normal" font="default" charset="238" size="100%"&gt;nia -2019&lt;/style&gt;&lt;/title&gt;&lt;/titles&gt;&lt;dates&gt;&lt;year&gt;&lt;style face="normal" font="default" charset="238" size="100%"&gt;2021&lt;/style&gt;&lt;/year&gt;&lt;/dates&gt;&lt;label&gt;&lt;style face="normal" font="default" charset="238" size="100%"&gt;INS Starea de sănătate a populației din Rom&lt;/style&gt;&lt;style face="normal" font="default" size="100%"&gt;â&lt;/style&gt;&lt;style face="normal" font="default" charset="238" size="100%"&gt;nia -2019&lt;/style&gt;&lt;/label&gt;&lt;urls&gt;&lt;related-urls&gt;&lt;url&gt;https://insse.ro/cms/sites/default/files/field/publicatii/starea_de_sanatate_a_populatiei_din_romania_2019.pdf&lt;/url&gt;&lt;/related-urls&gt;&lt;/urls&gt;&lt;/record&gt;&lt;/Cite&gt;&lt;/EndNote&gt;</w:instrText>
            </w:r>
            <w:r>
              <w:fldChar w:fldCharType="separate"/>
            </w:r>
            <w:r w:rsidR="0009552B">
              <w:rPr>
                <w:noProof/>
              </w:rPr>
              <w:t>[3]</w:t>
            </w:r>
            <w:r>
              <w:fldChar w:fldCharType="end"/>
            </w:r>
          </w:p>
        </w:tc>
      </w:tr>
    </w:tbl>
    <w:p w14:paraId="5D46E332" w14:textId="77777777" w:rsidR="00CD3152" w:rsidRDefault="00CD3152" w:rsidP="00CD3152">
      <w:pPr>
        <w:ind w:firstLine="708"/>
        <w:jc w:val="both"/>
        <w:rPr>
          <w:lang w:eastAsia="ro-RO" w:bidi="ro-RO"/>
        </w:rPr>
      </w:pPr>
    </w:p>
    <w:p w14:paraId="0386EC01" w14:textId="77777777" w:rsidR="00CD3152" w:rsidRDefault="00CD3152" w:rsidP="00CD3152">
      <w:pPr>
        <w:ind w:firstLine="708"/>
        <w:jc w:val="both"/>
        <w:rPr>
          <w:lang w:eastAsia="ro-RO" w:bidi="ro-RO"/>
        </w:rPr>
      </w:pPr>
      <w:r>
        <w:rPr>
          <w:lang w:eastAsia="ro-RO" w:bidi="ro-RO"/>
        </w:rPr>
        <w:t>La grupa de vârstă 15-24 de ani, p</w:t>
      </w:r>
      <w:r w:rsidRPr="006E0160">
        <w:rPr>
          <w:lang w:eastAsia="ro-RO" w:bidi="ro-RO"/>
        </w:rPr>
        <w:t xml:space="preserve">onderea fumătorilor zilnici de sex masculin este de </w:t>
      </w:r>
      <w:r>
        <w:rPr>
          <w:lang w:eastAsia="ro-RO" w:bidi="ro-RO"/>
        </w:rPr>
        <w:t>14</w:t>
      </w:r>
      <w:r w:rsidRPr="006E0160">
        <w:rPr>
          <w:lang w:eastAsia="ro-RO" w:bidi="ro-RO"/>
        </w:rPr>
        <w:t>,4</w:t>
      </w:r>
      <w:r>
        <w:rPr>
          <w:lang w:eastAsia="ro-RO" w:bidi="ro-RO"/>
        </w:rPr>
        <w:t>9</w:t>
      </w:r>
      <w:r w:rsidRPr="006E0160">
        <w:rPr>
          <w:lang w:eastAsia="ro-RO" w:bidi="ro-RO"/>
        </w:rPr>
        <w:t xml:space="preserve">%, cu </w:t>
      </w:r>
      <w:r>
        <w:rPr>
          <w:lang w:eastAsia="ro-RO" w:bidi="ro-RO"/>
        </w:rPr>
        <w:t>aproximativ 2</w:t>
      </w:r>
      <w:r w:rsidRPr="006E0160">
        <w:rPr>
          <w:lang w:eastAsia="ro-RO" w:bidi="ro-RO"/>
        </w:rPr>
        <w:t xml:space="preserve"> puncte procentuale mai mult decât ponderea populației feminine care fumează zilnic</w:t>
      </w:r>
      <w:r>
        <w:rPr>
          <w:lang w:eastAsia="ro-RO" w:bidi="ro-RO"/>
        </w:rPr>
        <w:t xml:space="preserve"> (</w:t>
      </w:r>
      <w:r>
        <w:rPr>
          <w:lang w:eastAsia="ro-RO" w:bidi="ro-RO"/>
        </w:rPr>
        <w:fldChar w:fldCharType="begin"/>
      </w:r>
      <w:r>
        <w:rPr>
          <w:lang w:eastAsia="ro-RO" w:bidi="ro-RO"/>
        </w:rPr>
        <w:instrText xml:space="preserve"> REF _Ref211577417 \h </w:instrText>
      </w:r>
      <w:r>
        <w:rPr>
          <w:lang w:eastAsia="ro-RO" w:bidi="ro-RO"/>
        </w:rPr>
      </w:r>
      <w:r>
        <w:rPr>
          <w:lang w:eastAsia="ro-RO" w:bidi="ro-RO"/>
        </w:rPr>
        <w:fldChar w:fldCharType="separate"/>
      </w:r>
      <w:r w:rsidRPr="006E0160">
        <w:t xml:space="preserve">Figura </w:t>
      </w:r>
      <w:r>
        <w:rPr>
          <w:noProof/>
        </w:rPr>
        <w:t>V</w:t>
      </w:r>
      <w:r>
        <w:t>.</w:t>
      </w:r>
      <w:r>
        <w:rPr>
          <w:noProof/>
        </w:rPr>
        <w:t>2</w:t>
      </w:r>
      <w:r>
        <w:rPr>
          <w:lang w:eastAsia="ro-RO" w:bidi="ro-RO"/>
        </w:rPr>
        <w:fldChar w:fldCharType="end"/>
      </w:r>
      <w:r>
        <w:rPr>
          <w:lang w:eastAsia="ro-RO" w:bidi="ro-RO"/>
        </w:rPr>
        <w:t>)</w:t>
      </w:r>
      <w:r w:rsidRPr="006E0160">
        <w:rPr>
          <w:lang w:eastAsia="ro-RO" w:bidi="ro-RO"/>
        </w:rPr>
        <w:t>.</w:t>
      </w:r>
      <w:r>
        <w:rPr>
          <w:lang w:eastAsia="ro-RO" w:bidi="ro-RO"/>
        </w:rPr>
        <w:t xml:space="preserve"> </w:t>
      </w:r>
      <w:r w:rsidRPr="006E0160">
        <w:rPr>
          <w:lang w:eastAsia="ro-RO" w:bidi="ro-RO"/>
        </w:rPr>
        <w:t>Pe medii de rezidență, se constată că 1</w:t>
      </w:r>
      <w:r>
        <w:rPr>
          <w:lang w:eastAsia="ro-RO" w:bidi="ro-RO"/>
        </w:rPr>
        <w:t>0,69</w:t>
      </w:r>
      <w:r w:rsidRPr="006E0160">
        <w:rPr>
          <w:lang w:eastAsia="ro-RO" w:bidi="ro-RO"/>
        </w:rPr>
        <w:t>% dintre persoanele din mediul urban fumează zilnic, cu 2,7 puncte procentuale mai mult decât în rural</w:t>
      </w:r>
      <w:r>
        <w:rPr>
          <w:lang w:eastAsia="ro-RO" w:bidi="ro-RO"/>
        </w:rPr>
        <w:t xml:space="preserve"> (9,38%) (</w:t>
      </w:r>
      <w:r>
        <w:rPr>
          <w:lang w:eastAsia="ro-RO" w:bidi="ro-RO"/>
        </w:rPr>
        <w:fldChar w:fldCharType="begin"/>
      </w:r>
      <w:r>
        <w:rPr>
          <w:lang w:eastAsia="ro-RO" w:bidi="ro-RO"/>
        </w:rPr>
        <w:instrText xml:space="preserve"> REF _Ref211577466 \h </w:instrText>
      </w:r>
      <w:r>
        <w:rPr>
          <w:lang w:eastAsia="ro-RO" w:bidi="ro-RO"/>
        </w:rPr>
      </w:r>
      <w:r>
        <w:rPr>
          <w:lang w:eastAsia="ro-RO" w:bidi="ro-RO"/>
        </w:rPr>
        <w:fldChar w:fldCharType="separate"/>
      </w:r>
      <w:r w:rsidRPr="006E0160">
        <w:t xml:space="preserve">Figura </w:t>
      </w:r>
      <w:r>
        <w:rPr>
          <w:noProof/>
        </w:rPr>
        <w:t>V</w:t>
      </w:r>
      <w:r>
        <w:t>.</w:t>
      </w:r>
      <w:r>
        <w:rPr>
          <w:noProof/>
        </w:rPr>
        <w:t>3</w:t>
      </w:r>
      <w:r>
        <w:rPr>
          <w:lang w:eastAsia="ro-RO" w:bidi="ro-RO"/>
        </w:rPr>
        <w:fldChar w:fldCharType="end"/>
      </w:r>
      <w:r>
        <w:rPr>
          <w:lang w:eastAsia="ro-RO" w:bidi="ro-RO"/>
        </w:rPr>
        <w:t>).</w:t>
      </w:r>
    </w:p>
    <w:p w14:paraId="6A1898FC" w14:textId="77777777" w:rsidR="00CD3152" w:rsidRDefault="00CD3152" w:rsidP="00CD3152">
      <w:pPr>
        <w:keepNext/>
        <w:jc w:val="center"/>
      </w:pPr>
      <w:r>
        <w:rPr>
          <w:noProof/>
        </w:rPr>
        <w:drawing>
          <wp:inline distT="0" distB="0" distL="0" distR="0" wp14:anchorId="3A0E3E5D" wp14:editId="4F7B5864">
            <wp:extent cx="5040000" cy="2520000"/>
            <wp:effectExtent l="0" t="0" r="8255" b="13970"/>
            <wp:docPr id="1869146681" name="Chart 1">
              <a:extLst xmlns:a="http://schemas.openxmlformats.org/drawingml/2006/main">
                <a:ext uri="{FF2B5EF4-FFF2-40B4-BE49-F238E27FC236}">
                  <a16:creationId xmlns:a16="http://schemas.microsoft.com/office/drawing/2014/main" id="{0C080E1B-AB63-4844-80F5-DAEC08B1410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5"/>
              </a:graphicData>
            </a:graphic>
          </wp:inline>
        </w:drawing>
      </w:r>
    </w:p>
    <w:p w14:paraId="4CB1E558" w14:textId="545DCA7C" w:rsidR="00CD3152" w:rsidRPr="006E0160" w:rsidRDefault="00CD3152" w:rsidP="00CD3152">
      <w:pPr>
        <w:pStyle w:val="Caption"/>
        <w:jc w:val="center"/>
        <w:rPr>
          <w:color w:val="000000"/>
          <w:lang w:eastAsia="ro-RO" w:bidi="ro-RO"/>
        </w:rPr>
      </w:pPr>
      <w:bookmarkStart w:id="105" w:name="_Ref211577495"/>
      <w:r>
        <w:t xml:space="preserve">Figura </w:t>
      </w:r>
      <w:fldSimple w:instr=" STYLEREF 1 \s ">
        <w:r w:rsidR="0080370C">
          <w:rPr>
            <w:noProof/>
          </w:rPr>
          <w:t>V</w:t>
        </w:r>
      </w:fldSimple>
      <w:r w:rsidR="0080370C">
        <w:t>.</w:t>
      </w:r>
      <w:fldSimple w:instr=" SEQ Figura \* ARABIC \s 1 ">
        <w:r w:rsidR="0080370C">
          <w:rPr>
            <w:noProof/>
          </w:rPr>
          <w:t>4</w:t>
        </w:r>
      </w:fldSimple>
      <w:bookmarkEnd w:id="105"/>
      <w:r w:rsidRPr="002F54F7">
        <w:t xml:space="preserve"> Frecvența consumului de tutun zilnic la populația rezidentă de 15-24 de ani, </w:t>
      </w:r>
      <w:r>
        <w:t>în funcție de numărul de țigări fumate și</w:t>
      </w:r>
      <w:r w:rsidRPr="002F54F7">
        <w:t xml:space="preserve"> </w:t>
      </w:r>
      <w:r>
        <w:t>grupe de vârstă,</w:t>
      </w:r>
      <w:r w:rsidRPr="002F54F7">
        <w:t xml:space="preserve"> Sursa</w:t>
      </w:r>
      <w:r w:rsidRPr="006E0160">
        <w:t>: EHIS 2019</w:t>
      </w:r>
      <w:r>
        <w:fldChar w:fldCharType="begin"/>
      </w:r>
      <w:r w:rsidR="0009552B">
        <w:instrText xml:space="preserve"> ADDIN EN.CITE &lt;EndNote&gt;&lt;Cite&gt;&lt;Author&gt;INS&lt;/Author&gt;&lt;Year&gt;2021&lt;/Year&gt;&lt;RecNum&gt;9227&lt;/RecNum&gt;&lt;DisplayText&gt;&lt;style size="10"&gt;[3]&lt;/style&gt;&lt;/DisplayText&gt;&lt;record&gt;&lt;rec-number&gt;9227&lt;/rec-number&gt;&lt;foreign-keys&gt;&lt;key app="EN" db-id="fw0prtesnvf55cepezbx255wwza5zw0ssatt" timestamp="1759716798" guid="36a23b9d-60d3-4874-abc0-31c6c4eb1a87"&gt;9227&lt;/key&gt;&lt;/foreign-keys&gt;&lt;ref-type name="Report"&gt;27&lt;/ref-type&gt;&lt;contributors&gt;&lt;authors&gt;&lt;author&gt;&lt;style face="normal" font="default" charset="238" size="100%"&gt;INS&lt;/style&gt;&lt;/author&gt;&lt;/authors&gt;&lt;secondary-authors&gt;&lt;author&gt;&lt;style face="normal" font="default" charset="238" size="100%"&gt;INS&lt;/style&gt;&lt;/author&gt;&lt;/secondary-authors&gt;&lt;/contributors&gt;&lt;titles&gt;&lt;title&gt;&lt;style face="normal" font="default" charset="238" size="100%"&gt;Starea de sănătate a populației din Rom&lt;/style&gt;&lt;style face="normal" font="default" size="100%"&gt;â&lt;/style&gt;&lt;style face="normal" font="default" charset="238" size="100%"&gt;nia -2019&lt;/style&gt;&lt;/title&gt;&lt;/titles&gt;&lt;dates&gt;&lt;year&gt;&lt;style face="normal" font="default" charset="238" size="100%"&gt;2021&lt;/style&gt;&lt;/year&gt;&lt;/dates&gt;&lt;label&gt;&lt;style face="normal" font="default" charset="238" size="100%"&gt;INS Starea de sănătate a populației din Rom&lt;/style&gt;&lt;style face="normal" font="default" size="100%"&gt;â&lt;/style&gt;&lt;style face="normal" font="default" charset="238" size="100%"&gt;nia -2019&lt;/style&gt;&lt;/label&gt;&lt;urls&gt;&lt;related-urls&gt;&lt;url&gt;https://insse.ro/cms/sites/default/files/field/publicatii/starea_de_sanatate_a_populatiei_din_romania_2019.pdf&lt;/url&gt;&lt;/related-urls&gt;&lt;/urls&gt;&lt;/record&gt;&lt;/Cite&gt;&lt;/EndNote&gt;</w:instrText>
      </w:r>
      <w:r>
        <w:fldChar w:fldCharType="separate"/>
      </w:r>
      <w:r w:rsidR="0009552B">
        <w:rPr>
          <w:noProof/>
        </w:rPr>
        <w:t>[3]</w:t>
      </w:r>
      <w:r>
        <w:fldChar w:fldCharType="end"/>
      </w:r>
    </w:p>
    <w:p w14:paraId="5FB84D17" w14:textId="77777777" w:rsidR="00CD3152" w:rsidRDefault="00CD3152" w:rsidP="00CD3152">
      <w:pPr>
        <w:ind w:firstLine="708"/>
        <w:jc w:val="both"/>
        <w:rPr>
          <w:lang w:eastAsia="ro-RO" w:bidi="ro-RO"/>
        </w:rPr>
      </w:pPr>
    </w:p>
    <w:p w14:paraId="3C724951" w14:textId="77777777" w:rsidR="00CD3152" w:rsidRDefault="00CD3152" w:rsidP="00CD3152">
      <w:pPr>
        <w:ind w:firstLine="708"/>
        <w:jc w:val="both"/>
        <w:rPr>
          <w:lang w:eastAsia="ro-RO" w:bidi="ro-RO"/>
        </w:rPr>
      </w:pPr>
      <w:r>
        <w:rPr>
          <w:lang w:eastAsia="ro-RO" w:bidi="ro-RO"/>
        </w:rPr>
        <w:t>60% dintre fumătorii zilnici din grupa de vârstă 15-24 de ani</w:t>
      </w:r>
      <w:r w:rsidRPr="002702AA">
        <w:rPr>
          <w:lang w:eastAsia="ro-RO" w:bidi="ro-RO"/>
        </w:rPr>
        <w:t xml:space="preserve"> </w:t>
      </w:r>
      <w:r>
        <w:rPr>
          <w:lang w:eastAsia="ro-RO" w:bidi="ro-RO"/>
        </w:rPr>
        <w:t xml:space="preserve">fumează </w:t>
      </w:r>
      <w:r w:rsidRPr="002702AA">
        <w:rPr>
          <w:lang w:eastAsia="ro-RO" w:bidi="ro-RO"/>
        </w:rPr>
        <w:t xml:space="preserve">între 10 și 19 țigări pe zi, </w:t>
      </w:r>
      <w:r>
        <w:rPr>
          <w:lang w:eastAsia="ro-RO" w:bidi="ro-RO"/>
        </w:rPr>
        <w:t xml:space="preserve">iar </w:t>
      </w:r>
      <w:r w:rsidRPr="002702AA">
        <w:rPr>
          <w:lang w:eastAsia="ro-RO" w:bidi="ro-RO"/>
        </w:rPr>
        <w:t>20% consumă între 20 și 29 de țigări zilnic</w:t>
      </w:r>
      <w:r>
        <w:rPr>
          <w:lang w:eastAsia="ro-RO" w:bidi="ro-RO"/>
        </w:rPr>
        <w:t xml:space="preserve"> (</w:t>
      </w:r>
      <w:r>
        <w:rPr>
          <w:lang w:eastAsia="ro-RO" w:bidi="ro-RO"/>
        </w:rPr>
        <w:fldChar w:fldCharType="begin"/>
      </w:r>
      <w:r>
        <w:rPr>
          <w:lang w:eastAsia="ro-RO" w:bidi="ro-RO"/>
        </w:rPr>
        <w:instrText xml:space="preserve"> REF _Ref211577495 \h </w:instrText>
      </w:r>
      <w:r>
        <w:rPr>
          <w:lang w:eastAsia="ro-RO" w:bidi="ro-RO"/>
        </w:rPr>
      </w:r>
      <w:r>
        <w:rPr>
          <w:lang w:eastAsia="ro-RO" w:bidi="ro-RO"/>
        </w:rPr>
        <w:fldChar w:fldCharType="separate"/>
      </w:r>
      <w:r>
        <w:t xml:space="preserve">Figura </w:t>
      </w:r>
      <w:r>
        <w:rPr>
          <w:noProof/>
        </w:rPr>
        <w:t>V</w:t>
      </w:r>
      <w:r>
        <w:t>.</w:t>
      </w:r>
      <w:r>
        <w:rPr>
          <w:noProof/>
        </w:rPr>
        <w:t>4</w:t>
      </w:r>
      <w:r>
        <w:rPr>
          <w:lang w:eastAsia="ro-RO" w:bidi="ro-RO"/>
        </w:rPr>
        <w:fldChar w:fldCharType="end"/>
      </w:r>
      <w:r>
        <w:rPr>
          <w:lang w:eastAsia="ro-RO" w:bidi="ro-RO"/>
        </w:rPr>
        <w:t>)</w:t>
      </w:r>
      <w:r w:rsidRPr="002702AA">
        <w:rPr>
          <w:lang w:eastAsia="ro-RO" w:bidi="ro-RO"/>
        </w:rPr>
        <w:t xml:space="preserve">. </w:t>
      </w:r>
    </w:p>
    <w:p w14:paraId="077379BA" w14:textId="77777777" w:rsidR="00CD3152" w:rsidRDefault="00CD3152" w:rsidP="00CD3152">
      <w:pPr>
        <w:ind w:firstLine="708"/>
        <w:jc w:val="both"/>
        <w:rPr>
          <w:lang w:eastAsia="ro-RO" w:bidi="ro-RO"/>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6"/>
        <w:gridCol w:w="4606"/>
      </w:tblGrid>
      <w:tr w:rsidR="00CD3152" w14:paraId="3B42AF1F" w14:textId="77777777" w:rsidTr="00F032B4">
        <w:tc>
          <w:tcPr>
            <w:tcW w:w="4601" w:type="dxa"/>
          </w:tcPr>
          <w:p w14:paraId="74118B1E" w14:textId="77777777" w:rsidR="00CD3152" w:rsidRDefault="00CD3152" w:rsidP="00F032B4">
            <w:pPr>
              <w:keepNext/>
              <w:jc w:val="both"/>
            </w:pPr>
            <w:r>
              <w:rPr>
                <w:noProof/>
              </w:rPr>
              <w:lastRenderedPageBreak/>
              <w:drawing>
                <wp:inline distT="0" distB="0" distL="0" distR="0" wp14:anchorId="49FACFAA" wp14:editId="35FD96B5">
                  <wp:extent cx="2880000" cy="2160000"/>
                  <wp:effectExtent l="0" t="0" r="15875" b="12065"/>
                  <wp:docPr id="32490152" name="Chart 1">
                    <a:extLst xmlns:a="http://schemas.openxmlformats.org/drawingml/2006/main">
                      <a:ext uri="{FF2B5EF4-FFF2-40B4-BE49-F238E27FC236}">
                        <a16:creationId xmlns:a16="http://schemas.microsoft.com/office/drawing/2014/main" id="{7883C2FC-F2AC-44B7-9D65-03E4BD4E166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6"/>
                    </a:graphicData>
                  </a:graphic>
                </wp:inline>
              </w:drawing>
            </w:r>
          </w:p>
          <w:p w14:paraId="6012E0BA" w14:textId="15ADD45E" w:rsidR="00CD3152" w:rsidRDefault="00CD3152" w:rsidP="00F032B4">
            <w:pPr>
              <w:pStyle w:val="Caption"/>
              <w:jc w:val="both"/>
            </w:pPr>
            <w:bookmarkStart w:id="106" w:name="_Ref211577522"/>
            <w:r>
              <w:t xml:space="preserve">Figura </w:t>
            </w:r>
            <w:fldSimple w:instr=" STYLEREF 1 \s ">
              <w:r w:rsidR="0080370C">
                <w:rPr>
                  <w:noProof/>
                </w:rPr>
                <w:t>V</w:t>
              </w:r>
            </w:fldSimple>
            <w:r w:rsidR="0080370C">
              <w:t>.</w:t>
            </w:r>
            <w:fldSimple w:instr=" SEQ Figura \* ARABIC \s 1 ">
              <w:r w:rsidR="0080370C">
                <w:rPr>
                  <w:noProof/>
                </w:rPr>
                <w:t>5</w:t>
              </w:r>
            </w:fldSimple>
            <w:bookmarkEnd w:id="106"/>
            <w:r>
              <w:t xml:space="preserve"> </w:t>
            </w:r>
            <w:r w:rsidRPr="004B7B16">
              <w:t xml:space="preserve">Frecvența consumului de tutun zilnic la populația rezidentă de 15-24 de ani, </w:t>
            </w:r>
            <w:r>
              <w:t>în funcție de numărul de țigări fumate și gen</w:t>
            </w:r>
            <w:r w:rsidRPr="004B7B16">
              <w:t>, Sursa</w:t>
            </w:r>
            <w:r w:rsidRPr="006E0160">
              <w:t>: EHIS 2019</w:t>
            </w:r>
            <w:r>
              <w:fldChar w:fldCharType="begin"/>
            </w:r>
            <w:r w:rsidR="0009552B">
              <w:instrText xml:space="preserve"> ADDIN EN.CITE &lt;EndNote&gt;&lt;Cite&gt;&lt;Author&gt;INS&lt;/Author&gt;&lt;Year&gt;2021&lt;/Year&gt;&lt;RecNum&gt;9227&lt;/RecNum&gt;&lt;DisplayText&gt;&lt;style size="10"&gt;[3]&lt;/style&gt;&lt;/DisplayText&gt;&lt;record&gt;&lt;rec-number&gt;9227&lt;/rec-number&gt;&lt;foreign-keys&gt;&lt;key app="EN" db-id="fw0prtesnvf55cepezbx255wwza5zw0ssatt" timestamp="1759716798" guid="36a23b9d-60d3-4874-abc0-31c6c4eb1a87"&gt;9227&lt;/key&gt;&lt;/foreign-keys&gt;&lt;ref-type name="Report"&gt;27&lt;/ref-type&gt;&lt;contributors&gt;&lt;authors&gt;&lt;author&gt;&lt;style face="normal" font="default" charset="238" size="100%"&gt;INS&lt;/style&gt;&lt;/author&gt;&lt;/authors&gt;&lt;secondary-authors&gt;&lt;author&gt;&lt;style face="normal" font="default" charset="238" size="100%"&gt;INS&lt;/style&gt;&lt;/author&gt;&lt;/secondary-authors&gt;&lt;/contributors&gt;&lt;titles&gt;&lt;title&gt;&lt;style face="normal" font="default" charset="238" size="100%"&gt;Starea de sănătate a populației din Rom&lt;/style&gt;&lt;style face="normal" font="default" size="100%"&gt;â&lt;/style&gt;&lt;style face="normal" font="default" charset="238" size="100%"&gt;nia -2019&lt;/style&gt;&lt;/title&gt;&lt;/titles&gt;&lt;dates&gt;&lt;year&gt;&lt;style face="normal" font="default" charset="238" size="100%"&gt;2021&lt;/style&gt;&lt;/year&gt;&lt;/dates&gt;&lt;label&gt;&lt;style face="normal" font="default" charset="238" size="100%"&gt;INS Starea de sănătate a populației din Rom&lt;/style&gt;&lt;style face="normal" font="default" size="100%"&gt;â&lt;/style&gt;&lt;style face="normal" font="default" charset="238" size="100%"&gt;nia -2019&lt;/style&gt;&lt;/label&gt;&lt;urls&gt;&lt;related-urls&gt;&lt;url&gt;https://insse.ro/cms/sites/default/files/field/publicatii/starea_de_sanatate_a_populatiei_din_romania_2019.pdf&lt;/url&gt;&lt;/related-urls&gt;&lt;/urls&gt;&lt;/record&gt;&lt;/Cite&gt;&lt;/EndNote&gt;</w:instrText>
            </w:r>
            <w:r>
              <w:fldChar w:fldCharType="separate"/>
            </w:r>
            <w:r w:rsidR="0009552B">
              <w:rPr>
                <w:noProof/>
              </w:rPr>
              <w:t>[3]</w:t>
            </w:r>
            <w:r>
              <w:fldChar w:fldCharType="end"/>
            </w:r>
          </w:p>
          <w:p w14:paraId="4F442FE3" w14:textId="77777777" w:rsidR="00CD3152" w:rsidRDefault="00CD3152" w:rsidP="00F032B4">
            <w:pPr>
              <w:jc w:val="both"/>
              <w:rPr>
                <w:lang w:eastAsia="ro-RO" w:bidi="ro-RO"/>
              </w:rPr>
            </w:pPr>
          </w:p>
        </w:tc>
        <w:tc>
          <w:tcPr>
            <w:tcW w:w="4601" w:type="dxa"/>
          </w:tcPr>
          <w:p w14:paraId="05EDFC06" w14:textId="77777777" w:rsidR="00CD3152" w:rsidRDefault="00CD3152" w:rsidP="00F032B4">
            <w:pPr>
              <w:keepNext/>
              <w:jc w:val="both"/>
            </w:pPr>
            <w:r>
              <w:rPr>
                <w:noProof/>
              </w:rPr>
              <w:drawing>
                <wp:inline distT="0" distB="0" distL="0" distR="0" wp14:anchorId="5C8B7173" wp14:editId="6C8C1E7E">
                  <wp:extent cx="2880000" cy="2160000"/>
                  <wp:effectExtent l="0" t="0" r="15875" b="12065"/>
                  <wp:docPr id="3437197" name="Chart 1">
                    <a:extLst xmlns:a="http://schemas.openxmlformats.org/drawingml/2006/main">
                      <a:ext uri="{FF2B5EF4-FFF2-40B4-BE49-F238E27FC236}">
                        <a16:creationId xmlns:a16="http://schemas.microsoft.com/office/drawing/2014/main" id="{4AB2DEFC-D1CB-4DAF-A490-B53CF3A82C0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7"/>
                    </a:graphicData>
                  </a:graphic>
                </wp:inline>
              </w:drawing>
            </w:r>
          </w:p>
          <w:p w14:paraId="15EA1C84" w14:textId="79ACFB74" w:rsidR="00CD3152" w:rsidRDefault="00CD3152" w:rsidP="00F032B4">
            <w:pPr>
              <w:pStyle w:val="Caption"/>
              <w:jc w:val="both"/>
            </w:pPr>
            <w:bookmarkStart w:id="107" w:name="_Ref211577543"/>
            <w:r>
              <w:t xml:space="preserve">Figura </w:t>
            </w:r>
            <w:fldSimple w:instr=" STYLEREF 1 \s ">
              <w:r w:rsidR="0080370C">
                <w:rPr>
                  <w:noProof/>
                </w:rPr>
                <w:t>V</w:t>
              </w:r>
            </w:fldSimple>
            <w:r w:rsidR="0080370C">
              <w:t>.</w:t>
            </w:r>
            <w:fldSimple w:instr=" SEQ Figura \* ARABIC \s 1 ">
              <w:r w:rsidR="0080370C">
                <w:rPr>
                  <w:noProof/>
                </w:rPr>
                <w:t>6</w:t>
              </w:r>
            </w:fldSimple>
            <w:bookmarkEnd w:id="107"/>
            <w:r>
              <w:t xml:space="preserve"> </w:t>
            </w:r>
            <w:r w:rsidRPr="00602166">
              <w:t xml:space="preserve">Frecvența consumului de tutun zilnic la populația rezidentă de 15-24 de ani, în funcție de numărul de țigări fumate și </w:t>
            </w:r>
            <w:r>
              <w:t>mediul de rezidență</w:t>
            </w:r>
            <w:r w:rsidRPr="00602166">
              <w:t>, Sursa</w:t>
            </w:r>
            <w:r w:rsidRPr="006E0160">
              <w:t>: EHIS 2019</w:t>
            </w:r>
            <w:r>
              <w:fldChar w:fldCharType="begin"/>
            </w:r>
            <w:r w:rsidR="0009552B">
              <w:instrText xml:space="preserve"> ADDIN EN.CITE &lt;EndNote&gt;&lt;Cite&gt;&lt;Author&gt;INS&lt;/Author&gt;&lt;Year&gt;2021&lt;/Year&gt;&lt;RecNum&gt;9227&lt;/RecNum&gt;&lt;DisplayText&gt;&lt;style size="10"&gt;[3]&lt;/style&gt;&lt;/DisplayText&gt;&lt;record&gt;&lt;rec-number&gt;9227&lt;/rec-number&gt;&lt;foreign-keys&gt;&lt;key app="EN" db-id="fw0prtesnvf55cepezbx255wwza5zw0ssatt" timestamp="1759716798" guid="36a23b9d-60d3-4874-abc0-31c6c4eb1a87"&gt;9227&lt;/key&gt;&lt;/foreign-keys&gt;&lt;ref-type name="Report"&gt;27&lt;/ref-type&gt;&lt;contributors&gt;&lt;authors&gt;&lt;author&gt;&lt;style face="normal" font="default" charset="238" size="100%"&gt;INS&lt;/style&gt;&lt;/author&gt;&lt;/authors&gt;&lt;secondary-authors&gt;&lt;author&gt;&lt;style face="normal" font="default" charset="238" size="100%"&gt;INS&lt;/style&gt;&lt;/author&gt;&lt;/secondary-authors&gt;&lt;/contributors&gt;&lt;titles&gt;&lt;title&gt;&lt;style face="normal" font="default" charset="238" size="100%"&gt;Starea de sănătate a populației din Rom&lt;/style&gt;&lt;style face="normal" font="default" size="100%"&gt;â&lt;/style&gt;&lt;style face="normal" font="default" charset="238" size="100%"&gt;nia -2019&lt;/style&gt;&lt;/title&gt;&lt;/titles&gt;&lt;dates&gt;&lt;year&gt;&lt;style face="normal" font="default" charset="238" size="100%"&gt;2021&lt;/style&gt;&lt;/year&gt;&lt;/dates&gt;&lt;label&gt;&lt;style face="normal" font="default" charset="238" size="100%"&gt;INS Starea de sănătate a populației din Rom&lt;/style&gt;&lt;style face="normal" font="default" size="100%"&gt;â&lt;/style&gt;&lt;style face="normal" font="default" charset="238" size="100%"&gt;nia -2019&lt;/style&gt;&lt;/label&gt;&lt;urls&gt;&lt;related-urls&gt;&lt;url&gt;https://insse.ro/cms/sites/default/files/field/publicatii/starea_de_sanatate_a_populatiei_din_romania_2019.pdf&lt;/url&gt;&lt;/related-urls&gt;&lt;/urls&gt;&lt;/record&gt;&lt;/Cite&gt;&lt;/EndNote&gt;</w:instrText>
            </w:r>
            <w:r>
              <w:fldChar w:fldCharType="separate"/>
            </w:r>
            <w:r w:rsidR="0009552B">
              <w:rPr>
                <w:noProof/>
              </w:rPr>
              <w:t>[3]</w:t>
            </w:r>
            <w:r>
              <w:fldChar w:fldCharType="end"/>
            </w:r>
          </w:p>
          <w:p w14:paraId="5154BF7B" w14:textId="77777777" w:rsidR="00CD3152" w:rsidRDefault="00CD3152" w:rsidP="00F032B4">
            <w:pPr>
              <w:jc w:val="both"/>
              <w:rPr>
                <w:lang w:eastAsia="ro-RO" w:bidi="ro-RO"/>
              </w:rPr>
            </w:pPr>
          </w:p>
        </w:tc>
      </w:tr>
    </w:tbl>
    <w:p w14:paraId="0844FF26" w14:textId="77777777" w:rsidR="00CD3152" w:rsidRPr="004F4E79" w:rsidRDefault="00CD3152" w:rsidP="00CD3152">
      <w:pPr>
        <w:ind w:firstLine="708"/>
        <w:jc w:val="both"/>
        <w:rPr>
          <w:lang w:eastAsia="ro-RO" w:bidi="ro-RO"/>
        </w:rPr>
      </w:pPr>
      <w:r w:rsidRPr="004F4E79">
        <w:rPr>
          <w:lang w:eastAsia="ro-RO" w:bidi="ro-RO"/>
        </w:rPr>
        <w:t>În ceea ce privește numărul de țigări fumate zilnic se observă că ponderea cea mai mare se înregistrează pentru 10-19 țigări/zi pentru ambele genuri (</w:t>
      </w:r>
      <w:r>
        <w:rPr>
          <w:lang w:eastAsia="ro-RO" w:bidi="ro-RO"/>
        </w:rPr>
        <w:t>70</w:t>
      </w:r>
      <w:r w:rsidRPr="004F4E79">
        <w:rPr>
          <w:lang w:eastAsia="ro-RO" w:bidi="ro-RO"/>
        </w:rPr>
        <w:t>% la bărbați și 5</w:t>
      </w:r>
      <w:r>
        <w:rPr>
          <w:lang w:eastAsia="ro-RO" w:bidi="ro-RO"/>
        </w:rPr>
        <w:t>2</w:t>
      </w:r>
      <w:r w:rsidRPr="004F4E79">
        <w:rPr>
          <w:lang w:eastAsia="ro-RO" w:bidi="ro-RO"/>
        </w:rPr>
        <w:t xml:space="preserve">% la femei). </w:t>
      </w:r>
      <w:r>
        <w:rPr>
          <w:lang w:eastAsia="ro-RO" w:bidi="ro-RO"/>
        </w:rPr>
        <w:t>21%</w:t>
      </w:r>
      <w:r w:rsidRPr="004F4E79">
        <w:rPr>
          <w:lang w:eastAsia="ro-RO" w:bidi="ro-RO"/>
        </w:rPr>
        <w:t>% dintre bărbați și 18% dintre femei fumează zilnic mai mult de 20 de țigări/zi</w:t>
      </w:r>
      <w:r>
        <w:rPr>
          <w:lang w:eastAsia="ro-RO" w:bidi="ro-RO"/>
        </w:rPr>
        <w:t>, însă nu depășesc 30 de țigări/zi la această grupă de vârstă (</w:t>
      </w:r>
      <w:r>
        <w:rPr>
          <w:lang w:eastAsia="ro-RO" w:bidi="ro-RO"/>
        </w:rPr>
        <w:fldChar w:fldCharType="begin"/>
      </w:r>
      <w:r>
        <w:rPr>
          <w:lang w:eastAsia="ro-RO" w:bidi="ro-RO"/>
        </w:rPr>
        <w:instrText xml:space="preserve"> REF _Ref211577522 \h </w:instrText>
      </w:r>
      <w:r>
        <w:rPr>
          <w:lang w:eastAsia="ro-RO" w:bidi="ro-RO"/>
        </w:rPr>
      </w:r>
      <w:r>
        <w:rPr>
          <w:lang w:eastAsia="ro-RO" w:bidi="ro-RO"/>
        </w:rPr>
        <w:fldChar w:fldCharType="separate"/>
      </w:r>
      <w:r>
        <w:t xml:space="preserve">Figura </w:t>
      </w:r>
      <w:r>
        <w:rPr>
          <w:noProof/>
        </w:rPr>
        <w:t>V</w:t>
      </w:r>
      <w:r>
        <w:t>.</w:t>
      </w:r>
      <w:r>
        <w:rPr>
          <w:noProof/>
        </w:rPr>
        <w:t>5</w:t>
      </w:r>
      <w:r>
        <w:rPr>
          <w:lang w:eastAsia="ro-RO" w:bidi="ro-RO"/>
        </w:rPr>
        <w:fldChar w:fldCharType="end"/>
      </w:r>
      <w:r>
        <w:rPr>
          <w:lang w:eastAsia="ro-RO" w:bidi="ro-RO"/>
        </w:rPr>
        <w:t>).</w:t>
      </w:r>
    </w:p>
    <w:p w14:paraId="59FD01D6" w14:textId="77777777" w:rsidR="00CD3152" w:rsidRDefault="00CD3152" w:rsidP="00CD3152">
      <w:pPr>
        <w:ind w:firstLine="708"/>
        <w:jc w:val="both"/>
        <w:rPr>
          <w:lang w:eastAsia="ro-RO" w:bidi="ro-RO"/>
        </w:rPr>
      </w:pPr>
      <w:r w:rsidRPr="004F4E79">
        <w:rPr>
          <w:lang w:eastAsia="ro-RO" w:bidi="ro-RO"/>
        </w:rPr>
        <w:t xml:space="preserve">În funcție de mediul de rezidență, frecvența cea mai mare a fumatului zilnic se înregistrează pentru 10-19 țigări/zi, fiind cu aproximativ </w:t>
      </w:r>
      <w:r>
        <w:rPr>
          <w:lang w:eastAsia="ro-RO" w:bidi="ro-RO"/>
        </w:rPr>
        <w:t>4</w:t>
      </w:r>
      <w:r w:rsidRPr="004F4E79">
        <w:rPr>
          <w:lang w:eastAsia="ro-RO" w:bidi="ro-RO"/>
        </w:rPr>
        <w:t xml:space="preserve"> puncte procentuale mai mare în rural decât în urban (</w:t>
      </w:r>
      <w:r>
        <w:rPr>
          <w:lang w:eastAsia="ro-RO" w:bidi="ro-RO"/>
        </w:rPr>
        <w:t>62</w:t>
      </w:r>
      <w:r w:rsidRPr="004F4E79">
        <w:rPr>
          <w:lang w:eastAsia="ro-RO" w:bidi="ro-RO"/>
        </w:rPr>
        <w:t>% vs 5</w:t>
      </w:r>
      <w:r>
        <w:rPr>
          <w:lang w:eastAsia="ro-RO" w:bidi="ro-RO"/>
        </w:rPr>
        <w:t>8</w:t>
      </w:r>
      <w:r w:rsidRPr="004F4E79">
        <w:rPr>
          <w:lang w:eastAsia="ro-RO" w:bidi="ro-RO"/>
        </w:rPr>
        <w:t>%). În mediul urban se înregistrează valori mai mari decât în rural pentru fumatul a 20-29 țigări/zi (2</w:t>
      </w:r>
      <w:r>
        <w:rPr>
          <w:lang w:eastAsia="ro-RO" w:bidi="ro-RO"/>
        </w:rPr>
        <w:t>1</w:t>
      </w:r>
      <w:r w:rsidRPr="004F4E79">
        <w:rPr>
          <w:lang w:eastAsia="ro-RO" w:bidi="ro-RO"/>
        </w:rPr>
        <w:t xml:space="preserve">% vs </w:t>
      </w:r>
      <w:r>
        <w:rPr>
          <w:lang w:eastAsia="ro-RO" w:bidi="ro-RO"/>
        </w:rPr>
        <w:t>18</w:t>
      </w:r>
      <w:r w:rsidRPr="004F4E79">
        <w:rPr>
          <w:lang w:eastAsia="ro-RO" w:bidi="ro-RO"/>
        </w:rPr>
        <w:t>%) și a 5-9 țigări/zi (</w:t>
      </w:r>
      <w:r>
        <w:rPr>
          <w:lang w:eastAsia="ro-RO" w:bidi="ro-RO"/>
        </w:rPr>
        <w:t>21</w:t>
      </w:r>
      <w:r w:rsidRPr="004F4E79">
        <w:rPr>
          <w:lang w:eastAsia="ro-RO" w:bidi="ro-RO"/>
        </w:rPr>
        <w:t>%, respectiv 1</w:t>
      </w:r>
      <w:r>
        <w:rPr>
          <w:lang w:eastAsia="ro-RO" w:bidi="ro-RO"/>
        </w:rPr>
        <w:t>4</w:t>
      </w:r>
      <w:r w:rsidRPr="004F4E79">
        <w:rPr>
          <w:lang w:eastAsia="ro-RO" w:bidi="ro-RO"/>
        </w:rPr>
        <w:t>%)</w:t>
      </w:r>
      <w:r>
        <w:rPr>
          <w:lang w:eastAsia="ro-RO" w:bidi="ro-RO"/>
        </w:rPr>
        <w:t>(</w:t>
      </w:r>
      <w:r>
        <w:rPr>
          <w:lang w:eastAsia="ro-RO" w:bidi="ro-RO"/>
        </w:rPr>
        <w:fldChar w:fldCharType="begin"/>
      </w:r>
      <w:r>
        <w:rPr>
          <w:lang w:eastAsia="ro-RO" w:bidi="ro-RO"/>
        </w:rPr>
        <w:instrText xml:space="preserve"> REF _Ref211577543 \h </w:instrText>
      </w:r>
      <w:r>
        <w:rPr>
          <w:lang w:eastAsia="ro-RO" w:bidi="ro-RO"/>
        </w:rPr>
      </w:r>
      <w:r>
        <w:rPr>
          <w:lang w:eastAsia="ro-RO" w:bidi="ro-RO"/>
        </w:rPr>
        <w:fldChar w:fldCharType="separate"/>
      </w:r>
      <w:r>
        <w:t xml:space="preserve">Figura </w:t>
      </w:r>
      <w:r>
        <w:rPr>
          <w:noProof/>
        </w:rPr>
        <w:t>V</w:t>
      </w:r>
      <w:r>
        <w:t>.</w:t>
      </w:r>
      <w:r>
        <w:rPr>
          <w:noProof/>
        </w:rPr>
        <w:t>6</w:t>
      </w:r>
      <w:r>
        <w:rPr>
          <w:lang w:eastAsia="ro-RO" w:bidi="ro-RO"/>
        </w:rPr>
        <w:fldChar w:fldCharType="end"/>
      </w:r>
      <w:r>
        <w:rPr>
          <w:lang w:eastAsia="ro-RO" w:bidi="ro-RO"/>
        </w:rPr>
        <w:t>)</w:t>
      </w:r>
      <w:r w:rsidRPr="004F4E79">
        <w:rPr>
          <w:lang w:eastAsia="ro-RO" w:bidi="ro-RO"/>
        </w:rPr>
        <w:t>.</w:t>
      </w:r>
    </w:p>
    <w:p w14:paraId="5A3C4EF3" w14:textId="77777777" w:rsidR="00CD3152" w:rsidRPr="001B5E12" w:rsidRDefault="00CD3152" w:rsidP="00CD3152">
      <w:pPr>
        <w:pStyle w:val="Heading3"/>
        <w:rPr>
          <w:u w:val="single"/>
        </w:rPr>
      </w:pPr>
      <w:bookmarkStart w:id="108" w:name="_Toc232660578"/>
      <w:r w:rsidRPr="001B5E12">
        <w:rPr>
          <w:u w:val="single"/>
        </w:rPr>
        <w:t xml:space="preserve">Consumul de produse alternative de tutun (țigări electronice, HTP) la populația 15 - 24 de ani </w:t>
      </w:r>
      <w:r>
        <w:rPr>
          <w:u w:val="single"/>
        </w:rPr>
        <w:t xml:space="preserve"> - </w:t>
      </w:r>
      <w:r w:rsidRPr="001B5E12">
        <w:rPr>
          <w:u w:val="single"/>
        </w:rPr>
        <w:t>EHIS 2019</w:t>
      </w:r>
      <w:bookmarkEnd w:id="108"/>
    </w:p>
    <w:p w14:paraId="56ADA2CF" w14:textId="77777777" w:rsidR="00CD3152" w:rsidRDefault="00CD3152" w:rsidP="00CD3152">
      <w:pPr>
        <w:keepNext/>
        <w:jc w:val="center"/>
      </w:pPr>
      <w:r>
        <w:rPr>
          <w:noProof/>
        </w:rPr>
        <w:drawing>
          <wp:inline distT="0" distB="0" distL="0" distR="0" wp14:anchorId="567AC02F" wp14:editId="3E2BA104">
            <wp:extent cx="5040000" cy="2520000"/>
            <wp:effectExtent l="0" t="0" r="8255" b="13970"/>
            <wp:docPr id="228599147" name="Chart 1">
              <a:extLst xmlns:a="http://schemas.openxmlformats.org/drawingml/2006/main">
                <a:ext uri="{FF2B5EF4-FFF2-40B4-BE49-F238E27FC236}">
                  <a16:creationId xmlns:a16="http://schemas.microsoft.com/office/drawing/2014/main" id="{550F1B27-BBF5-4E80-82C2-DE22F31C465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8"/>
              </a:graphicData>
            </a:graphic>
          </wp:inline>
        </w:drawing>
      </w:r>
    </w:p>
    <w:p w14:paraId="5E4BB391" w14:textId="012B4772" w:rsidR="00CD3152" w:rsidRPr="004267C5" w:rsidRDefault="00CD3152" w:rsidP="00CD3152">
      <w:pPr>
        <w:pStyle w:val="Caption"/>
        <w:jc w:val="center"/>
      </w:pPr>
      <w:bookmarkStart w:id="109" w:name="_Ref211577577"/>
      <w:r>
        <w:t xml:space="preserve">Figura </w:t>
      </w:r>
      <w:fldSimple w:instr=" STYLEREF 1 \s ">
        <w:r w:rsidR="0080370C">
          <w:rPr>
            <w:noProof/>
          </w:rPr>
          <w:t>V</w:t>
        </w:r>
      </w:fldSimple>
      <w:r w:rsidR="0080370C">
        <w:t>.</w:t>
      </w:r>
      <w:fldSimple w:instr=" SEQ Figura \* ARABIC \s 1 ">
        <w:r w:rsidR="0080370C">
          <w:rPr>
            <w:noProof/>
          </w:rPr>
          <w:t>7</w:t>
        </w:r>
      </w:fldSimple>
      <w:bookmarkEnd w:id="109"/>
      <w:r>
        <w:t xml:space="preserve"> frecvența utilizării zilnice și ocazionale de țigări electronice sau dispozitive electronice similare la populația din grupa de vârstă 15-24 de ani, </w:t>
      </w:r>
      <w:r w:rsidRPr="00D70865">
        <w:t xml:space="preserve">Sursa </w:t>
      </w:r>
      <w:r w:rsidRPr="006E0160">
        <w:t>: EHIS 2019</w:t>
      </w:r>
      <w:r>
        <w:fldChar w:fldCharType="begin"/>
      </w:r>
      <w:r w:rsidR="0009552B">
        <w:instrText xml:space="preserve"> ADDIN EN.CITE &lt;EndNote&gt;&lt;Cite&gt;&lt;Author&gt;INS&lt;/Author&gt;&lt;Year&gt;2021&lt;/Year&gt;&lt;RecNum&gt;9227&lt;/RecNum&gt;&lt;DisplayText&gt;&lt;style size="10"&gt;[3]&lt;/style&gt;&lt;/DisplayText&gt;&lt;record&gt;&lt;rec-number&gt;9227&lt;/rec-number&gt;&lt;foreign-keys&gt;&lt;key app="EN" db-id="fw0prtesnvf55cepezbx255wwza5zw0ssatt" timestamp="1759716798" guid="36a23b9d-60d3-4874-abc0-31c6c4eb1a87"&gt;9227&lt;/key&gt;&lt;/foreign-keys&gt;&lt;ref-type name="Report"&gt;27&lt;/ref-type&gt;&lt;contributors&gt;&lt;authors&gt;&lt;author&gt;&lt;style face="normal" font="default" charset="238" size="100%"&gt;INS&lt;/style&gt;&lt;/author&gt;&lt;/authors&gt;&lt;secondary-authors&gt;&lt;author&gt;&lt;style face="normal" font="default" charset="238" size="100%"&gt;INS&lt;/style&gt;&lt;/author&gt;&lt;/secondary-authors&gt;&lt;/contributors&gt;&lt;titles&gt;&lt;title&gt;&lt;style face="normal" font="default" charset="238" size="100%"&gt;Starea de sănătate a populației din Rom&lt;/style&gt;&lt;style face="normal" font="default" size="100%"&gt;â&lt;/style&gt;&lt;style face="normal" font="default" charset="238" size="100%"&gt;nia -2019&lt;/style&gt;&lt;/title&gt;&lt;/titles&gt;&lt;dates&gt;&lt;year&gt;&lt;style face="normal" font="default" charset="238" size="100%"&gt;2021&lt;/style&gt;&lt;/year&gt;&lt;/dates&gt;&lt;label&gt;&lt;style face="normal" font="default" charset="238" size="100%"&gt;INS Starea de sănătate a populației din Rom&lt;/style&gt;&lt;style face="normal" font="default" size="100%"&gt;â&lt;/style&gt;&lt;style face="normal" font="default" charset="238" size="100%"&gt;nia -2019&lt;/style&gt;&lt;/label&gt;&lt;urls&gt;&lt;related-urls&gt;&lt;url&gt;https://insse.ro/cms/sites/default/files/field/publicatii/starea_de_sanatate_a_populatiei_din_romania_2019.pdf&lt;/url&gt;&lt;/related-urls&gt;&lt;/urls&gt;&lt;/record&gt;&lt;/Cite&gt;&lt;/EndNote&gt;</w:instrText>
      </w:r>
      <w:r>
        <w:fldChar w:fldCharType="separate"/>
      </w:r>
      <w:r w:rsidR="0009552B">
        <w:rPr>
          <w:noProof/>
        </w:rPr>
        <w:t>[3]</w:t>
      </w:r>
      <w:r>
        <w:fldChar w:fldCharType="end"/>
      </w:r>
    </w:p>
    <w:p w14:paraId="1934AFC0" w14:textId="77777777" w:rsidR="00CD3152" w:rsidRDefault="00CD3152" w:rsidP="00CD3152">
      <w:pPr>
        <w:ind w:firstLine="708"/>
        <w:jc w:val="both"/>
      </w:pPr>
    </w:p>
    <w:p w14:paraId="154705B6" w14:textId="77777777" w:rsidR="00CD3152" w:rsidRDefault="00CD3152" w:rsidP="00CD3152">
      <w:pPr>
        <w:ind w:firstLine="708"/>
        <w:jc w:val="both"/>
      </w:pPr>
      <w:r>
        <w:lastRenderedPageBreak/>
        <w:t>Un procent de 1,56%</w:t>
      </w:r>
      <w:r w:rsidRPr="00AA48FE">
        <w:t xml:space="preserve"> din populația rezidentă de 15 - 24  ani </w:t>
      </w:r>
      <w:r>
        <w:t xml:space="preserve">utiliza </w:t>
      </w:r>
      <w:r w:rsidRPr="00AA48FE">
        <w:t>țigări electronice sau dispozitive electronice similare, din</w:t>
      </w:r>
      <w:r>
        <w:t>tre</w:t>
      </w:r>
      <w:r w:rsidRPr="00AA48FE">
        <w:t xml:space="preserve"> ace</w:t>
      </w:r>
      <w:r>
        <w:t>știa</w:t>
      </w:r>
      <w:r w:rsidRPr="00AA48FE">
        <w:t xml:space="preserve"> fiind </w:t>
      </w:r>
      <w:r>
        <w:t>utilizatori</w:t>
      </w:r>
      <w:r w:rsidRPr="00AA48FE">
        <w:t xml:space="preserve"> zilnici</w:t>
      </w:r>
      <w:r>
        <w:t xml:space="preserve"> un procent de 0,17%(</w:t>
      </w:r>
      <w:r>
        <w:fldChar w:fldCharType="begin"/>
      </w:r>
      <w:r>
        <w:instrText xml:space="preserve"> REF _Ref211577577 \h </w:instrText>
      </w:r>
      <w:r>
        <w:fldChar w:fldCharType="separate"/>
      </w:r>
      <w:r>
        <w:t xml:space="preserve">Figura </w:t>
      </w:r>
      <w:r>
        <w:rPr>
          <w:noProof/>
        </w:rPr>
        <w:t>V</w:t>
      </w:r>
      <w:r>
        <w:t>.</w:t>
      </w:r>
      <w:r>
        <w:rPr>
          <w:noProof/>
        </w:rPr>
        <w:t>7</w:t>
      </w:r>
      <w:r>
        <w:fldChar w:fldCharType="end"/>
      </w:r>
      <w:r>
        <w:t>)</w:t>
      </w:r>
      <w:r w:rsidRPr="00AA48FE">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6"/>
        <w:gridCol w:w="4606"/>
      </w:tblGrid>
      <w:tr w:rsidR="00CD3152" w14:paraId="37C70C79" w14:textId="77777777" w:rsidTr="00F032B4">
        <w:tc>
          <w:tcPr>
            <w:tcW w:w="4606" w:type="dxa"/>
          </w:tcPr>
          <w:p w14:paraId="60B2C9FE" w14:textId="77777777" w:rsidR="00CD3152" w:rsidRDefault="00CD3152" w:rsidP="00F032B4">
            <w:pPr>
              <w:keepNext/>
            </w:pPr>
            <w:r>
              <w:rPr>
                <w:noProof/>
              </w:rPr>
              <w:drawing>
                <wp:inline distT="0" distB="0" distL="0" distR="0" wp14:anchorId="2ACCFD68" wp14:editId="1522484A">
                  <wp:extent cx="2880000" cy="2160000"/>
                  <wp:effectExtent l="0" t="0" r="15875" b="12065"/>
                  <wp:docPr id="685463159" name="Chart 1">
                    <a:extLst xmlns:a="http://schemas.openxmlformats.org/drawingml/2006/main">
                      <a:ext uri="{FF2B5EF4-FFF2-40B4-BE49-F238E27FC236}">
                        <a16:creationId xmlns:a16="http://schemas.microsoft.com/office/drawing/2014/main" id="{7FF4F41B-FDE4-499F-A74B-7AD0E1ABFCD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9"/>
                    </a:graphicData>
                  </a:graphic>
                </wp:inline>
              </w:drawing>
            </w:r>
          </w:p>
          <w:p w14:paraId="45FBFBED" w14:textId="3EA4BE71" w:rsidR="00CD3152" w:rsidRDefault="00CD3152" w:rsidP="00F032B4">
            <w:pPr>
              <w:pStyle w:val="Caption"/>
              <w:jc w:val="both"/>
            </w:pPr>
            <w:bookmarkStart w:id="110" w:name="_Ref211577593"/>
            <w:r>
              <w:t xml:space="preserve">Figura </w:t>
            </w:r>
            <w:fldSimple w:instr=" STYLEREF 1 \s ">
              <w:r w:rsidR="0080370C">
                <w:rPr>
                  <w:noProof/>
                </w:rPr>
                <w:t>V</w:t>
              </w:r>
            </w:fldSimple>
            <w:r w:rsidR="0080370C">
              <w:t>.</w:t>
            </w:r>
            <w:fldSimple w:instr=" SEQ Figura \* ARABIC \s 1 ">
              <w:r w:rsidR="0080370C">
                <w:rPr>
                  <w:noProof/>
                </w:rPr>
                <w:t>8</w:t>
              </w:r>
            </w:fldSimple>
            <w:bookmarkEnd w:id="110"/>
            <w:r>
              <w:t xml:space="preserve"> F</w:t>
            </w:r>
            <w:r w:rsidRPr="007543DA">
              <w:t>recvența utilizării zilnice și ocazionale de țigări electronice sau dispozitive electronice similare la populația din grupa de vârstă 15-24 de ani,</w:t>
            </w:r>
            <w:r>
              <w:t xml:space="preserve"> pe sexe,</w:t>
            </w:r>
            <w:r w:rsidRPr="007543DA">
              <w:t xml:space="preserve"> Sursa</w:t>
            </w:r>
            <w:r w:rsidRPr="006E0160">
              <w:t>: EHIS 2019</w:t>
            </w:r>
            <w:r>
              <w:fldChar w:fldCharType="begin"/>
            </w:r>
            <w:r w:rsidR="0009552B">
              <w:instrText xml:space="preserve"> ADDIN EN.CITE &lt;EndNote&gt;&lt;Cite&gt;&lt;Author&gt;INS&lt;/Author&gt;&lt;Year&gt;2021&lt;/Year&gt;&lt;RecNum&gt;9227&lt;/RecNum&gt;&lt;DisplayText&gt;&lt;style size="10"&gt;[3]&lt;/style&gt;&lt;/DisplayText&gt;&lt;record&gt;&lt;rec-number&gt;9227&lt;/rec-number&gt;&lt;foreign-keys&gt;&lt;key app="EN" db-id="fw0prtesnvf55cepezbx255wwza5zw0ssatt" timestamp="1759716798" guid="36a23b9d-60d3-4874-abc0-31c6c4eb1a87"&gt;9227&lt;/key&gt;&lt;/foreign-keys&gt;&lt;ref-type name="Report"&gt;27&lt;/ref-type&gt;&lt;contributors&gt;&lt;authors&gt;&lt;author&gt;&lt;style face="normal" font="default" charset="238" size="100%"&gt;INS&lt;/style&gt;&lt;/author&gt;&lt;/authors&gt;&lt;secondary-authors&gt;&lt;author&gt;&lt;style face="normal" font="default" charset="238" size="100%"&gt;INS&lt;/style&gt;&lt;/author&gt;&lt;/secondary-authors&gt;&lt;/contributors&gt;&lt;titles&gt;&lt;title&gt;&lt;style face="normal" font="default" charset="238" size="100%"&gt;Starea de sănătate a populației din Rom&lt;/style&gt;&lt;style face="normal" font="default" size="100%"&gt;â&lt;/style&gt;&lt;style face="normal" font="default" charset="238" size="100%"&gt;nia -2019&lt;/style&gt;&lt;/title&gt;&lt;/titles&gt;&lt;dates&gt;&lt;year&gt;&lt;style face="normal" font="default" charset="238" size="100%"&gt;2021&lt;/style&gt;&lt;/year&gt;&lt;/dates&gt;&lt;label&gt;&lt;style face="normal" font="default" charset="238" size="100%"&gt;INS Starea de sănătate a populației din Rom&lt;/style&gt;&lt;style face="normal" font="default" size="100%"&gt;â&lt;/style&gt;&lt;style face="normal" font="default" charset="238" size="100%"&gt;nia -2019&lt;/style&gt;&lt;/label&gt;&lt;urls&gt;&lt;related-urls&gt;&lt;url&gt;https://insse.ro/cms/sites/default/files/field/publicatii/starea_de_sanatate_a_populatiei_din_romania_2019.pdf&lt;/url&gt;&lt;/related-urls&gt;&lt;/urls&gt;&lt;/record&gt;&lt;/Cite&gt;&lt;/EndNote&gt;</w:instrText>
            </w:r>
            <w:r>
              <w:fldChar w:fldCharType="separate"/>
            </w:r>
            <w:r w:rsidR="0009552B">
              <w:rPr>
                <w:noProof/>
              </w:rPr>
              <w:t>[3]</w:t>
            </w:r>
            <w:r>
              <w:fldChar w:fldCharType="end"/>
            </w:r>
          </w:p>
        </w:tc>
        <w:tc>
          <w:tcPr>
            <w:tcW w:w="4606" w:type="dxa"/>
          </w:tcPr>
          <w:p w14:paraId="6EFC8717" w14:textId="77777777" w:rsidR="00CD3152" w:rsidRDefault="00CD3152" w:rsidP="00F032B4">
            <w:pPr>
              <w:keepNext/>
            </w:pPr>
            <w:r>
              <w:rPr>
                <w:noProof/>
              </w:rPr>
              <w:drawing>
                <wp:inline distT="0" distB="0" distL="0" distR="0" wp14:anchorId="5F3BF9A0" wp14:editId="1AE4588D">
                  <wp:extent cx="2880000" cy="2160000"/>
                  <wp:effectExtent l="0" t="0" r="15875" b="12065"/>
                  <wp:docPr id="1282902181" name="Chart 1">
                    <a:extLst xmlns:a="http://schemas.openxmlformats.org/drawingml/2006/main">
                      <a:ext uri="{FF2B5EF4-FFF2-40B4-BE49-F238E27FC236}">
                        <a16:creationId xmlns:a16="http://schemas.microsoft.com/office/drawing/2014/main" id="{B898A35F-4804-4095-8947-2BDC1968AFD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0"/>
                    </a:graphicData>
                  </a:graphic>
                </wp:inline>
              </w:drawing>
            </w:r>
          </w:p>
          <w:p w14:paraId="68D76EF2" w14:textId="7AB561A9" w:rsidR="00CD3152" w:rsidRDefault="00CD3152" w:rsidP="00F032B4">
            <w:pPr>
              <w:pStyle w:val="Caption"/>
              <w:jc w:val="both"/>
            </w:pPr>
            <w:bookmarkStart w:id="111" w:name="_Ref211577612"/>
            <w:r>
              <w:t xml:space="preserve">Figura </w:t>
            </w:r>
            <w:fldSimple w:instr=" STYLEREF 1 \s ">
              <w:r w:rsidR="0080370C">
                <w:rPr>
                  <w:noProof/>
                </w:rPr>
                <w:t>V</w:t>
              </w:r>
            </w:fldSimple>
            <w:r w:rsidR="0080370C">
              <w:t>.</w:t>
            </w:r>
            <w:fldSimple w:instr=" SEQ Figura \* ARABIC \s 1 ">
              <w:r w:rsidR="0080370C">
                <w:rPr>
                  <w:noProof/>
                </w:rPr>
                <w:t>9</w:t>
              </w:r>
            </w:fldSimple>
            <w:bookmarkEnd w:id="111"/>
            <w:r>
              <w:t xml:space="preserve"> </w:t>
            </w:r>
            <w:r w:rsidRPr="007543DA">
              <w:t>frecvența utilizării zilnice și ocazionale de țigări electronice sau dispozitive electronice similare la populația din grupa de vârstă 15-24 de ani,</w:t>
            </w:r>
            <w:r>
              <w:t xml:space="preserve"> pe medii de rezidență,</w:t>
            </w:r>
            <w:r w:rsidRPr="007543DA">
              <w:t xml:space="preserve"> Sursa</w:t>
            </w:r>
            <w:r w:rsidRPr="006E0160">
              <w:t>: EHIS 2019</w:t>
            </w:r>
            <w:r>
              <w:fldChar w:fldCharType="begin"/>
            </w:r>
            <w:r w:rsidR="0009552B">
              <w:instrText xml:space="preserve"> ADDIN EN.CITE &lt;EndNote&gt;&lt;Cite&gt;&lt;Author&gt;INS&lt;/Author&gt;&lt;Year&gt;2021&lt;/Year&gt;&lt;RecNum&gt;9227&lt;/RecNum&gt;&lt;DisplayText&gt;&lt;style size="10"&gt;[3]&lt;/style&gt;&lt;/DisplayText&gt;&lt;record&gt;&lt;rec-number&gt;9227&lt;/rec-number&gt;&lt;foreign-keys&gt;&lt;key app="EN" db-id="fw0prtesnvf55cepezbx255wwza5zw0ssatt" timestamp="1759716798" guid="36a23b9d-60d3-4874-abc0-31c6c4eb1a87"&gt;9227&lt;/key&gt;&lt;/foreign-keys&gt;&lt;ref-type name="Report"&gt;27&lt;/ref-type&gt;&lt;contributors&gt;&lt;authors&gt;&lt;author&gt;&lt;style face="normal" font="default" charset="238" size="100%"&gt;INS&lt;/style&gt;&lt;/author&gt;&lt;/authors&gt;&lt;secondary-authors&gt;&lt;author&gt;&lt;style face="normal" font="default" charset="238" size="100%"&gt;INS&lt;/style&gt;&lt;/author&gt;&lt;/secondary-authors&gt;&lt;/contributors&gt;&lt;titles&gt;&lt;title&gt;&lt;style face="normal" font="default" charset="238" size="100%"&gt;Starea de sănătate a populației din Rom&lt;/style&gt;&lt;style face="normal" font="default" size="100%"&gt;â&lt;/style&gt;&lt;style face="normal" font="default" charset="238" size="100%"&gt;nia -2019&lt;/style&gt;&lt;/title&gt;&lt;/titles&gt;&lt;dates&gt;&lt;year&gt;&lt;style face="normal" font="default" charset="238" size="100%"&gt;2021&lt;/style&gt;&lt;/year&gt;&lt;/dates&gt;&lt;label&gt;&lt;style face="normal" font="default" charset="238" size="100%"&gt;INS Starea de sănătate a populației din Rom&lt;/style&gt;&lt;style face="normal" font="default" size="100%"&gt;â&lt;/style&gt;&lt;style face="normal" font="default" charset="238" size="100%"&gt;nia -2019&lt;/style&gt;&lt;/label&gt;&lt;urls&gt;&lt;related-urls&gt;&lt;url&gt;https://insse.ro/cms/sites/default/files/field/publicatii/starea_de_sanatate_a_populatiei_din_romania_2019.pdf&lt;/url&gt;&lt;/related-urls&gt;&lt;/urls&gt;&lt;/record&gt;&lt;/Cite&gt;&lt;/EndNote&gt;</w:instrText>
            </w:r>
            <w:r>
              <w:fldChar w:fldCharType="separate"/>
            </w:r>
            <w:r w:rsidR="0009552B">
              <w:rPr>
                <w:noProof/>
              </w:rPr>
              <w:t>[3]</w:t>
            </w:r>
            <w:r>
              <w:fldChar w:fldCharType="end"/>
            </w:r>
          </w:p>
          <w:p w14:paraId="2BC821D7" w14:textId="77777777" w:rsidR="00CD3152" w:rsidRDefault="00CD3152" w:rsidP="00F032B4"/>
        </w:tc>
      </w:tr>
    </w:tbl>
    <w:p w14:paraId="6A364FDA" w14:textId="77777777" w:rsidR="00CD3152" w:rsidRDefault="00CD3152" w:rsidP="00CD3152">
      <w:pPr>
        <w:ind w:firstLine="708"/>
        <w:jc w:val="both"/>
      </w:pPr>
      <w:r w:rsidRPr="00547CF8">
        <w:t>La grupa de vârstă 15-24 de ani, ponderea utili</w:t>
      </w:r>
      <w:r>
        <w:t>zatorilor</w:t>
      </w:r>
      <w:r w:rsidRPr="00547CF8">
        <w:t xml:space="preserve"> de țigări electronice sau dispozitive electronice de </w:t>
      </w:r>
      <w:r>
        <w:t>genul masculin este mai mare decât la genul feminin pentru utilizarea ocazională a acestor dispozitive (1,54%, respectiv 1,24%) și mult mai mică în cazul utilizării zilnice (0,06% la bărbați față de 0,29% la femei)(</w:t>
      </w:r>
      <w:r>
        <w:fldChar w:fldCharType="begin"/>
      </w:r>
      <w:r>
        <w:instrText xml:space="preserve"> REF _Ref211577593 \h </w:instrText>
      </w:r>
      <w:r>
        <w:fldChar w:fldCharType="separate"/>
      </w:r>
      <w:r>
        <w:t xml:space="preserve">Figura </w:t>
      </w:r>
      <w:r>
        <w:rPr>
          <w:noProof/>
        </w:rPr>
        <w:t>V</w:t>
      </w:r>
      <w:r>
        <w:t>.</w:t>
      </w:r>
      <w:r>
        <w:rPr>
          <w:noProof/>
        </w:rPr>
        <w:t>8</w:t>
      </w:r>
      <w:r>
        <w:fldChar w:fldCharType="end"/>
      </w:r>
      <w:r>
        <w:t>).</w:t>
      </w:r>
    </w:p>
    <w:p w14:paraId="40A24C7D" w14:textId="77777777" w:rsidR="00CD3152" w:rsidRPr="006E0160" w:rsidRDefault="00CD3152" w:rsidP="00CD3152">
      <w:pPr>
        <w:ind w:firstLine="708"/>
        <w:jc w:val="both"/>
      </w:pPr>
      <w:r>
        <w:t xml:space="preserve">În funcție de mediul de rezidență, </w:t>
      </w:r>
      <w:r w:rsidRPr="00547CF8">
        <w:t xml:space="preserve"> </w:t>
      </w:r>
      <w:r>
        <w:t>l</w:t>
      </w:r>
      <w:r w:rsidRPr="00040A6D">
        <w:t>a grupa de vârstă 15-24 de ani</w:t>
      </w:r>
      <w:r>
        <w:t>,</w:t>
      </w:r>
      <w:r w:rsidRPr="00040A6D">
        <w:t xml:space="preserve"> </w:t>
      </w:r>
      <w:r>
        <w:t xml:space="preserve">frecvența utilizării de </w:t>
      </w:r>
      <w:r w:rsidRPr="007D1F6D">
        <w:t xml:space="preserve">țigări electronice </w:t>
      </w:r>
      <w:r w:rsidRPr="00547CF8">
        <w:t xml:space="preserve">este </w:t>
      </w:r>
      <w:r>
        <w:t>mai mare în urban atât pentru utilizarea zilnică, cât și pentru cea ocazională (1,68% vs 1,12%)(</w:t>
      </w:r>
      <w:r>
        <w:fldChar w:fldCharType="begin"/>
      </w:r>
      <w:r>
        <w:instrText xml:space="preserve"> REF _Ref211577612 \h </w:instrText>
      </w:r>
      <w:r>
        <w:fldChar w:fldCharType="separate"/>
      </w:r>
      <w:r>
        <w:t xml:space="preserve">Figura </w:t>
      </w:r>
      <w:r>
        <w:rPr>
          <w:noProof/>
        </w:rPr>
        <w:t>V</w:t>
      </w:r>
      <w:r>
        <w:t>.</w:t>
      </w:r>
      <w:r>
        <w:rPr>
          <w:noProof/>
        </w:rPr>
        <w:t>9</w:t>
      </w:r>
      <w:r>
        <w:fldChar w:fldCharType="end"/>
      </w:r>
      <w:r>
        <w:t xml:space="preserve">). </w:t>
      </w:r>
    </w:p>
    <w:p w14:paraId="2D5D3FA3" w14:textId="77777777" w:rsidR="00CD3152" w:rsidRPr="006E0160" w:rsidRDefault="00CD3152" w:rsidP="001A1C0B">
      <w:pPr>
        <w:pStyle w:val="Heading2"/>
      </w:pPr>
      <w:bookmarkStart w:id="112" w:name="_Toc232660579"/>
      <w:r w:rsidRPr="006E0160">
        <w:t>Consumul de produse de tutun la adolescenți</w:t>
      </w:r>
      <w:r>
        <w:t>i 14-18 ani, YRBSS 2022/2023</w:t>
      </w:r>
      <w:bookmarkEnd w:id="112"/>
    </w:p>
    <w:p w14:paraId="6D5F1D17" w14:textId="77777777" w:rsidR="00CD3152" w:rsidRPr="006E0160" w:rsidRDefault="00CD3152" w:rsidP="00CD3152">
      <w:pPr>
        <w:ind w:firstLine="708"/>
        <w:jc w:val="both"/>
      </w:pPr>
      <w:r w:rsidRPr="006E0160">
        <w:t>Inițierea precoce a fumatului, în perioada copilăriei și adolescenței, constituie un factor de risc major, cu efecte negative atât imediate, cât și pe termen lung asupra sănătății. Acest comportament crește semnificativ probabilitatea de apariție a unor afecțiuni grave, precum bolile cardiovasculare, afecțiunile respiratorii și diferite forme de cancer.</w:t>
      </w:r>
    </w:p>
    <w:p w14:paraId="74EBE321" w14:textId="77777777" w:rsidR="00CD3152" w:rsidRPr="006E0160" w:rsidRDefault="00CD3152" w:rsidP="00CD3152">
      <w:pPr>
        <w:ind w:firstLine="708"/>
        <w:jc w:val="both"/>
      </w:pPr>
      <w:r>
        <w:t xml:space="preserve">Au fost prezentate în capitolul I, rezultatele </w:t>
      </w:r>
      <w:r w:rsidRPr="005E23AF">
        <w:rPr>
          <w:b/>
          <w:bCs/>
        </w:rPr>
        <w:t>studiului Health Behaviour in School-age Children 2021/2022 (HBSC 2021/2022</w:t>
      </w:r>
      <w:r w:rsidRPr="000A3FD3">
        <w:t xml:space="preserve">), care analizează consumul de substanțe în rândul copiilor și adolescenților cu vârste de </w:t>
      </w:r>
      <w:r w:rsidRPr="005E23AF">
        <w:rPr>
          <w:b/>
          <w:bCs/>
        </w:rPr>
        <w:t>11, 13 și 15 ani</w:t>
      </w:r>
      <w:r w:rsidRPr="000A3FD3">
        <w:t xml:space="preserve"> în țările UE și în alte câteva țări</w:t>
      </w:r>
      <w:r>
        <w:t xml:space="preserve"> și respectiv ale </w:t>
      </w:r>
      <w:r w:rsidRPr="0001128F">
        <w:rPr>
          <w:b/>
          <w:bCs/>
        </w:rPr>
        <w:t>studiului European School Survey Project on Alcohol and Other Drugs</w:t>
      </w:r>
      <w:r>
        <w:rPr>
          <w:b/>
          <w:bCs/>
        </w:rPr>
        <w:t xml:space="preserve"> 2024 (ESPAD),</w:t>
      </w:r>
      <w:r w:rsidRPr="0001128F">
        <w:rPr>
          <w:b/>
          <w:bCs/>
        </w:rPr>
        <w:t xml:space="preserve">  </w:t>
      </w:r>
      <w:r w:rsidRPr="006E0160">
        <w:t xml:space="preserve">care colectează date privind comportamentele la risc pentru sănătate de la </w:t>
      </w:r>
      <w:r>
        <w:t>adolescenții</w:t>
      </w:r>
      <w:r w:rsidRPr="006E0160">
        <w:t xml:space="preserve"> din grupa de </w:t>
      </w:r>
      <w:r w:rsidRPr="000A3FD3">
        <w:rPr>
          <w:b/>
          <w:bCs/>
        </w:rPr>
        <w:t>vârstă 15-16 ani</w:t>
      </w:r>
      <w:r>
        <w:t xml:space="preserve">. </w:t>
      </w:r>
    </w:p>
    <w:p w14:paraId="187558DC" w14:textId="5F3CEA02" w:rsidR="00CD3152" w:rsidRDefault="00CD3152" w:rsidP="00CD3152">
      <w:pPr>
        <w:pStyle w:val="ListParagraph"/>
        <w:tabs>
          <w:tab w:val="left" w:pos="567"/>
        </w:tabs>
        <w:ind w:left="0"/>
        <w:jc w:val="both"/>
      </w:pPr>
      <w:r>
        <w:tab/>
      </w:r>
      <w:r w:rsidRPr="003C0925">
        <w:t xml:space="preserve">Un </w:t>
      </w:r>
      <w:r>
        <w:t xml:space="preserve">alt </w:t>
      </w:r>
      <w:r w:rsidRPr="003C0925">
        <w:t xml:space="preserve">studiu de relevant la nivel național este </w:t>
      </w:r>
      <w:r w:rsidRPr="00B104EE">
        <w:rPr>
          <w:b/>
          <w:bCs/>
          <w:i/>
          <w:iCs/>
        </w:rPr>
        <w:t>Studiul privind comportamentele la risc în rândul adolescenților</w:t>
      </w:r>
      <w:r w:rsidRPr="003C0925">
        <w:t xml:space="preserve"> - </w:t>
      </w:r>
      <w:r w:rsidRPr="003C0925">
        <w:rPr>
          <w:b/>
          <w:bCs/>
          <w:i/>
          <w:iCs/>
        </w:rPr>
        <w:t>YRBSS (Youth Risk Behavior Surveillance System)</w:t>
      </w:r>
      <w:r w:rsidRPr="003C0925">
        <w:rPr>
          <w:b/>
          <w:bCs/>
          <w:i/>
          <w:iCs/>
        </w:rPr>
        <w:fldChar w:fldCharType="begin">
          <w:fldData xml:space="preserve">PEVuZE5vdGU+PENpdGU+PEF1dGhvcj5JTlNQPC9BdXRob3I+PFllYXI+MjAyNDwvWWVhcj48UmVj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</w:fldData>
        </w:fldChar>
      </w:r>
      <w:r w:rsidR="00D4526D">
        <w:rPr>
          <w:b/>
          <w:bCs/>
          <w:i/>
          <w:iCs/>
        </w:rPr>
        <w:instrText xml:space="preserve"> ADDIN EN.CITE </w:instrText>
      </w:r>
      <w:r w:rsidR="00D4526D">
        <w:rPr>
          <w:b/>
          <w:bCs/>
          <w:i/>
          <w:iCs/>
        </w:rPr>
        <w:fldChar w:fldCharType="begin">
          <w:fldData xml:space="preserve">PEVuZE5vdGU+PENpdGU+PEF1dGhvcj5JTlNQPC9BdXRob3I+PFllYXI+MjAyNDwvWWVhcj48UmVj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</w:fldData>
        </w:fldChar>
      </w:r>
      <w:r w:rsidR="00D4526D">
        <w:rPr>
          <w:b/>
          <w:bCs/>
          <w:i/>
          <w:iCs/>
        </w:rPr>
        <w:instrText xml:space="preserve"> ADDIN EN.CITE.DATA </w:instrText>
      </w:r>
      <w:r w:rsidR="00D4526D">
        <w:rPr>
          <w:b/>
          <w:bCs/>
          <w:i/>
          <w:iCs/>
        </w:rPr>
      </w:r>
      <w:r w:rsidR="00D4526D">
        <w:rPr>
          <w:b/>
          <w:bCs/>
          <w:i/>
          <w:iCs/>
        </w:rPr>
        <w:fldChar w:fldCharType="end"/>
      </w:r>
      <w:r w:rsidRPr="003C0925">
        <w:rPr>
          <w:b/>
          <w:bCs/>
          <w:i/>
          <w:iCs/>
        </w:rPr>
      </w:r>
      <w:r w:rsidRPr="003C0925">
        <w:rPr>
          <w:b/>
          <w:bCs/>
          <w:i/>
          <w:iCs/>
        </w:rPr>
        <w:fldChar w:fldCharType="separate"/>
      </w:r>
      <w:r w:rsidR="00D4526D" w:rsidRPr="00D4526D">
        <w:rPr>
          <w:b/>
          <w:bCs/>
          <w:i/>
          <w:iCs/>
          <w:noProof/>
          <w:sz w:val="20"/>
        </w:rPr>
        <w:t>[41,42]</w:t>
      </w:r>
      <w:r w:rsidRPr="003C0925">
        <w:rPr>
          <w:b/>
          <w:bCs/>
          <w:i/>
          <w:iCs/>
        </w:rPr>
        <w:fldChar w:fldCharType="end"/>
      </w:r>
      <w:r w:rsidRPr="003C0925">
        <w:rPr>
          <w:b/>
          <w:bCs/>
          <w:i/>
          <w:iCs/>
        </w:rPr>
        <w:t>,</w:t>
      </w:r>
      <w:r w:rsidRPr="003C0925">
        <w:t xml:space="preserve"> derulat în România în anul școlar 2022-2023 ca metodă de a evalua și monitoriza comportamentele cu risc pentru sănătate la elevii de liceu, 14 -18 ani și peste. </w:t>
      </w:r>
      <w:r w:rsidRPr="00197C2F">
        <w:t>Instrumentul utilizat în cercetare a fost elaborat de CDC, dar a fost adaptat particularităţilor socio-economice şi cultural-educative din România</w:t>
      </w:r>
      <w:r w:rsidRPr="003C0925">
        <w:t xml:space="preserve">. </w:t>
      </w:r>
      <w:r w:rsidRPr="00B104EE">
        <w:t xml:space="preserve">YRBSS 2022-2023 s-a desfășurat pe </w:t>
      </w:r>
      <w:r w:rsidRPr="00B104EE">
        <w:lastRenderedPageBreak/>
        <w:t>un lot semnificativ de 22039 elevi din clasele IX - XII/XIII, dintre care 52,1% au fost fete (11481) şi 45,7% băieţi (10079).</w:t>
      </w:r>
    </w:p>
    <w:p w14:paraId="68DEAABD" w14:textId="77777777" w:rsidR="00CD3152" w:rsidRDefault="00CD3152" w:rsidP="00CD3152">
      <w:pPr>
        <w:pStyle w:val="ListParagraph"/>
        <w:tabs>
          <w:tab w:val="left" w:pos="567"/>
        </w:tabs>
        <w:ind w:left="0"/>
        <w:jc w:val="both"/>
      </w:pPr>
      <w:r>
        <w:tab/>
      </w:r>
      <w:r w:rsidRPr="003C0925">
        <w:t>Concluziile studiului sunt relevante pentru populația țintă. 2,4% dintre respondenți au încercat să fumeze prima țigară la vârsta de 8 ani sau înainte de vârsta de 8 ani, 3,2 % între 9 și 10 ani, 9,7% între 11 și 12 ani. Cea mai mare frecvență raportată a momentului încercării primei țigări a fost pentru grupele de vârstă 13-14 ani (25%) și 15-16 ani (29%).</w:t>
      </w:r>
    </w:p>
    <w:p w14:paraId="4149050E" w14:textId="77777777" w:rsidR="00CD3152" w:rsidRPr="00075E28" w:rsidRDefault="00CD3152" w:rsidP="00CD3152">
      <w:pPr>
        <w:pStyle w:val="Heading3"/>
      </w:pPr>
      <w:bookmarkStart w:id="113" w:name="_Toc232660580"/>
      <w:r w:rsidRPr="00197C2F">
        <w:t>Consumul experimental de țigări la adolescenți</w:t>
      </w:r>
      <w:r>
        <w:t xml:space="preserve"> 14-18 ani, </w:t>
      </w:r>
      <w:r w:rsidRPr="00BC3CDB">
        <w:t>YRBSS 2022</w:t>
      </w:r>
      <w:r>
        <w:t>/</w:t>
      </w:r>
      <w:r w:rsidRPr="00BC3CDB">
        <w:t>2023</w:t>
      </w:r>
      <w:bookmarkEnd w:id="113"/>
    </w:p>
    <w:p w14:paraId="2953AF3F" w14:textId="77777777" w:rsidR="00CD3152" w:rsidRPr="00B3511E" w:rsidRDefault="00CD3152" w:rsidP="00A62A7C">
      <w:pPr>
        <w:pStyle w:val="ListParagraph"/>
        <w:numPr>
          <w:ilvl w:val="0"/>
          <w:numId w:val="6"/>
        </w:numPr>
        <w:spacing w:line="319" w:lineRule="auto"/>
        <w:rPr>
          <w:i/>
          <w:iCs/>
          <w:u w:val="single"/>
        </w:rPr>
      </w:pPr>
      <w:r w:rsidRPr="00B3511E">
        <w:rPr>
          <w:i/>
          <w:iCs/>
          <w:u w:val="single"/>
        </w:rPr>
        <w:t>Consumul experimental de țigări la elevii cu vârsta cuprinsă între 14 şi 18 ani sau mai mult (YRBSS 2022-2023)</w:t>
      </w:r>
    </w:p>
    <w:p w14:paraId="0A76D078" w14:textId="77777777" w:rsidR="00CD3152" w:rsidRDefault="00CD3152" w:rsidP="00CD3152">
      <w:pPr>
        <w:spacing w:line="240" w:lineRule="auto"/>
        <w:ind w:firstLine="709"/>
        <w:jc w:val="both"/>
      </w:pPr>
    </w:p>
    <w:p w14:paraId="0B283123" w14:textId="77777777" w:rsidR="00CD3152" w:rsidRDefault="00CD3152" w:rsidP="00CD3152">
      <w:pPr>
        <w:keepNext/>
        <w:spacing w:line="240" w:lineRule="auto"/>
        <w:ind w:firstLine="709"/>
        <w:jc w:val="center"/>
      </w:pPr>
      <w:r>
        <w:rPr>
          <w:noProof/>
        </w:rPr>
        <w:drawing>
          <wp:inline distT="0" distB="0" distL="0" distR="0" wp14:anchorId="4525E281" wp14:editId="596F3B10">
            <wp:extent cx="3600000" cy="1800000"/>
            <wp:effectExtent l="0" t="0" r="635" b="10160"/>
            <wp:docPr id="834635561" name="Chart 1">
              <a:extLst xmlns:a="http://schemas.openxmlformats.org/drawingml/2006/main">
                <a:ext uri="{FF2B5EF4-FFF2-40B4-BE49-F238E27FC236}">
                  <a16:creationId xmlns:a16="http://schemas.microsoft.com/office/drawing/2014/main" i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1"/>
              </a:graphicData>
            </a:graphic>
          </wp:inline>
        </w:drawing>
      </w:r>
    </w:p>
    <w:p w14:paraId="1FF1BF45" w14:textId="0EDFA25C" w:rsidR="00CD3152" w:rsidRDefault="00CD3152" w:rsidP="00CD3152">
      <w:pPr>
        <w:pStyle w:val="Caption"/>
        <w:jc w:val="center"/>
      </w:pPr>
      <w:bookmarkStart w:id="114" w:name="_Ref211579162"/>
      <w:r>
        <w:t xml:space="preserve">Figura </w:t>
      </w:r>
      <w:fldSimple w:instr=" STYLEREF 1 \s ">
        <w:r w:rsidR="0080370C">
          <w:rPr>
            <w:noProof/>
          </w:rPr>
          <w:t>V</w:t>
        </w:r>
      </w:fldSimple>
      <w:r w:rsidR="0080370C">
        <w:t>.</w:t>
      </w:r>
      <w:fldSimple w:instr=" SEQ Figura \* ARABIC \s 1 ">
        <w:r w:rsidR="0080370C">
          <w:rPr>
            <w:noProof/>
          </w:rPr>
          <w:t>10</w:t>
        </w:r>
      </w:fldSimple>
      <w:bookmarkEnd w:id="114"/>
      <w:r w:rsidRPr="00B34773">
        <w:t xml:space="preserve"> </w:t>
      </w:r>
      <w:r>
        <w:t>Consumul experimental de ţigări la lotul de elevi 14-18 ani și peste investigaţi  (N=22039)</w:t>
      </w:r>
      <w:r w:rsidRPr="00B34773">
        <w:t xml:space="preserve">, </w:t>
      </w:r>
    </w:p>
    <w:p w14:paraId="18436C59" w14:textId="77777777" w:rsidR="00CD3152" w:rsidRDefault="00CD3152" w:rsidP="00CD3152">
      <w:pPr>
        <w:pStyle w:val="Caption"/>
        <w:jc w:val="center"/>
      </w:pPr>
      <w:r w:rsidRPr="00B34773">
        <w:t>Sursa: YRBSS (2022-2023)</w:t>
      </w:r>
    </w:p>
    <w:p w14:paraId="6DA0413C" w14:textId="77777777" w:rsidR="00CD3152" w:rsidRDefault="00CD3152" w:rsidP="00CD3152"/>
    <w:p w14:paraId="37F38FC3" w14:textId="77777777" w:rsidR="00CD3152" w:rsidRDefault="00CD3152" w:rsidP="00CD3152">
      <w:pPr>
        <w:spacing w:line="360" w:lineRule="auto"/>
        <w:ind w:firstLine="709"/>
        <w:jc w:val="both"/>
      </w:pPr>
      <w:r w:rsidRPr="00B34773">
        <w:t>Mai mult de jumătate dintre elevii investigați (cu vârsta cuprinsă între 14 şi 18 ani sau mai mult), respectiv 49.5%,  au raportat că au încercat vreodată să fumeze ţigări, chiar şi unul sau două fumuri</w:t>
      </w:r>
      <w:r>
        <w:t xml:space="preserve"> (</w:t>
      </w:r>
      <w:r>
        <w:fldChar w:fldCharType="begin"/>
      </w:r>
      <w:r>
        <w:instrText xml:space="preserve"> REF _Ref211579162 \h </w:instrText>
      </w:r>
      <w:r>
        <w:fldChar w:fldCharType="separate"/>
      </w:r>
      <w:r>
        <w:t xml:space="preserve">Figura </w:t>
      </w:r>
      <w:r>
        <w:rPr>
          <w:noProof/>
        </w:rPr>
        <w:t>V</w:t>
      </w:r>
      <w:r>
        <w:t>.</w:t>
      </w:r>
      <w:r>
        <w:rPr>
          <w:noProof/>
        </w:rPr>
        <w:t>14</w:t>
      </w:r>
      <w:r>
        <w:fldChar w:fldCharType="end"/>
      </w:r>
      <w:r>
        <w:t>)</w:t>
      </w:r>
      <w:r w:rsidRPr="00B34773">
        <w:t xml:space="preserve">. </w:t>
      </w:r>
    </w:p>
    <w:p w14:paraId="15DEF426" w14:textId="77777777" w:rsidR="00CD3152" w:rsidRDefault="00CD3152" w:rsidP="00CD3152"/>
    <w:p w14:paraId="25491426" w14:textId="77777777" w:rsidR="00CD3152" w:rsidRDefault="00CD3152" w:rsidP="00CD3152">
      <w:pPr>
        <w:keepNext/>
        <w:jc w:val="center"/>
      </w:pPr>
      <w:r>
        <w:rPr>
          <w:noProof/>
        </w:rPr>
        <w:drawing>
          <wp:inline distT="0" distB="0" distL="0" distR="0" wp14:anchorId="1B39CA9A" wp14:editId="131E3E1B">
            <wp:extent cx="5040000" cy="2520000"/>
            <wp:effectExtent l="0" t="0" r="8255" b="13970"/>
            <wp:docPr id="1881850448" name="Chart 1">
              <a:extLst xmlns:a="http://schemas.openxmlformats.org/drawingml/2006/main">
                <a:ext uri="{FF2B5EF4-FFF2-40B4-BE49-F238E27FC236}">
                  <a16:creationId xmlns:a16="http://schemas.microsoft.com/office/drawing/2014/main" id="{00000000-0008-0000-0000-000025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2"/>
              </a:graphicData>
            </a:graphic>
          </wp:inline>
        </w:drawing>
      </w:r>
    </w:p>
    <w:p w14:paraId="7F96AE13" w14:textId="333978D0" w:rsidR="00CD3152" w:rsidRDefault="00CD3152" w:rsidP="00CD3152">
      <w:pPr>
        <w:pStyle w:val="Caption"/>
        <w:jc w:val="center"/>
      </w:pPr>
      <w:bookmarkStart w:id="115" w:name="_Ref211579272"/>
      <w:r>
        <w:t xml:space="preserve">Figura </w:t>
      </w:r>
      <w:fldSimple w:instr=" STYLEREF 1 \s ">
        <w:r w:rsidR="0080370C">
          <w:rPr>
            <w:noProof/>
          </w:rPr>
          <w:t>V</w:t>
        </w:r>
      </w:fldSimple>
      <w:r w:rsidR="0080370C">
        <w:t>.</w:t>
      </w:r>
      <w:fldSimple w:instr=" SEQ Figura \* ARABIC \s 1 ">
        <w:r w:rsidR="0080370C">
          <w:rPr>
            <w:noProof/>
          </w:rPr>
          <w:t>11</w:t>
        </w:r>
      </w:fldSimple>
      <w:bookmarkEnd w:id="115"/>
      <w:r>
        <w:t xml:space="preserve"> </w:t>
      </w:r>
      <w:r w:rsidRPr="000E21B1">
        <w:t>Consumul experimental de țigări  la elevi cu vârsta cuprinsă între 14 şi 18 ani sau mai mult</w:t>
      </w:r>
      <w:r>
        <w:t>, pe sexe,</w:t>
      </w:r>
      <w:r w:rsidRPr="000E21B1">
        <w:t xml:space="preserve"> (N=22039), Sursa: YRBSS (2022-2023</w:t>
      </w:r>
      <w:r>
        <w:t>)</w:t>
      </w:r>
    </w:p>
    <w:p w14:paraId="52A0F88D" w14:textId="77777777" w:rsidR="00CD3152" w:rsidRDefault="00CD3152" w:rsidP="00CD3152"/>
    <w:p w14:paraId="046C1790" w14:textId="77777777" w:rsidR="00CD3152" w:rsidRPr="006E0160" w:rsidRDefault="00CD3152" w:rsidP="00CD3152">
      <w:pPr>
        <w:jc w:val="center"/>
        <w:rPr>
          <w:noProof/>
        </w:rPr>
      </w:pPr>
      <w:r>
        <w:rPr>
          <w:noProof/>
        </w:rPr>
        <w:lastRenderedPageBreak/>
        <w:drawing>
          <wp:inline distT="0" distB="0" distL="0" distR="0" wp14:anchorId="0A414237" wp14:editId="0495F87F">
            <wp:extent cx="5040000" cy="2520000"/>
            <wp:effectExtent l="0" t="0" r="8255" b="13970"/>
            <wp:docPr id="1242873241" name="Chart 1">
              <a:extLst xmlns:a="http://schemas.openxmlformats.org/drawingml/2006/main">
                <a:ext uri="{FF2B5EF4-FFF2-40B4-BE49-F238E27FC236}">
                  <a16:creationId xmlns:a16="http://schemas.microsoft.com/office/drawing/2014/main" id="{00000000-0008-0000-0000-00002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3"/>
              </a:graphicData>
            </a:graphic>
          </wp:inline>
        </w:drawing>
      </w:r>
    </w:p>
    <w:p w14:paraId="41D096BA" w14:textId="1B1426D2" w:rsidR="00CD3152" w:rsidRDefault="00CD3152" w:rsidP="00CD3152">
      <w:pPr>
        <w:pStyle w:val="Caption"/>
        <w:jc w:val="center"/>
      </w:pPr>
      <w:bookmarkStart w:id="116" w:name="_Ref211579290"/>
      <w:r w:rsidRPr="006E0160">
        <w:t xml:space="preserve">Figura </w:t>
      </w:r>
      <w:fldSimple w:instr=" STYLEREF 1 \s ">
        <w:r w:rsidR="0080370C">
          <w:rPr>
            <w:noProof/>
          </w:rPr>
          <w:t>V</w:t>
        </w:r>
      </w:fldSimple>
      <w:r w:rsidR="0080370C">
        <w:t>.</w:t>
      </w:r>
      <w:fldSimple w:instr=" SEQ Figura \* ARABIC \s 1 ">
        <w:r w:rsidR="0080370C">
          <w:rPr>
            <w:noProof/>
          </w:rPr>
          <w:t>12</w:t>
        </w:r>
      </w:fldSimple>
      <w:bookmarkEnd w:id="116"/>
      <w:r w:rsidRPr="006E0160">
        <w:t xml:space="preserve"> Consumul experimental de țigări  la elevi cu vârsta cuprinsă între 14 şi 18 ani sau mai mult (N=22039), Sursa: YRBSS (2022-2023)</w:t>
      </w:r>
    </w:p>
    <w:p w14:paraId="7A3325DF" w14:textId="77777777" w:rsidR="00CD3152" w:rsidRPr="00075E28" w:rsidRDefault="00CD3152" w:rsidP="00CD3152"/>
    <w:p w14:paraId="1740E715" w14:textId="77777777" w:rsidR="00CD3152" w:rsidRPr="001A1C0B" w:rsidRDefault="00CD3152" w:rsidP="00CD3152">
      <w:pPr>
        <w:ind w:firstLine="708"/>
        <w:jc w:val="both"/>
      </w:pPr>
      <w:r w:rsidRPr="00DE072D">
        <w:t>Experimentarea fumatului diferă semnificativ în funcție de gen și crește pe măsura înaintării în vârstă.</w:t>
      </w:r>
      <w:r>
        <w:t xml:space="preserve"> Astfel se constată că 51,6% fete au raportat că au încercat să fumeze ţigări vreodată, chiar şi unul sau două fumuri, versus 49,3% băieți (</w:t>
      </w:r>
      <w:r>
        <w:fldChar w:fldCharType="begin"/>
      </w:r>
      <w:r>
        <w:instrText xml:space="preserve"> REF _Ref211579272 \h </w:instrText>
      </w:r>
      <w:r>
        <w:fldChar w:fldCharType="separate"/>
      </w:r>
      <w:r>
        <w:t xml:space="preserve">Figura </w:t>
      </w:r>
      <w:r>
        <w:rPr>
          <w:noProof/>
        </w:rPr>
        <w:t>V</w:t>
      </w:r>
      <w:r>
        <w:t>.</w:t>
      </w:r>
      <w:r>
        <w:rPr>
          <w:noProof/>
        </w:rPr>
        <w:t>15</w:t>
      </w:r>
      <w:r>
        <w:fldChar w:fldCharType="end"/>
      </w:r>
      <w:r>
        <w:t xml:space="preserve"> și </w:t>
      </w:r>
      <w:r>
        <w:fldChar w:fldCharType="begin"/>
      </w:r>
      <w:r>
        <w:instrText xml:space="preserve"> REF _Ref211579290 \h </w:instrText>
      </w:r>
      <w:r>
        <w:fldChar w:fldCharType="separate"/>
      </w:r>
      <w:r w:rsidRPr="006E0160">
        <w:t xml:space="preserve">Figura </w:t>
      </w:r>
      <w:r>
        <w:rPr>
          <w:noProof/>
        </w:rPr>
        <w:t>V</w:t>
      </w:r>
      <w:r>
        <w:t>.</w:t>
      </w:r>
      <w:r>
        <w:rPr>
          <w:noProof/>
        </w:rPr>
        <w:t>16</w:t>
      </w:r>
      <w:r>
        <w:fldChar w:fldCharType="end"/>
      </w:r>
      <w:r>
        <w:t>).</w:t>
      </w:r>
    </w:p>
    <w:p w14:paraId="2FEDC8E7" w14:textId="77777777" w:rsidR="00CD3152" w:rsidRPr="006E0160" w:rsidRDefault="00CD3152" w:rsidP="00CD3152">
      <w:pPr>
        <w:jc w:val="center"/>
        <w:rPr>
          <w:noProof/>
        </w:rPr>
      </w:pPr>
      <w:r>
        <w:rPr>
          <w:noProof/>
        </w:rPr>
        <w:drawing>
          <wp:inline distT="0" distB="0" distL="0" distR="0" wp14:anchorId="086AE2AD" wp14:editId="0786C5B7">
            <wp:extent cx="5040000" cy="2520000"/>
            <wp:effectExtent l="0" t="0" r="8255" b="13970"/>
            <wp:docPr id="1623250898" name="Chart 1">
              <a:extLst xmlns:a="http://schemas.openxmlformats.org/drawingml/2006/main">
                <a:ext uri="{FF2B5EF4-FFF2-40B4-BE49-F238E27FC236}">
                  <a16:creationId xmlns:a16="http://schemas.microsoft.com/office/drawing/2014/main" id="{00000000-0008-0000-0000-00001B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4"/>
              </a:graphicData>
            </a:graphic>
          </wp:inline>
        </w:drawing>
      </w:r>
    </w:p>
    <w:p w14:paraId="50410934" w14:textId="70212008" w:rsidR="00CD3152" w:rsidRPr="00947AFD" w:rsidRDefault="00CD3152" w:rsidP="00CD3152">
      <w:pPr>
        <w:pStyle w:val="Caption"/>
        <w:jc w:val="center"/>
        <w:rPr>
          <w:noProof/>
        </w:rPr>
      </w:pPr>
      <w:bookmarkStart w:id="117" w:name="_Ref211579322"/>
      <w:r w:rsidRPr="00947AFD">
        <w:t xml:space="preserve">Figura </w:t>
      </w:r>
      <w:fldSimple w:instr=" STYLEREF 1 \s ">
        <w:r w:rsidR="0080370C">
          <w:rPr>
            <w:noProof/>
          </w:rPr>
          <w:t>V</w:t>
        </w:r>
      </w:fldSimple>
      <w:r w:rsidR="0080370C">
        <w:t>.</w:t>
      </w:r>
      <w:fldSimple w:instr=" SEQ Figura \* ARABIC \s 1 ">
        <w:r w:rsidR="0080370C">
          <w:rPr>
            <w:noProof/>
          </w:rPr>
          <w:t>13</w:t>
        </w:r>
      </w:fldSimple>
      <w:bookmarkEnd w:id="117"/>
      <w:r w:rsidRPr="00947AFD">
        <w:t xml:space="preserve"> Consumul experimental de ţigări la fete şi băieţi cu vârsta cuprinsă între 14 şi 18 ani sau mai mult (N=21560), Sursa: YRBSS (2022-2023)</w:t>
      </w:r>
    </w:p>
    <w:p w14:paraId="6A0AEE13" w14:textId="77777777" w:rsidR="00CD3152" w:rsidRPr="006E0160" w:rsidRDefault="00CD3152" w:rsidP="00CD3152">
      <w:pPr>
        <w:ind w:firstLine="708"/>
        <w:jc w:val="both"/>
        <w:rPr>
          <w:noProof/>
        </w:rPr>
      </w:pPr>
      <w:r w:rsidRPr="00947AFD">
        <w:rPr>
          <w:noProof/>
        </w:rPr>
        <w:t>Proporţia fetelor care au experimentat pe parcursul vieţii fumatul este uşor mai crescută la vârstele cuprinse între 14-17 ani decât la băieţi, iar la 18 ani sau mai mult, proporţia băieţilor este puţin mai mare decât cea a fetelor</w:t>
      </w:r>
      <w:r>
        <w:rPr>
          <w:noProof/>
        </w:rPr>
        <w:t xml:space="preserve"> (</w:t>
      </w:r>
      <w:r>
        <w:rPr>
          <w:noProof/>
        </w:rPr>
        <w:fldChar w:fldCharType="begin"/>
      </w:r>
      <w:r>
        <w:rPr>
          <w:noProof/>
        </w:rPr>
        <w:instrText xml:space="preserve"> REF _Ref211579322 \h </w:instrText>
      </w:r>
      <w:r>
        <w:rPr>
          <w:noProof/>
        </w:rPr>
      </w:r>
      <w:r>
        <w:rPr>
          <w:noProof/>
        </w:rPr>
        <w:fldChar w:fldCharType="separate"/>
      </w:r>
      <w:r w:rsidRPr="00947AFD">
        <w:t xml:space="preserve">Figura </w:t>
      </w:r>
      <w:r>
        <w:rPr>
          <w:noProof/>
        </w:rPr>
        <w:t>V</w:t>
      </w:r>
      <w:r>
        <w:t>.</w:t>
      </w:r>
      <w:r>
        <w:rPr>
          <w:noProof/>
        </w:rPr>
        <w:t>17</w:t>
      </w:r>
      <w:r>
        <w:rPr>
          <w:noProof/>
        </w:rPr>
        <w:fldChar w:fldCharType="end"/>
      </w:r>
      <w:r>
        <w:rPr>
          <w:noProof/>
        </w:rPr>
        <w:t>)</w:t>
      </w:r>
      <w:r w:rsidRPr="00947AFD">
        <w:rPr>
          <w:noProof/>
        </w:rPr>
        <w:t xml:space="preserve">. </w:t>
      </w:r>
    </w:p>
    <w:p w14:paraId="405C351B" w14:textId="77777777" w:rsidR="00CD3152" w:rsidRPr="006E0160" w:rsidRDefault="00CD3152" w:rsidP="00CD3152">
      <w:pPr>
        <w:ind w:firstLine="708"/>
        <w:jc w:val="both"/>
        <w:rPr>
          <w:strike/>
          <w:noProof/>
        </w:rPr>
      </w:pPr>
      <w:r w:rsidRPr="006E0160">
        <w:rPr>
          <w:noProof/>
        </w:rPr>
        <w:t>Procentul elevilor care nu au fumat niciodată o ţigară întreagă (dintre elevii care au încercat să fumeze ţigări, vreodată, chiar și numai unul sau două fumuri) este de 20,9%.</w:t>
      </w:r>
      <w:r w:rsidRPr="006E0160">
        <w:rPr>
          <w:strike/>
          <w:noProof/>
        </w:rPr>
        <w:t xml:space="preserve"> </w:t>
      </w:r>
    </w:p>
    <w:p w14:paraId="2C6E1D5C" w14:textId="77777777" w:rsidR="00CD3152" w:rsidRPr="006E0160" w:rsidRDefault="00CD3152" w:rsidP="00CD3152">
      <w:pPr>
        <w:jc w:val="center"/>
        <w:rPr>
          <w:noProof/>
        </w:rPr>
      </w:pPr>
      <w:r w:rsidRPr="006E0160">
        <w:rPr>
          <w:noProof/>
        </w:rPr>
        <w:lastRenderedPageBreak/>
        <w:drawing>
          <wp:inline distT="0" distB="0" distL="0" distR="0" wp14:anchorId="585BC02A" wp14:editId="52E7FE6C">
            <wp:extent cx="5040000" cy="2520000"/>
            <wp:effectExtent l="0" t="0" r="8255" b="13970"/>
            <wp:docPr id="613355586" name="Chart 1">
              <a:extLst xmlns:a="http://schemas.openxmlformats.org/drawingml/2006/main">
                <a:ext uri="{FF2B5EF4-FFF2-40B4-BE49-F238E27FC236}">
                  <a16:creationId xmlns:a16="http://schemas.microsoft.com/office/drawing/2014/main" id="{00000000-0008-0000-0000-00000D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5"/>
              </a:graphicData>
            </a:graphic>
          </wp:inline>
        </w:drawing>
      </w:r>
    </w:p>
    <w:p w14:paraId="17691004" w14:textId="012DAC4B" w:rsidR="00CD3152" w:rsidRPr="006E0160" w:rsidRDefault="00CD3152" w:rsidP="00CD3152">
      <w:pPr>
        <w:pStyle w:val="Caption"/>
        <w:jc w:val="center"/>
      </w:pPr>
      <w:bookmarkStart w:id="118" w:name="_Ref211579355"/>
      <w:r w:rsidRPr="006E0160">
        <w:t xml:space="preserve">Figura </w:t>
      </w:r>
      <w:fldSimple w:instr=" STYLEREF 1 \s ">
        <w:r w:rsidR="0080370C">
          <w:rPr>
            <w:noProof/>
          </w:rPr>
          <w:t>V</w:t>
        </w:r>
      </w:fldSimple>
      <w:r w:rsidR="0080370C">
        <w:t>.</w:t>
      </w:r>
      <w:fldSimple w:instr=" SEQ Figura \* ARABIC \s 1 ">
        <w:r w:rsidR="0080370C">
          <w:rPr>
            <w:noProof/>
          </w:rPr>
          <w:t>14</w:t>
        </w:r>
      </w:fldSimple>
      <w:bookmarkEnd w:id="118"/>
      <w:r w:rsidRPr="006E0160">
        <w:t xml:space="preserve"> Distribuția procentuală a respondenților care au experimentat fumatul, în funcție de vârsta</w:t>
      </w:r>
    </w:p>
    <w:p w14:paraId="349828C5" w14:textId="77777777" w:rsidR="00CD3152" w:rsidRPr="006E0160" w:rsidRDefault="00CD3152" w:rsidP="00CD3152">
      <w:pPr>
        <w:pStyle w:val="Caption"/>
        <w:jc w:val="center"/>
      </w:pPr>
      <w:r w:rsidRPr="006E0160">
        <w:t>debutului fumatului unei țigări întregi, Sursa: YRBSS (2022-2023)</w:t>
      </w:r>
    </w:p>
    <w:p w14:paraId="4C60D3B3" w14:textId="77777777" w:rsidR="00CD3152" w:rsidRPr="006E0160" w:rsidRDefault="00CD3152" w:rsidP="00CD3152">
      <w:pPr>
        <w:ind w:firstLine="708"/>
        <w:jc w:val="both"/>
      </w:pPr>
      <w:r w:rsidRPr="006E0160">
        <w:t>Din numărul de elevi care au experimentat fumatul (N=11133), puțin peste 20% nu au fumat niciodată o ţigară întreagă, iar 5,6% au raportat că au fumat pentru prima dată o ţigară întreagă înainte de vârsta de 11 ani (la „8 ani sau mai puţin” sau la  „9 sau 10 ani”). Cea mai mare frecvenţă raportată a vârstei la care s-a încercat prima țigară întreagă a fost pentru grupele de vârstă 13-14 ani (25,1%) și 15-16 ani (28,6%)</w:t>
      </w:r>
      <w:r>
        <w:t>(</w:t>
      </w:r>
      <w:r>
        <w:fldChar w:fldCharType="begin"/>
      </w:r>
      <w:r>
        <w:instrText xml:space="preserve"> REF _Ref211579355 \h </w:instrText>
      </w:r>
      <w:r>
        <w:fldChar w:fldCharType="separate"/>
      </w:r>
      <w:r w:rsidRPr="006E0160">
        <w:t xml:space="preserve">Figura </w:t>
      </w:r>
      <w:r>
        <w:rPr>
          <w:noProof/>
        </w:rPr>
        <w:t>V</w:t>
      </w:r>
      <w:r>
        <w:t>.</w:t>
      </w:r>
      <w:r>
        <w:rPr>
          <w:noProof/>
        </w:rPr>
        <w:t>18</w:t>
      </w:r>
      <w:r>
        <w:fldChar w:fldCharType="end"/>
      </w:r>
      <w:r>
        <w:t>)</w:t>
      </w:r>
      <w:r w:rsidRPr="006E0160">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6"/>
        <w:gridCol w:w="4606"/>
      </w:tblGrid>
      <w:tr w:rsidR="00CD3152" w:rsidRPr="006E0160" w14:paraId="0CA3D3E5" w14:textId="77777777" w:rsidTr="00F032B4">
        <w:tc>
          <w:tcPr>
            <w:tcW w:w="4776" w:type="dxa"/>
          </w:tcPr>
          <w:p w14:paraId="39A65477" w14:textId="77777777" w:rsidR="00CD3152" w:rsidRPr="006E0160" w:rsidRDefault="00CD3152" w:rsidP="00F032B4">
            <w:pPr>
              <w:keepNext/>
              <w:jc w:val="both"/>
            </w:pPr>
            <w:r w:rsidRPr="006E0160">
              <w:rPr>
                <w:noProof/>
              </w:rPr>
              <w:drawing>
                <wp:inline distT="0" distB="0" distL="0" distR="0" wp14:anchorId="2918560B" wp14:editId="25A9B18C">
                  <wp:extent cx="2879725" cy="2656389"/>
                  <wp:effectExtent l="0" t="0" r="15875" b="10795"/>
                  <wp:docPr id="1098264164" name="Chart 1">
                    <a:extLst xmlns:a="http://schemas.openxmlformats.org/drawingml/2006/main">
                      <a:ext uri="{FF2B5EF4-FFF2-40B4-BE49-F238E27FC236}">
                        <a16:creationId xmlns:a16="http://schemas.microsoft.com/office/drawing/2014/main" id="{00000000-0008-0000-0000-000011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6"/>
                    </a:graphicData>
                  </a:graphic>
                </wp:inline>
              </w:drawing>
            </w:r>
          </w:p>
          <w:p w14:paraId="3D033C49" w14:textId="486C3D07" w:rsidR="00CD3152" w:rsidRPr="006E0160" w:rsidRDefault="00CD3152" w:rsidP="00F032B4">
            <w:pPr>
              <w:pStyle w:val="Caption"/>
              <w:jc w:val="both"/>
            </w:pPr>
            <w:bookmarkStart w:id="119" w:name="_Ref211579417"/>
            <w:r w:rsidRPr="006E0160">
              <w:t xml:space="preserve">Figura </w:t>
            </w:r>
            <w:fldSimple w:instr=" STYLEREF 1 \s ">
              <w:r w:rsidR="0080370C">
                <w:rPr>
                  <w:noProof/>
                </w:rPr>
                <w:t>V</w:t>
              </w:r>
            </w:fldSimple>
            <w:r w:rsidR="0080370C">
              <w:t>.</w:t>
            </w:r>
            <w:fldSimple w:instr=" SEQ Figura \* ARABIC \s 1 ">
              <w:r w:rsidR="0080370C">
                <w:rPr>
                  <w:noProof/>
                </w:rPr>
                <w:t>15</w:t>
              </w:r>
            </w:fldSimple>
            <w:bookmarkEnd w:id="119"/>
            <w:r w:rsidRPr="006E0160">
              <w:t xml:space="preserve"> Distribuția procentuală a respondenților de gen feminin care au  experimentat fumatul, în funcție de vârsta debutului fumatului unei ţigări întregi (N= 5928), Sursa: YRBSS (2022-2023)</w:t>
            </w:r>
          </w:p>
        </w:tc>
        <w:tc>
          <w:tcPr>
            <w:tcW w:w="4426" w:type="dxa"/>
          </w:tcPr>
          <w:p w14:paraId="402C9B4E" w14:textId="77777777" w:rsidR="00CD3152" w:rsidRPr="006E0160" w:rsidRDefault="00CD3152" w:rsidP="00F032B4">
            <w:pPr>
              <w:keepNext/>
              <w:jc w:val="both"/>
            </w:pPr>
            <w:r w:rsidRPr="006E0160">
              <w:rPr>
                <w:noProof/>
              </w:rPr>
              <w:drawing>
                <wp:inline distT="0" distB="0" distL="0" distR="0" wp14:anchorId="7A0D219F" wp14:editId="64CFC1D4">
                  <wp:extent cx="2879725" cy="2656205"/>
                  <wp:effectExtent l="0" t="0" r="15875" b="10795"/>
                  <wp:docPr id="138954336" name="Chart 1">
                    <a:extLst xmlns:a="http://schemas.openxmlformats.org/drawingml/2006/main">
                      <a:ext uri="{FF2B5EF4-FFF2-40B4-BE49-F238E27FC236}">
                        <a16:creationId xmlns:a16="http://schemas.microsoft.com/office/drawing/2014/main" id="{00000000-0008-0000-0000-00001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7"/>
                    </a:graphicData>
                  </a:graphic>
                </wp:inline>
              </w:drawing>
            </w:r>
          </w:p>
          <w:p w14:paraId="0A4ED090" w14:textId="7C48FE03" w:rsidR="00CD3152" w:rsidRPr="006E0160" w:rsidRDefault="00CD3152" w:rsidP="00F032B4">
            <w:pPr>
              <w:pStyle w:val="Caption"/>
              <w:jc w:val="both"/>
            </w:pPr>
            <w:bookmarkStart w:id="120" w:name="_Ref211579432"/>
            <w:r w:rsidRPr="006E0160">
              <w:t xml:space="preserve">Figura </w:t>
            </w:r>
            <w:fldSimple w:instr=" STYLEREF 1 \s ">
              <w:r w:rsidR="0080370C">
                <w:rPr>
                  <w:noProof/>
                </w:rPr>
                <w:t>V</w:t>
              </w:r>
            </w:fldSimple>
            <w:r w:rsidR="0080370C">
              <w:t>.</w:t>
            </w:r>
            <w:fldSimple w:instr=" SEQ Figura \* ARABIC \s 1 ">
              <w:r w:rsidR="0080370C">
                <w:rPr>
                  <w:noProof/>
                </w:rPr>
                <w:t>16</w:t>
              </w:r>
            </w:fldSimple>
            <w:bookmarkEnd w:id="120"/>
            <w:r w:rsidRPr="006E0160">
              <w:t xml:space="preserve"> Distribuția procentuală a respondenților de gen masculin care au experimentat fumatul, în funcție de vârsta debutului fumatului unei ţigări întregi (N=4969), Sursa: YRBSS (2022-2023)</w:t>
            </w:r>
          </w:p>
        </w:tc>
      </w:tr>
    </w:tbl>
    <w:p w14:paraId="0404B8C9" w14:textId="77777777" w:rsidR="00CD3152" w:rsidRPr="006E0160" w:rsidRDefault="00CD3152" w:rsidP="00CD3152">
      <w:pPr>
        <w:jc w:val="both"/>
      </w:pPr>
    </w:p>
    <w:p w14:paraId="44319A29" w14:textId="77777777" w:rsidR="00CD3152" w:rsidRPr="006E0160" w:rsidRDefault="00CD3152" w:rsidP="00CD3152">
      <w:pPr>
        <w:ind w:firstLine="708"/>
        <w:jc w:val="both"/>
      </w:pPr>
      <w:r w:rsidRPr="006E0160">
        <w:t>Dintre fetele care au experimentat fumatul, 30,5% au raportat că vârsta la care au fumat pentru prima dată o ţigară întreagă a fost de 15-16 ani, iar 3,2% la 10 ani sau mai puţin</w:t>
      </w:r>
      <w:r>
        <w:t xml:space="preserve"> (</w:t>
      </w:r>
      <w:r>
        <w:fldChar w:fldCharType="begin"/>
      </w:r>
      <w:r>
        <w:instrText xml:space="preserve"> REF _Ref211579417 \h </w:instrText>
      </w:r>
      <w:r>
        <w:fldChar w:fldCharType="separate"/>
      </w:r>
      <w:r w:rsidRPr="006E0160">
        <w:t xml:space="preserve">Figura </w:t>
      </w:r>
      <w:r>
        <w:rPr>
          <w:noProof/>
        </w:rPr>
        <w:t>V</w:t>
      </w:r>
      <w:r>
        <w:t>.</w:t>
      </w:r>
      <w:r>
        <w:rPr>
          <w:noProof/>
        </w:rPr>
        <w:t>19</w:t>
      </w:r>
      <w:r>
        <w:fldChar w:fldCharType="end"/>
      </w:r>
      <w:r>
        <w:t>)</w:t>
      </w:r>
      <w:r w:rsidRPr="006E0160">
        <w:t xml:space="preserve">.  </w:t>
      </w:r>
    </w:p>
    <w:p w14:paraId="3DF3F801" w14:textId="77777777" w:rsidR="00CD3152" w:rsidRPr="006E0160" w:rsidRDefault="00CD3152" w:rsidP="00CD3152">
      <w:pPr>
        <w:ind w:firstLine="708"/>
        <w:rPr>
          <w:noProof/>
        </w:rPr>
      </w:pPr>
      <w:r w:rsidRPr="006E0160">
        <w:rPr>
          <w:noProof/>
        </w:rPr>
        <w:t>8,1% dintre băieţii care au experimentat fumatul au raportat că vârsta la care au fumat pentru prima dată o ţigară întreagă a fost de 10 ani sau mai puţin, iar frecvența cea mai mare, de 26,2% s-a înregistrat la grupa de vârstă 15-16 ani</w:t>
      </w:r>
      <w:r>
        <w:rPr>
          <w:noProof/>
        </w:rPr>
        <w:t xml:space="preserve"> (</w:t>
      </w:r>
      <w:r>
        <w:rPr>
          <w:noProof/>
        </w:rPr>
        <w:fldChar w:fldCharType="begin"/>
      </w:r>
      <w:r>
        <w:rPr>
          <w:noProof/>
        </w:rPr>
        <w:instrText xml:space="preserve"> REF _Ref211579432 \h </w:instrText>
      </w:r>
      <w:r>
        <w:rPr>
          <w:noProof/>
        </w:rPr>
      </w:r>
      <w:r>
        <w:rPr>
          <w:noProof/>
        </w:rPr>
        <w:fldChar w:fldCharType="separate"/>
      </w:r>
      <w:r w:rsidRPr="006E0160">
        <w:t xml:space="preserve">Figura </w:t>
      </w:r>
      <w:r>
        <w:rPr>
          <w:noProof/>
        </w:rPr>
        <w:t>V</w:t>
      </w:r>
      <w:r>
        <w:t>.</w:t>
      </w:r>
      <w:r>
        <w:rPr>
          <w:noProof/>
        </w:rPr>
        <w:t>20</w:t>
      </w:r>
      <w:r>
        <w:rPr>
          <w:noProof/>
        </w:rPr>
        <w:fldChar w:fldCharType="end"/>
      </w:r>
      <w:r>
        <w:rPr>
          <w:noProof/>
        </w:rPr>
        <w:t>)</w:t>
      </w:r>
      <w:r w:rsidRPr="006E0160">
        <w:rPr>
          <w:noProof/>
        </w:rPr>
        <w:t>.</w:t>
      </w:r>
    </w:p>
    <w:p w14:paraId="537E016C" w14:textId="77777777" w:rsidR="00CD3152" w:rsidRPr="006E0160" w:rsidRDefault="00CD3152" w:rsidP="00CD3152">
      <w:pPr>
        <w:ind w:firstLine="708"/>
        <w:rPr>
          <w:noProof/>
        </w:rPr>
      </w:pPr>
    </w:p>
    <w:p w14:paraId="24097BE1" w14:textId="77777777" w:rsidR="00CD3152" w:rsidRPr="006E0160" w:rsidRDefault="00CD3152" w:rsidP="00CD3152">
      <w:pPr>
        <w:pStyle w:val="Heading3"/>
      </w:pPr>
      <w:bookmarkStart w:id="121" w:name="_Toc232660581"/>
      <w:r w:rsidRPr="006E0160">
        <w:lastRenderedPageBreak/>
        <w:t>Fumatul curent de țigări la adolescenți</w:t>
      </w:r>
      <w:r>
        <w:t>i 14-18 ani, YRBSS 2022/2023</w:t>
      </w:r>
      <w:bookmarkEnd w:id="121"/>
    </w:p>
    <w:p w14:paraId="1AE232F1" w14:textId="77777777" w:rsidR="00CD3152" w:rsidRPr="002B66AC" w:rsidRDefault="00CD3152" w:rsidP="00A62A7C">
      <w:pPr>
        <w:pStyle w:val="ListParagraph"/>
        <w:numPr>
          <w:ilvl w:val="0"/>
          <w:numId w:val="7"/>
        </w:numPr>
        <w:spacing w:line="319" w:lineRule="auto"/>
        <w:rPr>
          <w:b/>
          <w:bCs/>
          <w:i/>
          <w:iCs/>
          <w:color w:val="002060"/>
          <w:u w:val="single"/>
        </w:rPr>
      </w:pPr>
      <w:r w:rsidRPr="002B66AC">
        <w:rPr>
          <w:b/>
          <w:bCs/>
          <w:i/>
          <w:iCs/>
          <w:color w:val="002060"/>
          <w:u w:val="single"/>
        </w:rPr>
        <w:t>Fumatul curent de țigări la adolescenții 14-18 ani și peste(YRBSS 2022-2023)</w:t>
      </w:r>
    </w:p>
    <w:p w14:paraId="72C916F9" w14:textId="77777777" w:rsidR="00CD3152" w:rsidRDefault="00CD3152" w:rsidP="00CD3152">
      <w:pPr>
        <w:keepNext/>
        <w:jc w:val="center"/>
      </w:pPr>
      <w:r w:rsidRPr="006E0160">
        <w:rPr>
          <w:noProof/>
        </w:rPr>
        <w:drawing>
          <wp:inline distT="0" distB="0" distL="0" distR="0" wp14:anchorId="114BBF9B" wp14:editId="22024BC4">
            <wp:extent cx="5040000" cy="2520000"/>
            <wp:effectExtent l="0" t="0" r="8255" b="13970"/>
            <wp:docPr id="315258486" name="Chart 1">
              <a:extLst xmlns:a="http://schemas.openxmlformats.org/drawingml/2006/main">
                <a:ext uri="{FF2B5EF4-FFF2-40B4-BE49-F238E27FC236}">
                  <a16:creationId xmlns:a16="http://schemas.microsoft.com/office/drawing/2014/main" id="{00000000-0008-0000-0200-00002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8"/>
              </a:graphicData>
            </a:graphic>
          </wp:inline>
        </w:drawing>
      </w:r>
    </w:p>
    <w:p w14:paraId="27833CFA" w14:textId="4935BAAF" w:rsidR="00CD3152" w:rsidRPr="006E0160" w:rsidRDefault="00CD3152" w:rsidP="00CD3152">
      <w:pPr>
        <w:pStyle w:val="Caption"/>
        <w:jc w:val="center"/>
        <w:rPr>
          <w:noProof/>
        </w:rPr>
      </w:pPr>
      <w:bookmarkStart w:id="122" w:name="_Ref211579486"/>
      <w:r>
        <w:t xml:space="preserve">Figura </w:t>
      </w:r>
      <w:fldSimple w:instr=" STYLEREF 1 \s ">
        <w:r w:rsidR="0080370C">
          <w:rPr>
            <w:noProof/>
          </w:rPr>
          <w:t>V</w:t>
        </w:r>
      </w:fldSimple>
      <w:r w:rsidR="0080370C">
        <w:t>.</w:t>
      </w:r>
      <w:fldSimple w:instr=" SEQ Figura \* ARABIC \s 1 ">
        <w:r w:rsidR="0080370C">
          <w:rPr>
            <w:noProof/>
          </w:rPr>
          <w:t>17</w:t>
        </w:r>
      </w:fldSimple>
      <w:bookmarkEnd w:id="122"/>
      <w:r>
        <w:rPr>
          <w:noProof/>
        </w:rPr>
        <w:t xml:space="preserve"> </w:t>
      </w:r>
      <w:r w:rsidRPr="006E0160">
        <w:t>Distribuția procentuală a respondenților în funcție de frecvenţa zilelor în care au fumat ţigări</w:t>
      </w:r>
    </w:p>
    <w:p w14:paraId="70C719A9" w14:textId="77777777" w:rsidR="00CD3152" w:rsidRPr="006E0160" w:rsidRDefault="00CD3152" w:rsidP="00CD3152">
      <w:pPr>
        <w:pStyle w:val="Caption"/>
        <w:jc w:val="center"/>
      </w:pPr>
      <w:r w:rsidRPr="006E0160">
        <w:t>în intervalul standard de 30 de zile înaintea aplicării chestionarului, Sursa: YRBSS (2022-2023)</w:t>
      </w:r>
    </w:p>
    <w:p w14:paraId="2130563E" w14:textId="77777777" w:rsidR="00CD3152" w:rsidRPr="006E0160" w:rsidRDefault="00CD3152" w:rsidP="00CD3152">
      <w:pPr>
        <w:ind w:firstLine="708"/>
        <w:jc w:val="both"/>
      </w:pPr>
      <w:r w:rsidRPr="006E0160">
        <w:t>Aproape jumătate (49,5%) dintre cei 22039 de respondenți s-au declarat a fi nefumători la momentul sondajului, iar 10,6% dintre elevii intervievați nu consumaseră niciodată o țigară întreagă până atunci</w:t>
      </w:r>
      <w:r>
        <w:t xml:space="preserve"> (</w:t>
      </w:r>
      <w:r>
        <w:fldChar w:fldCharType="begin"/>
      </w:r>
      <w:r>
        <w:instrText xml:space="preserve"> REF _Ref211579486 \h </w:instrText>
      </w:r>
      <w:r>
        <w:fldChar w:fldCharType="separate"/>
      </w:r>
      <w:r>
        <w:t xml:space="preserve">Figura </w:t>
      </w:r>
      <w:r>
        <w:rPr>
          <w:noProof/>
        </w:rPr>
        <w:t>V</w:t>
      </w:r>
      <w:r>
        <w:t>.</w:t>
      </w:r>
      <w:r>
        <w:rPr>
          <w:noProof/>
        </w:rPr>
        <w:t>21</w:t>
      </w:r>
      <w:r>
        <w:fldChar w:fldCharType="end"/>
      </w:r>
      <w:r>
        <w:t>)</w:t>
      </w:r>
      <w:r w:rsidRPr="006E0160">
        <w:t>.</w:t>
      </w:r>
    </w:p>
    <w:p w14:paraId="56694716" w14:textId="77777777" w:rsidR="00CD3152" w:rsidRPr="006E0160" w:rsidRDefault="00CD3152" w:rsidP="00CD3152">
      <w:pPr>
        <w:ind w:firstLine="708"/>
        <w:jc w:val="both"/>
      </w:pPr>
      <w:r w:rsidRPr="006E0160">
        <w:t>Aproape 27% (26,9%) dintre elevii intervievați au declarat că sunt fumători curenţi de ţigări, fumând cel puţin în 1-2 zile ţigări în intervalul de 30 de zile înaintea aplicării chestionarului. O proporţie destul de mare (15,9%) este reprezentată de elevii care au raportat că fumează curent, în mod frecvent ţigări, cel puțin 20 de zile din ultimele 30 de zile înaintea aplicării chestionarului).</w:t>
      </w:r>
    </w:p>
    <w:p w14:paraId="1FD90A89" w14:textId="77777777" w:rsidR="00CD3152" w:rsidRPr="006E0160" w:rsidRDefault="00CD3152" w:rsidP="00CD3152">
      <w:pPr>
        <w:keepNext/>
        <w:jc w:val="center"/>
      </w:pPr>
      <w:r w:rsidRPr="006E0160">
        <w:rPr>
          <w:noProof/>
        </w:rPr>
        <w:drawing>
          <wp:inline distT="0" distB="0" distL="0" distR="0" wp14:anchorId="4D21695B" wp14:editId="15D3A905">
            <wp:extent cx="5040000" cy="2520000"/>
            <wp:effectExtent l="0" t="0" r="8255" b="13970"/>
            <wp:docPr id="268404777" name="Chart 1">
              <a:extLst xmlns:a="http://schemas.openxmlformats.org/drawingml/2006/main">
                <a:ext uri="{FF2B5EF4-FFF2-40B4-BE49-F238E27FC236}">
                  <a16:creationId xmlns:a16="http://schemas.microsoft.com/office/drawing/2014/main" id="{00000000-0008-0000-0200-00001D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9"/>
              </a:graphicData>
            </a:graphic>
          </wp:inline>
        </w:drawing>
      </w:r>
    </w:p>
    <w:p w14:paraId="6475E0B1" w14:textId="71622A02" w:rsidR="00CD3152" w:rsidRPr="006E0160" w:rsidRDefault="00CD3152" w:rsidP="00CD3152">
      <w:pPr>
        <w:pStyle w:val="Caption"/>
        <w:jc w:val="center"/>
      </w:pPr>
      <w:bookmarkStart w:id="123" w:name="_Ref211579519"/>
      <w:r w:rsidRPr="006E0160">
        <w:t xml:space="preserve">Figura </w:t>
      </w:r>
      <w:fldSimple w:instr=" STYLEREF 1 \s ">
        <w:r w:rsidR="0080370C">
          <w:rPr>
            <w:noProof/>
          </w:rPr>
          <w:t>V</w:t>
        </w:r>
      </w:fldSimple>
      <w:r w:rsidR="0080370C">
        <w:t>.</w:t>
      </w:r>
      <w:fldSimple w:instr=" SEQ Figura \* ARABIC \s 1 ">
        <w:r w:rsidR="0080370C">
          <w:rPr>
            <w:noProof/>
          </w:rPr>
          <w:t>18</w:t>
        </w:r>
      </w:fldSimple>
      <w:bookmarkEnd w:id="123"/>
      <w:r w:rsidRPr="006E0160">
        <w:t xml:space="preserve"> Distribuția procentuală a fumătorilor curenți în funcție de frecvenţa zilelor în care au fumat ţigări</w:t>
      </w:r>
    </w:p>
    <w:p w14:paraId="1939C59D" w14:textId="77777777" w:rsidR="00CD3152" w:rsidRPr="006E0160" w:rsidRDefault="00CD3152" w:rsidP="00CD3152">
      <w:pPr>
        <w:pStyle w:val="Caption"/>
        <w:jc w:val="center"/>
      </w:pPr>
      <w:r w:rsidRPr="006E0160">
        <w:t>în intervalul standard de 30 de zile înaintea aplicării chestionarului (N=5925) Sursa: YRBSS (2022-2023)</w:t>
      </w:r>
    </w:p>
    <w:p w14:paraId="585ECD4F" w14:textId="77777777" w:rsidR="00CD3152" w:rsidRPr="006E0160" w:rsidRDefault="00CD3152" w:rsidP="00CD3152">
      <w:pPr>
        <w:ind w:firstLine="708"/>
        <w:jc w:val="both"/>
      </w:pPr>
      <w:r w:rsidRPr="006E0160">
        <w:t xml:space="preserve">Raportat la numărul total de fumători curenți, aproape 60% dintre fumătorii curenți (59,4%) au declarat că sunt fumători frecvenţi de ţigări, </w:t>
      </w:r>
      <w:r>
        <w:t>definiți ca și consum de țigări</w:t>
      </w:r>
      <w:r w:rsidRPr="006E0160">
        <w:t xml:space="preserve"> minim 20 de zile în intervalul de 30 de zile înaintea sondajului</w:t>
      </w:r>
      <w:r>
        <w:t xml:space="preserve"> (</w:t>
      </w:r>
      <w:r>
        <w:fldChar w:fldCharType="begin"/>
      </w:r>
      <w:r>
        <w:instrText xml:space="preserve"> REF _Ref211579519 \h </w:instrText>
      </w:r>
      <w:r>
        <w:fldChar w:fldCharType="separate"/>
      </w:r>
      <w:r w:rsidRPr="006E0160">
        <w:t xml:space="preserve">Figura </w:t>
      </w:r>
      <w:r>
        <w:rPr>
          <w:noProof/>
        </w:rPr>
        <w:t>V</w:t>
      </w:r>
      <w:r>
        <w:t>.</w:t>
      </w:r>
      <w:r>
        <w:rPr>
          <w:noProof/>
        </w:rPr>
        <w:t>22</w:t>
      </w:r>
      <w:r>
        <w:fldChar w:fldCharType="end"/>
      </w:r>
      <w:r>
        <w:t>)</w:t>
      </w:r>
      <w:r w:rsidRPr="006E0160">
        <w:t>.</w:t>
      </w:r>
      <w:r>
        <w:t xml:space="preserve"> </w:t>
      </w:r>
    </w:p>
    <w:p w14:paraId="47F72F28" w14:textId="77777777" w:rsidR="00CD3152" w:rsidRDefault="00CD3152" w:rsidP="00CD3152">
      <w:pPr>
        <w:keepNext/>
        <w:jc w:val="center"/>
      </w:pPr>
      <w:r w:rsidRPr="006E0160">
        <w:rPr>
          <w:noProof/>
        </w:rPr>
        <w:lastRenderedPageBreak/>
        <w:drawing>
          <wp:inline distT="0" distB="0" distL="0" distR="0" wp14:anchorId="7407D9F0" wp14:editId="6C40C412">
            <wp:extent cx="5040000" cy="2520000"/>
            <wp:effectExtent l="0" t="0" r="8255" b="13970"/>
            <wp:docPr id="991554755" name="Chart 1">
              <a:extLst xmlns:a="http://schemas.openxmlformats.org/drawingml/2006/main">
                <a:ext uri="{FF2B5EF4-FFF2-40B4-BE49-F238E27FC236}">
                  <a16:creationId xmlns:a16="http://schemas.microsoft.com/office/drawing/2014/main" id="{00000000-0008-0000-0200-000020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0"/>
              </a:graphicData>
            </a:graphic>
          </wp:inline>
        </w:drawing>
      </w:r>
    </w:p>
    <w:p w14:paraId="70D8FB1A" w14:textId="5C3D1698" w:rsidR="00CD3152" w:rsidRPr="006E0160" w:rsidRDefault="00CD3152" w:rsidP="00CD3152">
      <w:pPr>
        <w:pStyle w:val="Caption"/>
        <w:jc w:val="center"/>
        <w:rPr>
          <w:noProof/>
        </w:rPr>
      </w:pPr>
      <w:bookmarkStart w:id="124" w:name="_Ref211579556"/>
      <w:r>
        <w:t xml:space="preserve">Figura </w:t>
      </w:r>
      <w:fldSimple w:instr=" STYLEREF 1 \s ">
        <w:r w:rsidR="0080370C">
          <w:rPr>
            <w:noProof/>
          </w:rPr>
          <w:t>V</w:t>
        </w:r>
      </w:fldSimple>
      <w:r w:rsidR="0080370C">
        <w:t>.</w:t>
      </w:r>
      <w:fldSimple w:instr=" SEQ Figura \* ARABIC \s 1 ">
        <w:r w:rsidR="0080370C">
          <w:rPr>
            <w:noProof/>
          </w:rPr>
          <w:t>19</w:t>
        </w:r>
      </w:fldSimple>
      <w:bookmarkEnd w:id="124"/>
      <w:r w:rsidRPr="00CA5C70">
        <w:t xml:space="preserve"> Distribuția procentuală a fetelor în funcție de frecvenţa zilelor în care au fumat ţigări în intervalul standard de 30 de zile înaintea aplicării chestionarului (N=11481), Sursa: YRBSS (2022-2023)</w:t>
      </w:r>
    </w:p>
    <w:p w14:paraId="4F261206" w14:textId="77777777" w:rsidR="00CD3152" w:rsidRPr="006E0160" w:rsidRDefault="00CD3152" w:rsidP="00CD3152">
      <w:pPr>
        <w:ind w:firstLine="708"/>
        <w:jc w:val="both"/>
      </w:pPr>
      <w:r w:rsidRPr="006E0160">
        <w:t>Proporţia fetelor care s-au declarat a fi fumătoare curente este de 27,7%, iar 15,8% au recunoscut că fumează, în mod frecvent. Raportat la numărul de fete fumătoare curent, proporţia celor care au fumat în mod frecvent (57.1%)  depăşeşte 50%</w:t>
      </w:r>
      <w:r>
        <w:t xml:space="preserve"> (</w:t>
      </w:r>
      <w:r>
        <w:fldChar w:fldCharType="begin"/>
      </w:r>
      <w:r>
        <w:instrText xml:space="preserve"> REF _Ref211579556 \h </w:instrText>
      </w:r>
      <w:r>
        <w:fldChar w:fldCharType="separate"/>
      </w:r>
      <w:r>
        <w:t xml:space="preserve">Figura </w:t>
      </w:r>
      <w:r>
        <w:rPr>
          <w:noProof/>
        </w:rPr>
        <w:t>V</w:t>
      </w:r>
      <w:r>
        <w:t>.</w:t>
      </w:r>
      <w:r>
        <w:rPr>
          <w:noProof/>
        </w:rPr>
        <w:t>23</w:t>
      </w:r>
      <w:r>
        <w:fldChar w:fldCharType="end"/>
      </w:r>
      <w:r>
        <w:t>)</w:t>
      </w:r>
      <w:r w:rsidRPr="006E0160">
        <w:t>.</w:t>
      </w:r>
    </w:p>
    <w:p w14:paraId="028E5A82" w14:textId="77777777" w:rsidR="00CD3152" w:rsidRPr="006E0160" w:rsidRDefault="00CD3152" w:rsidP="00CD3152">
      <w:pPr>
        <w:jc w:val="center"/>
        <w:rPr>
          <w:noProof/>
        </w:rPr>
      </w:pPr>
      <w:r>
        <w:rPr>
          <w:noProof/>
        </w:rPr>
        <w:drawing>
          <wp:inline distT="0" distB="0" distL="0" distR="0" wp14:anchorId="0BAED85C" wp14:editId="4DAEF19A">
            <wp:extent cx="5040000" cy="2520000"/>
            <wp:effectExtent l="0" t="0" r="8255" b="13970"/>
            <wp:docPr id="1501301530" name="Chart 1">
              <a:extLst xmlns:a="http://schemas.openxmlformats.org/drawingml/2006/main">
                <a:ext uri="{FF2B5EF4-FFF2-40B4-BE49-F238E27FC236}">
                  <a16:creationId xmlns:a16="http://schemas.microsoft.com/office/drawing/2014/main" id="{00000000-0008-0000-0200-000027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1"/>
              </a:graphicData>
            </a:graphic>
          </wp:inline>
        </w:drawing>
      </w:r>
    </w:p>
    <w:p w14:paraId="2A32D70A" w14:textId="57B4361D" w:rsidR="00CD3152" w:rsidRPr="006E0160" w:rsidRDefault="00CD3152" w:rsidP="00CD3152">
      <w:pPr>
        <w:pStyle w:val="Caption"/>
        <w:jc w:val="center"/>
      </w:pPr>
      <w:bookmarkStart w:id="125" w:name="_Ref211579665"/>
      <w:r w:rsidRPr="006E0160">
        <w:t xml:space="preserve">Figura </w:t>
      </w:r>
      <w:fldSimple w:instr=" STYLEREF 1 \s ">
        <w:r w:rsidR="0080370C">
          <w:rPr>
            <w:noProof/>
          </w:rPr>
          <w:t>V</w:t>
        </w:r>
      </w:fldSimple>
      <w:r w:rsidR="0080370C">
        <w:t>.</w:t>
      </w:r>
      <w:fldSimple w:instr=" SEQ Figura \* ARABIC \s 1 ">
        <w:r w:rsidR="0080370C">
          <w:rPr>
            <w:noProof/>
          </w:rPr>
          <w:t>20</w:t>
        </w:r>
      </w:fldSimple>
      <w:bookmarkEnd w:id="125"/>
      <w:r w:rsidRPr="006E0160">
        <w:t xml:space="preserve"> Distribuția procentuală a băieţilor în funcție de frecvenţa zilelor în care au fumat ţigări, în intervalul standard</w:t>
      </w:r>
      <w:r w:rsidRPr="00BB13F5">
        <w:t xml:space="preserve"> de 30 de zile înaintea aplicării chestionarului</w:t>
      </w:r>
      <w:r w:rsidRPr="006E0160">
        <w:t xml:space="preserve"> (N=10079) Sursa: YRBSS (2022-2023)</w:t>
      </w:r>
    </w:p>
    <w:p w14:paraId="7B705BBF" w14:textId="77777777" w:rsidR="00CD3152" w:rsidRPr="006E0160" w:rsidRDefault="00CD3152" w:rsidP="00CD3152">
      <w:pPr>
        <w:ind w:firstLine="708"/>
        <w:jc w:val="both"/>
      </w:pPr>
      <w:r w:rsidRPr="006E0160">
        <w:t xml:space="preserve">Proporţia băieţilor care s-au declarat fumători curenţi este de 25,9%, iar 16,1% au recunoscut că fumează curent, în mod frecvent. Raportat la numărul de băieţi fumători curenţi, proporţia celor care fumează în mod frecvent </w:t>
      </w:r>
      <w:r>
        <w:t xml:space="preserve">(62,1%) </w:t>
      </w:r>
      <w:r w:rsidRPr="006E0160">
        <w:t xml:space="preserve">depăşeşte </w:t>
      </w:r>
      <w:r>
        <w:t>jumătate</w:t>
      </w:r>
      <w:r w:rsidRPr="006E0160">
        <w:t>.</w:t>
      </w:r>
    </w:p>
    <w:p w14:paraId="207C9950" w14:textId="77777777" w:rsidR="00CD3152" w:rsidRPr="006E0160" w:rsidRDefault="00CD3152" w:rsidP="00CD3152">
      <w:pPr>
        <w:ind w:firstLine="708"/>
        <w:jc w:val="both"/>
      </w:pPr>
      <w:r w:rsidRPr="006E0160">
        <w:t xml:space="preserve">Procentul adolescenților care </w:t>
      </w:r>
      <w:r w:rsidRPr="00E012BE">
        <w:rPr>
          <w:b/>
          <w:bCs/>
        </w:rPr>
        <w:t>fumează frecvent</w:t>
      </w:r>
      <w:r w:rsidRPr="006E0160">
        <w:t xml:space="preserve"> (cel puţin 20 de zile în ultimele 30 de zile) dintre cei care fumează în mod curent (cel puţin o zi în ultimele 30 de zile) diferă semnificativ între fete și băieţi (p&lt;0,001), procentul fetelor (57,1%) fiind mai mic decât cel al băieţilor (62,1%)</w:t>
      </w:r>
      <w:r>
        <w:t>(</w:t>
      </w:r>
      <w:r>
        <w:fldChar w:fldCharType="begin"/>
      </w:r>
      <w:r>
        <w:instrText xml:space="preserve"> REF _Ref211579665 \h </w:instrText>
      </w:r>
      <w:r>
        <w:fldChar w:fldCharType="separate"/>
      </w:r>
      <w:r w:rsidRPr="006E0160">
        <w:t xml:space="preserve">Figura </w:t>
      </w:r>
      <w:r>
        <w:rPr>
          <w:noProof/>
        </w:rPr>
        <w:t>V</w:t>
      </w:r>
      <w:r>
        <w:t>.</w:t>
      </w:r>
      <w:r>
        <w:rPr>
          <w:noProof/>
        </w:rPr>
        <w:t>24</w:t>
      </w:r>
      <w:r>
        <w:fldChar w:fldCharType="end"/>
      </w:r>
      <w:r>
        <w:t>)</w:t>
      </w:r>
      <w:r w:rsidRPr="006E0160">
        <w:t>.</w:t>
      </w:r>
    </w:p>
    <w:p w14:paraId="67124D54" w14:textId="77777777" w:rsidR="00CD3152" w:rsidRPr="006E0160" w:rsidRDefault="00CD3152" w:rsidP="00CD3152">
      <w:pPr>
        <w:jc w:val="center"/>
        <w:rPr>
          <w:noProof/>
        </w:rPr>
      </w:pPr>
      <w:r>
        <w:rPr>
          <w:noProof/>
        </w:rPr>
        <w:lastRenderedPageBreak/>
        <w:drawing>
          <wp:inline distT="0" distB="0" distL="0" distR="0" wp14:anchorId="4B7772EB" wp14:editId="40807045">
            <wp:extent cx="5040000" cy="2520000"/>
            <wp:effectExtent l="0" t="0" r="8255" b="13970"/>
            <wp:docPr id="332107808" name="Chart 1">
              <a:extLst xmlns:a="http://schemas.openxmlformats.org/drawingml/2006/main">
                <a:ext uri="{FF2B5EF4-FFF2-40B4-BE49-F238E27FC236}">
                  <a16:creationId xmlns:a16="http://schemas.microsoft.com/office/drawing/2014/main" id="{00000000-0008-0000-0000-00001C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2"/>
              </a:graphicData>
            </a:graphic>
          </wp:inline>
        </w:drawing>
      </w:r>
    </w:p>
    <w:p w14:paraId="442D835B" w14:textId="5C7C079C" w:rsidR="00CD3152" w:rsidRDefault="00CD3152" w:rsidP="00CD3152">
      <w:pPr>
        <w:pStyle w:val="Caption"/>
        <w:jc w:val="center"/>
      </w:pPr>
      <w:bookmarkStart w:id="126" w:name="_Ref211579683"/>
      <w:r w:rsidRPr="006E0160">
        <w:t xml:space="preserve">Figura </w:t>
      </w:r>
      <w:fldSimple w:instr=" STYLEREF 1 \s ">
        <w:r w:rsidR="0080370C">
          <w:rPr>
            <w:noProof/>
          </w:rPr>
          <w:t>V</w:t>
        </w:r>
      </w:fldSimple>
      <w:r w:rsidR="0080370C">
        <w:t>.</w:t>
      </w:r>
      <w:fldSimple w:instr=" SEQ Figura \* ARABIC \s 1 ">
        <w:r w:rsidR="0080370C">
          <w:rPr>
            <w:noProof/>
          </w:rPr>
          <w:t>21</w:t>
        </w:r>
      </w:fldSimple>
      <w:bookmarkEnd w:id="126"/>
      <w:r w:rsidRPr="006E0160">
        <w:t xml:space="preserve"> Consumul curent de ţigări la fete şi băieţi cu vârsta cuprinsă între 14 şi 18 ani sau mai mult </w:t>
      </w:r>
    </w:p>
    <w:p w14:paraId="21150CDB" w14:textId="77777777" w:rsidR="00CD3152" w:rsidRPr="006E0160" w:rsidRDefault="00CD3152" w:rsidP="00CD3152">
      <w:pPr>
        <w:pStyle w:val="Caption"/>
        <w:jc w:val="center"/>
      </w:pPr>
      <w:r w:rsidRPr="006E0160">
        <w:t>(N= 21560), Sursa: YRBSS (2022-2023)</w:t>
      </w:r>
    </w:p>
    <w:p w14:paraId="3F9AFC62" w14:textId="77777777" w:rsidR="00CD3152" w:rsidRDefault="00CD3152" w:rsidP="00CD3152">
      <w:pPr>
        <w:ind w:firstLine="708"/>
        <w:jc w:val="both"/>
      </w:pPr>
      <w:r w:rsidRPr="006E0160">
        <w:t>Se observă un trend ascendent al proporţiei elevilor care fumează ţigări în mod curent (cel puțin 1-2 zile în intervalul standard), în raport cu creşterea vârstei, atât la fete cât şi la băieţi</w:t>
      </w:r>
      <w:r>
        <w:t xml:space="preserve"> (</w:t>
      </w:r>
      <w:r>
        <w:fldChar w:fldCharType="begin"/>
      </w:r>
      <w:r>
        <w:instrText xml:space="preserve"> REF _Ref211579683 \h </w:instrText>
      </w:r>
      <w:r>
        <w:fldChar w:fldCharType="separate"/>
      </w:r>
      <w:r w:rsidRPr="006E0160">
        <w:t xml:space="preserve">Figura </w:t>
      </w:r>
      <w:r>
        <w:rPr>
          <w:noProof/>
        </w:rPr>
        <w:t>V</w:t>
      </w:r>
      <w:r>
        <w:t>.</w:t>
      </w:r>
      <w:r>
        <w:rPr>
          <w:noProof/>
        </w:rPr>
        <w:t>25</w:t>
      </w:r>
      <w:r>
        <w:fldChar w:fldCharType="end"/>
      </w:r>
      <w:r>
        <w:t>)</w:t>
      </w:r>
      <w:r w:rsidRPr="006E0160">
        <w:t>.</w:t>
      </w:r>
    </w:p>
    <w:p w14:paraId="37D118BD" w14:textId="77777777" w:rsidR="00CD3152" w:rsidRDefault="00CD3152" w:rsidP="00CD3152">
      <w:pPr>
        <w:ind w:firstLine="708"/>
        <w:jc w:val="both"/>
      </w:pPr>
    </w:p>
    <w:p w14:paraId="6BAEDC08" w14:textId="77777777" w:rsidR="00CD3152" w:rsidRPr="005E3C84" w:rsidRDefault="00CD3152" w:rsidP="00CD3152">
      <w:pPr>
        <w:ind w:firstLine="708"/>
        <w:jc w:val="both"/>
        <w:rPr>
          <w:b/>
          <w:bCs/>
          <w:i/>
          <w:iCs/>
          <w:color w:val="002060"/>
        </w:rPr>
      </w:pPr>
      <w:r w:rsidRPr="005E3C84">
        <w:rPr>
          <w:b/>
          <w:bCs/>
          <w:i/>
          <w:iCs/>
          <w:color w:val="002060"/>
        </w:rPr>
        <w:t xml:space="preserve"> Consum zilnic de produse de tutun convențional în funcție de numărul de țigări fumate pe zi (YRBSS 2022-2023)</w:t>
      </w:r>
    </w:p>
    <w:p w14:paraId="2E3C02C9" w14:textId="77777777" w:rsidR="00CD3152" w:rsidRPr="006E0160" w:rsidRDefault="00CD3152" w:rsidP="00CD3152">
      <w:pPr>
        <w:jc w:val="center"/>
        <w:rPr>
          <w:noProof/>
        </w:rPr>
      </w:pPr>
      <w:r>
        <w:rPr>
          <w:noProof/>
        </w:rPr>
        <w:drawing>
          <wp:inline distT="0" distB="0" distL="0" distR="0" wp14:anchorId="1A5FEB2C" wp14:editId="6CCDC43C">
            <wp:extent cx="5040000" cy="2520000"/>
            <wp:effectExtent l="0" t="0" r="8255" b="13970"/>
            <wp:docPr id="231408185" name="Chart 1">
              <a:extLst xmlns:a="http://schemas.openxmlformats.org/drawingml/2006/main">
                <a:ext uri="{FF2B5EF4-FFF2-40B4-BE49-F238E27FC236}">
                  <a16:creationId xmlns:a16="http://schemas.microsoft.com/office/drawing/2014/main" id="{00000000-0008-0000-0000-00001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3"/>
              </a:graphicData>
            </a:graphic>
          </wp:inline>
        </w:drawing>
      </w:r>
    </w:p>
    <w:p w14:paraId="4F43B7CE" w14:textId="192DE8C8" w:rsidR="00CD3152" w:rsidRDefault="00CD3152" w:rsidP="00CD3152">
      <w:pPr>
        <w:pStyle w:val="Caption"/>
        <w:jc w:val="center"/>
      </w:pPr>
      <w:bookmarkStart w:id="127" w:name="_Ref211579711"/>
      <w:r w:rsidRPr="006E0160">
        <w:t xml:space="preserve">Figura </w:t>
      </w:r>
      <w:fldSimple w:instr=" STYLEREF 1 \s ">
        <w:r w:rsidR="0080370C">
          <w:rPr>
            <w:noProof/>
          </w:rPr>
          <w:t>V</w:t>
        </w:r>
      </w:fldSimple>
      <w:r w:rsidR="0080370C">
        <w:t>.</w:t>
      </w:r>
      <w:fldSimple w:instr=" SEQ Figura \* ARABIC \s 1 ">
        <w:r w:rsidR="0080370C">
          <w:rPr>
            <w:noProof/>
          </w:rPr>
          <w:t>22</w:t>
        </w:r>
      </w:fldSimple>
      <w:bookmarkEnd w:id="127"/>
      <w:r w:rsidRPr="006E0160">
        <w:t xml:space="preserve"> Distribuţia procentuală a consumatorilor curenți</w:t>
      </w:r>
      <w:r>
        <w:t xml:space="preserve"> 14-18 ani</w:t>
      </w:r>
      <w:r w:rsidRPr="006E0160">
        <w:t xml:space="preserve">, în funcție de frecvenţa ţigărilor consumate/zi (în zilele în care fumează)  în intervalul standard </w:t>
      </w:r>
      <w:r>
        <w:t>de 30 de zile</w:t>
      </w:r>
      <w:r w:rsidRPr="006E0160">
        <w:t>, Sursa: YRBSS (2022-2023)</w:t>
      </w:r>
    </w:p>
    <w:p w14:paraId="73EF2B0E" w14:textId="77777777" w:rsidR="00CD3152" w:rsidRDefault="00CD3152" w:rsidP="00CD3152">
      <w:pPr>
        <w:ind w:firstLine="708"/>
        <w:jc w:val="both"/>
      </w:pPr>
      <w:r w:rsidRPr="006E0160">
        <w:t xml:space="preserve">În ceea ce priveşte </w:t>
      </w:r>
      <w:r w:rsidRPr="004B2A32">
        <w:rPr>
          <w:b/>
          <w:bCs/>
          <w:i/>
          <w:iCs/>
        </w:rPr>
        <w:t xml:space="preserve">numărul de ţigări fumate pe zi </w:t>
      </w:r>
      <w:r w:rsidRPr="006E0160">
        <w:t>(în zilele în care fumează), în ultimele 30 de zile, aproape 50% dintre elevii care fumează curent țigări au raportat un consum de 2-10 țigări/zi (în zilele în care fumează)</w:t>
      </w:r>
      <w:r>
        <w:t>(</w:t>
      </w:r>
      <w:r>
        <w:fldChar w:fldCharType="begin"/>
      </w:r>
      <w:r>
        <w:instrText xml:space="preserve"> REF _Ref211579711 \h </w:instrText>
      </w:r>
      <w:r>
        <w:fldChar w:fldCharType="separate"/>
      </w:r>
      <w:r w:rsidRPr="006E0160">
        <w:t xml:space="preserve">Figura </w:t>
      </w:r>
      <w:r>
        <w:rPr>
          <w:noProof/>
        </w:rPr>
        <w:t>V</w:t>
      </w:r>
      <w:r>
        <w:t>.</w:t>
      </w:r>
      <w:r>
        <w:rPr>
          <w:noProof/>
        </w:rPr>
        <w:t>26</w:t>
      </w:r>
      <w:r>
        <w:fldChar w:fldCharType="end"/>
      </w:r>
      <w:r>
        <w:t>)</w:t>
      </w:r>
      <w:r w:rsidRPr="006E0160">
        <w:t>.</w:t>
      </w:r>
    </w:p>
    <w:p w14:paraId="3953B465" w14:textId="77777777" w:rsidR="00CD3152" w:rsidRDefault="00CD3152" w:rsidP="00CD3152">
      <w:pPr>
        <w:ind w:firstLine="708"/>
        <w:jc w:val="both"/>
      </w:pPr>
    </w:p>
    <w:p w14:paraId="5B3C475A" w14:textId="77777777" w:rsidR="00CD3152" w:rsidRDefault="00CD3152" w:rsidP="00CD3152">
      <w:pPr>
        <w:keepNext/>
        <w:ind w:firstLine="708"/>
        <w:jc w:val="center"/>
      </w:pPr>
      <w:r>
        <w:rPr>
          <w:noProof/>
        </w:rPr>
        <w:lastRenderedPageBreak/>
        <w:drawing>
          <wp:inline distT="0" distB="0" distL="0" distR="0" wp14:anchorId="2CEE160D" wp14:editId="44D0CC0F">
            <wp:extent cx="5040000" cy="2520000"/>
            <wp:effectExtent l="0" t="0" r="8255" b="13970"/>
            <wp:docPr id="1361775874" name="Chart 1">
              <a:extLst xmlns:a="http://schemas.openxmlformats.org/drawingml/2006/main">
                <a:ext uri="{FF2B5EF4-FFF2-40B4-BE49-F238E27FC236}">
                  <a16:creationId xmlns:a16="http://schemas.microsoft.com/office/drawing/2014/main" id="{D74226CA-F6B1-7874-4D08-33F2F9CACBD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4"/>
              </a:graphicData>
            </a:graphic>
          </wp:inline>
        </w:drawing>
      </w:r>
    </w:p>
    <w:p w14:paraId="328A3E88" w14:textId="132F6ECD" w:rsidR="00CD3152" w:rsidRPr="006E0160" w:rsidRDefault="00CD3152" w:rsidP="00CD3152">
      <w:pPr>
        <w:pStyle w:val="Caption"/>
        <w:jc w:val="center"/>
      </w:pPr>
      <w:bookmarkStart w:id="128" w:name="_Ref211579757"/>
      <w:r>
        <w:t xml:space="preserve">Figura </w:t>
      </w:r>
      <w:fldSimple w:instr=" STYLEREF 1 \s ">
        <w:r w:rsidR="0080370C">
          <w:rPr>
            <w:noProof/>
          </w:rPr>
          <w:t>V</w:t>
        </w:r>
      </w:fldSimple>
      <w:r w:rsidR="0080370C">
        <w:t>.</w:t>
      </w:r>
      <w:fldSimple w:instr=" SEQ Figura \* ARABIC \s 1 ">
        <w:r w:rsidR="0080370C">
          <w:rPr>
            <w:noProof/>
          </w:rPr>
          <w:t>23</w:t>
        </w:r>
      </w:fldSimple>
      <w:bookmarkEnd w:id="128"/>
      <w:r w:rsidRPr="003F3D85">
        <w:t xml:space="preserve"> Distribuţia procentuală a consumatorilor curenți 14-18 ani,</w:t>
      </w:r>
      <w:r>
        <w:t xml:space="preserve"> pe sexe,</w:t>
      </w:r>
      <w:r w:rsidRPr="003F3D85">
        <w:t xml:space="preserve"> în funcție de frecvenţa ţigărilor consumate/zi (în zilele în care fumează) în intervalul standard de 30 de zile, Sursa: YRBSS (2022-2023)</w:t>
      </w:r>
    </w:p>
    <w:p w14:paraId="7C8DC464" w14:textId="77777777" w:rsidR="00CD3152" w:rsidRPr="006E0160" w:rsidRDefault="00CD3152" w:rsidP="00CD3152">
      <w:pPr>
        <w:ind w:firstLine="708"/>
        <w:jc w:val="both"/>
      </w:pPr>
      <w:r w:rsidRPr="006E0160">
        <w:t>Distribuţia de frecvenţe a adolescenților care fumează în mod curent, în funcţie de numărul de ţigări consumate pe zi (în zilele care fumează), în ultimele 30 de zile, diferă semnificativ între băieţi și fete</w:t>
      </w:r>
      <w:r>
        <w:t xml:space="preserve"> (</w:t>
      </w:r>
      <w:r>
        <w:fldChar w:fldCharType="begin"/>
      </w:r>
      <w:r>
        <w:instrText xml:space="preserve"> REF _Ref211579757 \h </w:instrText>
      </w:r>
      <w:r>
        <w:fldChar w:fldCharType="separate"/>
      </w:r>
      <w:r>
        <w:t xml:space="preserve">Figura </w:t>
      </w:r>
      <w:r>
        <w:rPr>
          <w:noProof/>
        </w:rPr>
        <w:t>V</w:t>
      </w:r>
      <w:r>
        <w:t>.</w:t>
      </w:r>
      <w:r>
        <w:rPr>
          <w:noProof/>
        </w:rPr>
        <w:t>27</w:t>
      </w:r>
      <w:r>
        <w:fldChar w:fldCharType="end"/>
      </w:r>
      <w:r>
        <w:t>)</w:t>
      </w:r>
      <w:r w:rsidRPr="006E0160">
        <w:t xml:space="preserve"> .</w:t>
      </w:r>
    </w:p>
    <w:p w14:paraId="65B41A20" w14:textId="77777777" w:rsidR="00CD3152" w:rsidRPr="006E0160" w:rsidRDefault="00CD3152" w:rsidP="00CD3152">
      <w:pPr>
        <w:ind w:firstLine="708"/>
        <w:jc w:val="both"/>
      </w:pPr>
      <w:r w:rsidRPr="006E0160">
        <w:t>Dintre fetele care fumează curent, cele mai multe (30,9%) fumează între 2 şi 5 ţigări/zi (în zilele în care fumează), iar 37,6% fumează mai mult de 5 ţigări la zi.</w:t>
      </w:r>
    </w:p>
    <w:p w14:paraId="495B29BF" w14:textId="77777777" w:rsidR="00CD3152" w:rsidRPr="006E0160" w:rsidRDefault="00CD3152" w:rsidP="00CD3152">
      <w:pPr>
        <w:ind w:firstLine="708"/>
        <w:jc w:val="both"/>
      </w:pPr>
      <w:r w:rsidRPr="006E0160">
        <w:t>Dintre băieţii care fumează în mod curent, 23,9% fumează între 2 şi 5 ţigări/zi, 22,4% între 6 şi 10  ţigări/zi şi 21,8% între 11şi 20 de ţigări/zi (în zilele în care fumează). Mai mult de jumătate dintre băieţii care fumează (50,9%) consumă peste 5 ţigări pe zi .</w:t>
      </w:r>
    </w:p>
    <w:p w14:paraId="495D6259" w14:textId="77777777" w:rsidR="00CD3152" w:rsidRPr="006E0160" w:rsidRDefault="00CD3152" w:rsidP="00CD3152">
      <w:pPr>
        <w:jc w:val="center"/>
        <w:rPr>
          <w:noProof/>
        </w:rPr>
      </w:pPr>
      <w:r>
        <w:rPr>
          <w:noProof/>
        </w:rPr>
        <w:drawing>
          <wp:inline distT="0" distB="0" distL="0" distR="0" wp14:anchorId="19314567" wp14:editId="12402DC1">
            <wp:extent cx="5040000" cy="2520000"/>
            <wp:effectExtent l="0" t="0" r="8255" b="13970"/>
            <wp:docPr id="232764435" name="Chart 1">
              <a:extLst xmlns:a="http://schemas.openxmlformats.org/drawingml/2006/main">
                <a:ext uri="{FF2B5EF4-FFF2-40B4-BE49-F238E27FC236}">
                  <a16:creationId xmlns:a16="http://schemas.microsoft.com/office/drawing/2014/main" id="{00000000-0008-0000-0000-00001E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5"/>
              </a:graphicData>
            </a:graphic>
          </wp:inline>
        </w:drawing>
      </w:r>
    </w:p>
    <w:p w14:paraId="1E92C1A2" w14:textId="464CA21E" w:rsidR="00CD3152" w:rsidRPr="006E0160" w:rsidRDefault="00CD3152" w:rsidP="00CD3152">
      <w:pPr>
        <w:pStyle w:val="Caption"/>
        <w:jc w:val="center"/>
      </w:pPr>
      <w:bookmarkStart w:id="129" w:name="_Ref211579781"/>
      <w:r w:rsidRPr="006E0160">
        <w:t xml:space="preserve">Figura </w:t>
      </w:r>
      <w:fldSimple w:instr=" STYLEREF 1 \s ">
        <w:r w:rsidR="0080370C">
          <w:rPr>
            <w:noProof/>
          </w:rPr>
          <w:t>V</w:t>
        </w:r>
      </w:fldSimple>
      <w:r w:rsidR="0080370C">
        <w:t>.</w:t>
      </w:r>
      <w:fldSimple w:instr=" SEQ Figura \* ARABIC \s 1 ">
        <w:r w:rsidR="0080370C">
          <w:rPr>
            <w:noProof/>
          </w:rPr>
          <w:t>24</w:t>
        </w:r>
      </w:fldSimple>
      <w:bookmarkEnd w:id="129"/>
      <w:r w:rsidRPr="006E0160">
        <w:t xml:space="preserve"> Distribuţia procentuală a consumatorilor curenţi în funcţie de frecvenţa zilelor în care au consumat ţigări, şi de frecvenţa ţigărilor consumate/zi în intervalul standard (N=5925), Sursa: YRBSS (2022-2023)</w:t>
      </w:r>
    </w:p>
    <w:p w14:paraId="7F1B1A65" w14:textId="77777777" w:rsidR="00CD3152" w:rsidRDefault="00CD3152" w:rsidP="00CD3152">
      <w:pPr>
        <w:ind w:firstLine="708"/>
        <w:jc w:val="both"/>
      </w:pPr>
      <w:r w:rsidRPr="006E0160">
        <w:t>Distribuția frecvenței privind numărul de țigări consumate zilnic, în cadrul unui interval standard de 30 de zile, variază semnificativ în funcţie de numărul de zile în care au fost consumate ţigări (p&lt;0,001). Se observă o relație pozitivă între frecvența consumului (număr de zile) și numărul de țigări fumate zilnic: pe măsură ce crește numărul de zile în care s-a fumat, crește și numărul mediu de țigări consumate în zilele respective (p &lt; 0,001). Această tendință sugerează un model de intensificare a consumului în rândul fumătorilor mai frecvenți</w:t>
      </w:r>
      <w:r>
        <w:t xml:space="preserve"> (</w:t>
      </w:r>
      <w:r>
        <w:fldChar w:fldCharType="begin"/>
      </w:r>
      <w:r>
        <w:instrText xml:space="preserve"> REF _Ref211579781 \h </w:instrText>
      </w:r>
      <w:r>
        <w:fldChar w:fldCharType="separate"/>
      </w:r>
      <w:r w:rsidRPr="006E0160">
        <w:t xml:space="preserve">Figura </w:t>
      </w:r>
      <w:r>
        <w:rPr>
          <w:noProof/>
        </w:rPr>
        <w:t>V</w:t>
      </w:r>
      <w:r>
        <w:t>.</w:t>
      </w:r>
      <w:r>
        <w:rPr>
          <w:noProof/>
        </w:rPr>
        <w:t>28</w:t>
      </w:r>
      <w:r>
        <w:fldChar w:fldCharType="end"/>
      </w:r>
      <w:r>
        <w:t>)</w:t>
      </w:r>
      <w:r w:rsidRPr="006E0160">
        <w:t>.</w:t>
      </w:r>
    </w:p>
    <w:p w14:paraId="4DD09DE2" w14:textId="77777777" w:rsidR="00CD3152" w:rsidRPr="006E0160" w:rsidRDefault="00CD3152" w:rsidP="00CD3152">
      <w:pPr>
        <w:ind w:firstLine="708"/>
        <w:jc w:val="both"/>
      </w:pPr>
    </w:p>
    <w:p w14:paraId="5745D76B" w14:textId="77777777" w:rsidR="00CD3152" w:rsidRPr="006E0160" w:rsidRDefault="00CD3152" w:rsidP="001A1C0B">
      <w:pPr>
        <w:pStyle w:val="Heading2"/>
      </w:pPr>
      <w:bookmarkStart w:id="130" w:name="_Toc232660582"/>
      <w:r w:rsidRPr="006E0160">
        <w:t>Consumul de țigări electronice sau produse de tutun încălzit la adolescenți</w:t>
      </w:r>
      <w:r>
        <w:t>i 14-18 ani și peste</w:t>
      </w:r>
      <w:r w:rsidRPr="006E0160">
        <w:t xml:space="preserve">, </w:t>
      </w:r>
      <w:r>
        <w:t>YRBSS 2022/2023</w:t>
      </w:r>
      <w:bookmarkEnd w:id="130"/>
    </w:p>
    <w:p w14:paraId="2D66086D" w14:textId="77777777" w:rsidR="00CD3152" w:rsidRDefault="00CD3152" w:rsidP="00CD3152">
      <w:pPr>
        <w:ind w:firstLine="708"/>
        <w:jc w:val="both"/>
      </w:pPr>
      <w:r w:rsidRPr="006E0160">
        <w:t xml:space="preserve">În cadrul studiului YRBSS 2022-2023 s-a urmărit obiectivarea consumul de ţigări electronice sau produse cu tutun încălzit la elevii care au răspuns anterior că au fumat pe parcursul vieţii cel puţin o ţigară întreagă, respectiv 8802 adolescenți. </w:t>
      </w:r>
    </w:p>
    <w:p w14:paraId="3E5E0E4C" w14:textId="77777777" w:rsidR="00CD3152" w:rsidRPr="006E0160" w:rsidRDefault="00CD3152" w:rsidP="00CD3152">
      <w:pPr>
        <w:ind w:firstLine="708"/>
        <w:jc w:val="both"/>
      </w:pPr>
    </w:p>
    <w:p w14:paraId="39574523" w14:textId="77777777" w:rsidR="00CD3152" w:rsidRPr="006E0160" w:rsidRDefault="00CD3152" w:rsidP="00CD3152">
      <w:pPr>
        <w:pStyle w:val="Heading4"/>
      </w:pPr>
      <w:r w:rsidRPr="006E0160">
        <w:t xml:space="preserve">Consumul experimental de țigări electronice/produse de tutun încălzit la adolescenții </w:t>
      </w:r>
      <w:r>
        <w:t>de 14-18 ani, YRBSS 2022/2023</w:t>
      </w:r>
    </w:p>
    <w:p w14:paraId="64042D26" w14:textId="77777777" w:rsidR="00CD3152" w:rsidRDefault="00CD3152" w:rsidP="00CD3152">
      <w:pPr>
        <w:ind w:firstLine="708"/>
        <w:jc w:val="both"/>
      </w:pPr>
      <w:r w:rsidRPr="006E0160">
        <w:t>Mai mult de trei sferturi (79,9%) dintre elevii care au fumat pe parcursul vieţii cel puţin o ţigară întreagă au folosit vreodată ţigări electronice sau produse cu tutun încălzit.</w:t>
      </w:r>
    </w:p>
    <w:p w14:paraId="0F44F80E" w14:textId="77777777" w:rsidR="00CD3152" w:rsidRDefault="00CD3152" w:rsidP="00CD3152">
      <w:pPr>
        <w:keepNext/>
        <w:jc w:val="center"/>
      </w:pPr>
      <w:r>
        <w:rPr>
          <w:noProof/>
        </w:rPr>
        <w:drawing>
          <wp:inline distT="0" distB="0" distL="0" distR="0" wp14:anchorId="4327F478" wp14:editId="6EDA71A3">
            <wp:extent cx="5040000" cy="2520000"/>
            <wp:effectExtent l="0" t="0" r="8255" b="13970"/>
            <wp:docPr id="651735418" name="Chart 1">
              <a:extLst xmlns:a="http://schemas.openxmlformats.org/drawingml/2006/main">
                <a:ext uri="{FF2B5EF4-FFF2-40B4-BE49-F238E27FC236}">
                  <a16:creationId xmlns:a16="http://schemas.microsoft.com/office/drawing/2014/main" id="{3404C5A4-4B26-4F1C-8D27-0945381092F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6"/>
              </a:graphicData>
            </a:graphic>
          </wp:inline>
        </w:drawing>
      </w:r>
    </w:p>
    <w:p w14:paraId="63ECDE1E" w14:textId="1AF1A43D" w:rsidR="00CD3152" w:rsidRDefault="00CD3152" w:rsidP="00CD3152">
      <w:pPr>
        <w:pStyle w:val="Caption"/>
        <w:jc w:val="center"/>
      </w:pPr>
      <w:bookmarkStart w:id="131" w:name="_Ref211579890"/>
      <w:r>
        <w:t xml:space="preserve">Figura </w:t>
      </w:r>
      <w:fldSimple w:instr=" STYLEREF 1 \s ">
        <w:r w:rsidR="0080370C">
          <w:rPr>
            <w:noProof/>
          </w:rPr>
          <w:t>V</w:t>
        </w:r>
      </w:fldSimple>
      <w:r w:rsidR="0080370C">
        <w:t>.</w:t>
      </w:r>
      <w:fldSimple w:instr=" SEQ Figura \* ARABIC \s 1 ">
        <w:r w:rsidR="0080370C">
          <w:rPr>
            <w:noProof/>
          </w:rPr>
          <w:t>25</w:t>
        </w:r>
      </w:fldSimple>
      <w:bookmarkEnd w:id="131"/>
      <w:r w:rsidRPr="00627286">
        <w:t xml:space="preserve"> Consumul experimental al noilor produse din tutun la fetele și băieții care au fumat pe parcursul vieţii cel puţin o ţigară întreagă (N=8607), Sursa: YRBSS (2022-2023)</w:t>
      </w:r>
    </w:p>
    <w:p w14:paraId="1112051C" w14:textId="77777777" w:rsidR="00CD3152" w:rsidRPr="006E0160" w:rsidRDefault="00CD3152" w:rsidP="00CD3152">
      <w:pPr>
        <w:ind w:firstLine="708"/>
        <w:jc w:val="both"/>
      </w:pPr>
      <w:r w:rsidRPr="006E0160">
        <w:t>Procentele privind experimentarea noilor produse din tutun (țigări electronice și produse cu tutun încălzit) au fost comparabile între cele două genuri (80% în rândul fetelor și 79,7% în rândul băieților, p= 0,747), fără diferențe semnificative statistic. Acest fapt confirmă absența unei asocieri semnificative între gen și experimentarea noilor produse de tutun</w:t>
      </w:r>
      <w:r>
        <w:t xml:space="preserve"> (</w:t>
      </w:r>
      <w:r>
        <w:fldChar w:fldCharType="begin"/>
      </w:r>
      <w:r>
        <w:instrText xml:space="preserve"> REF _Ref211579890 \h </w:instrText>
      </w:r>
      <w:r>
        <w:fldChar w:fldCharType="separate"/>
      </w:r>
      <w:r>
        <w:t xml:space="preserve">Figura </w:t>
      </w:r>
      <w:r>
        <w:rPr>
          <w:noProof/>
        </w:rPr>
        <w:t>V</w:t>
      </w:r>
      <w:r>
        <w:t>.</w:t>
      </w:r>
      <w:r>
        <w:rPr>
          <w:noProof/>
        </w:rPr>
        <w:t>29</w:t>
      </w:r>
      <w:r>
        <w:fldChar w:fldCharType="end"/>
      </w:r>
      <w:r>
        <w:t>)</w:t>
      </w:r>
      <w:r w:rsidRPr="006E0160">
        <w:t>.</w:t>
      </w:r>
    </w:p>
    <w:p w14:paraId="7B5ABF56" w14:textId="77777777" w:rsidR="00CD3152" w:rsidRPr="006E0160" w:rsidRDefault="00CD3152" w:rsidP="00CD3152">
      <w:pPr>
        <w:pStyle w:val="Heading4"/>
      </w:pPr>
      <w:r w:rsidRPr="006E0160">
        <w:t>Consumul curent de țigări electronice sau produse cu tutun încălzit</w:t>
      </w:r>
      <w:r>
        <w:t xml:space="preserve"> la adolescenții 14-18 ani, YRBSS 2022/2023</w:t>
      </w:r>
    </w:p>
    <w:p w14:paraId="636B40F9" w14:textId="77777777" w:rsidR="00CD3152" w:rsidRPr="006E0160" w:rsidRDefault="00CD3152" w:rsidP="00CD3152">
      <w:pPr>
        <w:jc w:val="both"/>
        <w:rPr>
          <w:b/>
          <w:bCs/>
          <w:color w:val="002060"/>
        </w:rPr>
      </w:pPr>
    </w:p>
    <w:p w14:paraId="24A87EAE" w14:textId="77777777" w:rsidR="00CD3152" w:rsidRPr="006E0160" w:rsidRDefault="00CD3152" w:rsidP="00CD3152">
      <w:pPr>
        <w:jc w:val="center"/>
        <w:rPr>
          <w:b/>
          <w:bCs/>
          <w:color w:val="002060"/>
        </w:rPr>
      </w:pPr>
      <w:r>
        <w:rPr>
          <w:noProof/>
        </w:rPr>
        <w:lastRenderedPageBreak/>
        <w:drawing>
          <wp:inline distT="0" distB="0" distL="0" distR="0" wp14:anchorId="4D467672" wp14:editId="233AD38D">
            <wp:extent cx="5040000" cy="2520000"/>
            <wp:effectExtent l="0" t="0" r="8255" b="13970"/>
            <wp:docPr id="1810083529" name="Chart 1">
              <a:extLst xmlns:a="http://schemas.openxmlformats.org/drawingml/2006/main">
                <a:ext uri="{FF2B5EF4-FFF2-40B4-BE49-F238E27FC236}">
                  <a16:creationId xmlns:a16="http://schemas.microsoft.com/office/drawing/2014/main" id="{F1D3F0F6-4A3F-47F0-9D0E-7D88A34117D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7"/>
              </a:graphicData>
            </a:graphic>
          </wp:inline>
        </w:drawing>
      </w:r>
    </w:p>
    <w:p w14:paraId="6F10941A" w14:textId="7A0EA7DE" w:rsidR="00CD3152" w:rsidRPr="006E0160" w:rsidRDefault="00CD3152" w:rsidP="00CD3152">
      <w:pPr>
        <w:pStyle w:val="Caption"/>
        <w:jc w:val="center"/>
      </w:pPr>
      <w:bookmarkStart w:id="132" w:name="_Ref211579952"/>
      <w:r w:rsidRPr="006E0160">
        <w:t xml:space="preserve">Figura </w:t>
      </w:r>
      <w:fldSimple w:instr=" STYLEREF 1 \s ">
        <w:r w:rsidR="0080370C">
          <w:rPr>
            <w:noProof/>
          </w:rPr>
          <w:t>V</w:t>
        </w:r>
      </w:fldSimple>
      <w:r w:rsidR="0080370C">
        <w:t>.</w:t>
      </w:r>
      <w:fldSimple w:instr=" SEQ Figura \* ARABIC \s 1 ">
        <w:r w:rsidR="0080370C">
          <w:rPr>
            <w:noProof/>
          </w:rPr>
          <w:t>26</w:t>
        </w:r>
      </w:fldSimple>
      <w:bookmarkEnd w:id="132"/>
      <w:r w:rsidRPr="006E0160">
        <w:t xml:space="preserve"> Consumul curent de ţigări electronice sau produse cu tutun încălzit printre elevii care au consumat vreodată aceste produse (N=7034), Sursa: YRBSS (2022-2023)</w:t>
      </w:r>
    </w:p>
    <w:p w14:paraId="6A0EA0CE" w14:textId="77777777" w:rsidR="00CD3152" w:rsidRDefault="00CD3152" w:rsidP="00CD3152">
      <w:pPr>
        <w:ind w:firstLine="708"/>
        <w:jc w:val="both"/>
      </w:pPr>
      <w:r w:rsidRPr="006E0160">
        <w:t>Dintre elevii care au experimentat utilizarea țigărilor electronice sau a produselor din tutun încălzit (N = 7034), 67,1% au declarat că sunt consumatori curenți, adică au utilizat aceste produse în cel puțin 1–2 zile în cele 30 de zile anterioare aplicării chestionarului. În plus, 13,8% dintre respondenți au raportat un consum frecvent, definit ca utilizarea acestor produse în 20 până la 30 de zile din luna precedentă</w:t>
      </w:r>
      <w:r>
        <w:t xml:space="preserve"> (</w:t>
      </w:r>
      <w:r>
        <w:fldChar w:fldCharType="begin"/>
      </w:r>
      <w:r>
        <w:instrText xml:space="preserve"> REF _Ref211579952 \h </w:instrText>
      </w:r>
      <w:r>
        <w:fldChar w:fldCharType="separate"/>
      </w:r>
      <w:r w:rsidRPr="006E0160">
        <w:t xml:space="preserve">Figura </w:t>
      </w:r>
      <w:r>
        <w:rPr>
          <w:noProof/>
        </w:rPr>
        <w:t>V</w:t>
      </w:r>
      <w:r>
        <w:t>.</w:t>
      </w:r>
      <w:r>
        <w:rPr>
          <w:noProof/>
        </w:rPr>
        <w:t>30</w:t>
      </w:r>
      <w:r>
        <w:fldChar w:fldCharType="end"/>
      </w:r>
      <w:r>
        <w:t>)</w:t>
      </w:r>
      <w:r w:rsidRPr="006E0160">
        <w:t>.</w:t>
      </w:r>
    </w:p>
    <w:p w14:paraId="4E3BE650" w14:textId="77777777" w:rsidR="00CD3152" w:rsidRDefault="00CD3152" w:rsidP="00CD3152">
      <w:pPr>
        <w:jc w:val="both"/>
      </w:pPr>
    </w:p>
    <w:p w14:paraId="6AFF5EFB" w14:textId="77777777" w:rsidR="00CD3152" w:rsidRDefault="00CD3152" w:rsidP="00CD3152">
      <w:pPr>
        <w:keepNext/>
        <w:jc w:val="center"/>
      </w:pPr>
      <w:r>
        <w:rPr>
          <w:noProof/>
        </w:rPr>
        <w:drawing>
          <wp:inline distT="0" distB="0" distL="0" distR="0" wp14:anchorId="22D27D6D" wp14:editId="002270BB">
            <wp:extent cx="5040000" cy="2520000"/>
            <wp:effectExtent l="0" t="0" r="8255" b="13970"/>
            <wp:docPr id="430664398" name="Chart 1">
              <a:extLst xmlns:a="http://schemas.openxmlformats.org/drawingml/2006/main">
                <a:ext uri="{FF2B5EF4-FFF2-40B4-BE49-F238E27FC236}">
                  <a16:creationId xmlns:a16="http://schemas.microsoft.com/office/drawing/2014/main" id="{63610796-6141-4416-88DF-879408E7444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8"/>
              </a:graphicData>
            </a:graphic>
          </wp:inline>
        </w:drawing>
      </w:r>
    </w:p>
    <w:p w14:paraId="61EBADCE" w14:textId="6576C10F" w:rsidR="00CD3152" w:rsidRDefault="00CD3152" w:rsidP="00CD3152">
      <w:pPr>
        <w:pStyle w:val="Caption"/>
        <w:jc w:val="center"/>
      </w:pPr>
      <w:bookmarkStart w:id="133" w:name="_Ref211581174"/>
      <w:r>
        <w:t xml:space="preserve">Figura </w:t>
      </w:r>
      <w:fldSimple w:instr=" STYLEREF 1 \s ">
        <w:r w:rsidR="0080370C">
          <w:rPr>
            <w:noProof/>
          </w:rPr>
          <w:t>V</w:t>
        </w:r>
      </w:fldSimple>
      <w:r w:rsidR="0080370C">
        <w:t>.</w:t>
      </w:r>
      <w:fldSimple w:instr=" SEQ Figura \* ARABIC \s 1 ">
        <w:r w:rsidR="0080370C">
          <w:rPr>
            <w:noProof/>
          </w:rPr>
          <w:t>27</w:t>
        </w:r>
      </w:fldSimple>
      <w:bookmarkEnd w:id="133"/>
      <w:r w:rsidRPr="00C41672">
        <w:t xml:space="preserve"> Consumul curent de ţigări electronice sau produse cu tutun încălzit printre </w:t>
      </w:r>
      <w:r>
        <w:t>adolescenții</w:t>
      </w:r>
      <w:r w:rsidRPr="00C41672">
        <w:t xml:space="preserve"> care au consumat vreodată aceste produse</w:t>
      </w:r>
      <w:r>
        <w:t>, pe sexe</w:t>
      </w:r>
      <w:r w:rsidRPr="00C41672">
        <w:t xml:space="preserve"> (N=3729</w:t>
      </w:r>
      <w:r>
        <w:t xml:space="preserve"> fete și N=</w:t>
      </w:r>
      <w:r w:rsidRPr="00C41672">
        <w:t>3729), Sursa: YRBSS (2022-2023)</w:t>
      </w:r>
    </w:p>
    <w:p w14:paraId="2977A3F6" w14:textId="77777777" w:rsidR="00CD3152" w:rsidRPr="006E0160" w:rsidRDefault="00CD3152" w:rsidP="00CD3152">
      <w:pPr>
        <w:ind w:firstLine="708"/>
        <w:jc w:val="both"/>
      </w:pPr>
      <w:r w:rsidRPr="006E0160">
        <w:t>În rândul fetelor care au experimentat consumul noilor produse din tutun, 70,4% au declarat că le utilizează în mod curent, iar 15,1% raportează un consum frecvent, adică în 20–30 de zile din ultima lună.</w:t>
      </w:r>
      <w:r>
        <w:t xml:space="preserve"> </w:t>
      </w:r>
      <w:r w:rsidRPr="006E0160">
        <w:t>În rândul băieților care au experimentat noile produse din tutun cel puțin o dată, 63,1% au declarat că le utilizează în mod curent, iar 12% raportează un consum frecvent.</w:t>
      </w:r>
      <w:r>
        <w:t xml:space="preserve"> </w:t>
      </w:r>
      <w:r w:rsidRPr="006E0160">
        <w:t>Aceste date sugerează o tendință importantă de tranziție de la experimentare la utilizare regulată în rândul adolescenților de ambele sexe</w:t>
      </w:r>
      <w:r>
        <w:t xml:space="preserve"> (</w:t>
      </w:r>
      <w:r>
        <w:fldChar w:fldCharType="begin"/>
      </w:r>
      <w:r>
        <w:instrText xml:space="preserve"> REF _Ref211581174 \h </w:instrText>
      </w:r>
      <w:r>
        <w:fldChar w:fldCharType="separate"/>
      </w:r>
      <w:r>
        <w:t xml:space="preserve">Figura </w:t>
      </w:r>
      <w:r>
        <w:rPr>
          <w:noProof/>
        </w:rPr>
        <w:t>V</w:t>
      </w:r>
      <w:r>
        <w:t>.</w:t>
      </w:r>
      <w:r>
        <w:rPr>
          <w:noProof/>
        </w:rPr>
        <w:t>31</w:t>
      </w:r>
      <w:r>
        <w:fldChar w:fldCharType="end"/>
      </w:r>
      <w:r>
        <w:t>)</w:t>
      </w:r>
      <w:r w:rsidRPr="006E0160">
        <w:t>.</w:t>
      </w:r>
    </w:p>
    <w:p w14:paraId="6DD9CBF6" w14:textId="77777777" w:rsidR="00CD3152" w:rsidRPr="006E0160" w:rsidRDefault="00CD3152" w:rsidP="00CD3152">
      <w:pPr>
        <w:ind w:firstLine="708"/>
        <w:jc w:val="both"/>
      </w:pPr>
      <w:r w:rsidRPr="006E0160">
        <w:lastRenderedPageBreak/>
        <w:t>Procentul adolescenților care în ultimele 30 de zile au consumat curent ţigări electronice sau produse cu tutun încălzit în rândul celor care au consumat vreodată aceste produse diferă semnificativ între fete și băieţi (p&lt;0,001), fiind mai mare pentru fete (70,4%) decât pentru băieţi (63,1%).</w:t>
      </w:r>
    </w:p>
    <w:p w14:paraId="57729407" w14:textId="77777777" w:rsidR="00CD3152" w:rsidRPr="006E0160" w:rsidRDefault="00CD3152" w:rsidP="00CD3152">
      <w:pPr>
        <w:ind w:firstLine="708"/>
        <w:jc w:val="both"/>
      </w:pPr>
      <w:r w:rsidRPr="006E0160">
        <w:t>Procentul adolescenților care în ultimele 30 de zile au consumat frecvent ţigări electronice sau produse cu tutun încălzit în rândul celor care au consumat vreodată aceste produse diferă semnificativ între fete și băieţi (p&lt;0,001), fiind mai mare pentru fete (15,1%) decât pentru băieţi (12%). Diferenţele procentelor sunt semnificative statistic pentru categoriile de vârstă 15 ani (73,9% fete vs. 65,1% băieți) și 17 ani (69,2% fete vs 64,6% băieți).</w:t>
      </w:r>
    </w:p>
    <w:p w14:paraId="61A5AD87" w14:textId="77777777" w:rsidR="00CD3152" w:rsidRPr="006E0160" w:rsidRDefault="00CD3152" w:rsidP="00CD3152">
      <w:pPr>
        <w:ind w:firstLine="708"/>
        <w:jc w:val="both"/>
      </w:pPr>
      <w:r w:rsidRPr="006E0160">
        <w:t>Procentul adolescenților care în ultimele 30 de zile au consumat în mod curent ţigări electronice sau produse cu tutun încălzit în rândul celor care au consumat vreodată aceste produse nu diferă semnificativ între categoriile de vârstă studiate, nici pentru fete (p=0,111) și nici pentru băieţi (p=0,469).</w:t>
      </w:r>
    </w:p>
    <w:p w14:paraId="2BFEFDD8" w14:textId="77777777" w:rsidR="00CD3152" w:rsidRPr="006E0160" w:rsidRDefault="00CD3152" w:rsidP="00CD3152">
      <w:pPr>
        <w:ind w:firstLine="708"/>
        <w:jc w:val="both"/>
      </w:pPr>
      <w:r w:rsidRPr="006E0160">
        <w:t>Procentul adolescenților care în ultimele 30 de zile au consumat frecvent ţigări electronice sau produse cu tutun încălzit în rândul celor care au consumat vreodată aceste produse diferă semnificativ între categoriile de vârstă studiate atât pentru fete (p=0,038), cât și pentru băieţi (p=0,032). În cazul fetelor, procentele diferă semnificativ între vârstele consecutive 16 ani și 17 ani (p=0,015).</w:t>
      </w:r>
    </w:p>
    <w:p w14:paraId="705D0D39" w14:textId="77777777" w:rsidR="00CD3152" w:rsidRPr="006E0160" w:rsidRDefault="00CD3152" w:rsidP="00CD3152">
      <w:pPr>
        <w:ind w:firstLine="708"/>
        <w:jc w:val="both"/>
      </w:pPr>
      <w:r w:rsidRPr="006E0160">
        <w:t>Aceste rezultate evidențiază o tendință alarmantă: fetele care experimentează țigări electronice sau produse cu tutun încălzit sunt mai susceptibile decât băieții să continue consumul și să îl transforme într-un comportament regulat sau frecvent. În plus, creșterea frecvenței utilizării odată cu vârsta, în special în cazul fetelor, sugerează o posibilă escaladare a dependenței sau a normalizării consumului în această categorie de populație.</w:t>
      </w:r>
    </w:p>
    <w:p w14:paraId="3CD14808" w14:textId="77777777" w:rsidR="00CD3152" w:rsidRDefault="00CD3152" w:rsidP="00CD3152">
      <w:pPr>
        <w:ind w:firstLine="708"/>
        <w:jc w:val="both"/>
      </w:pPr>
      <w:r w:rsidRPr="006E0160">
        <w:t>Se observă că fetele prezintă rate semnificativ mai mari de consum curent și frecvent de produse noi de tutun comparativ cu băieții.</w:t>
      </w:r>
    </w:p>
    <w:p w14:paraId="43C52C5A" w14:textId="77777777" w:rsidR="00CD3152" w:rsidRDefault="00CD3152" w:rsidP="00CD3152">
      <w:pPr>
        <w:ind w:firstLine="708"/>
        <w:jc w:val="both"/>
      </w:pPr>
      <w:r>
        <w:t>Sintetizând concluziile studiului YRBSS (2022-2023), se constată că:</w:t>
      </w:r>
    </w:p>
    <w:p w14:paraId="7E43638A" w14:textId="77777777" w:rsidR="00CD3152" w:rsidRDefault="00CD3152" w:rsidP="00CD3152">
      <w:pPr>
        <w:tabs>
          <w:tab w:val="left" w:pos="426"/>
        </w:tabs>
        <w:jc w:val="both"/>
      </w:pPr>
      <w:r>
        <w:t>1.</w:t>
      </w:r>
      <w:r>
        <w:tab/>
        <w:t xml:space="preserve">Mai mult de 50 de elevi de liceu din 100 au experimentat fumatul. </w:t>
      </w:r>
    </w:p>
    <w:p w14:paraId="7A4EA615" w14:textId="77777777" w:rsidR="00CD3152" w:rsidRDefault="00CD3152" w:rsidP="00CD3152">
      <w:pPr>
        <w:tabs>
          <w:tab w:val="left" w:pos="426"/>
        </w:tabs>
        <w:jc w:val="both"/>
      </w:pPr>
      <w:r>
        <w:t>2.</w:t>
      </w:r>
      <w:r>
        <w:tab/>
        <w:t>Procentul elevilor care au experimentat fumatul a crescut odată cu vârsta.</w:t>
      </w:r>
    </w:p>
    <w:p w14:paraId="364664B2" w14:textId="77777777" w:rsidR="00CD3152" w:rsidRDefault="00CD3152" w:rsidP="00CD3152">
      <w:pPr>
        <w:tabs>
          <w:tab w:val="left" w:pos="426"/>
        </w:tabs>
        <w:jc w:val="both"/>
      </w:pPr>
      <w:r>
        <w:t>3.</w:t>
      </w:r>
      <w:r>
        <w:tab/>
        <w:t>Mai mult de o fată din 100 și mai mult de 3 băieți din 100, dintre cei care au experimentat vreodată fumatul, au consumat pentru prima dată o țigară întreagă la vârsta de 8 ani sau mai puțin.</w:t>
      </w:r>
    </w:p>
    <w:p w14:paraId="4591DE40" w14:textId="77777777" w:rsidR="00CD3152" w:rsidRDefault="00CD3152" w:rsidP="00CD3152">
      <w:pPr>
        <w:tabs>
          <w:tab w:val="left" w:pos="426"/>
        </w:tabs>
        <w:jc w:val="both"/>
      </w:pPr>
      <w:r>
        <w:t>4.</w:t>
      </w:r>
      <w:r>
        <w:tab/>
        <w:t xml:space="preserve">În ceea ce privește elevii care au experimentat fumatul, cea mai mare frecvență raportată a vârstei fumatului primei țigări întregi a fost grupa de 15-16 ani, urmată de grupa de vârstă 13-14 ani. </w:t>
      </w:r>
    </w:p>
    <w:p w14:paraId="08081213" w14:textId="77777777" w:rsidR="00CD3152" w:rsidRDefault="00CD3152" w:rsidP="00CD3152">
      <w:pPr>
        <w:tabs>
          <w:tab w:val="left" w:pos="426"/>
        </w:tabs>
        <w:jc w:val="both"/>
      </w:pPr>
      <w:r>
        <w:t>5.</w:t>
      </w:r>
      <w:r>
        <w:tab/>
        <w:t xml:space="preserve">Aproape 27 de elevi din 100 sunt fumători curenți de țigări. </w:t>
      </w:r>
    </w:p>
    <w:p w14:paraId="38AA07B1" w14:textId="77777777" w:rsidR="00CD3152" w:rsidRDefault="00CD3152" w:rsidP="00CD3152">
      <w:pPr>
        <w:tabs>
          <w:tab w:val="left" w:pos="426"/>
        </w:tabs>
        <w:jc w:val="both"/>
      </w:pPr>
      <w:r>
        <w:t>6.</w:t>
      </w:r>
      <w:r>
        <w:tab/>
        <w:t>Băieții consumatori curenți de țigări tind să fumeze mai multe țigări/zi (în zilele în care fumează) comparativ cu fetele.</w:t>
      </w:r>
    </w:p>
    <w:p w14:paraId="6DF5F241" w14:textId="77777777" w:rsidR="00CD3152" w:rsidRDefault="00CD3152" w:rsidP="00CD3152">
      <w:pPr>
        <w:tabs>
          <w:tab w:val="left" w:pos="426"/>
        </w:tabs>
        <w:jc w:val="both"/>
      </w:pPr>
      <w:r>
        <w:t>7.</w:t>
      </w:r>
      <w:r>
        <w:tab/>
        <w:t>La fumătorii curenți de țigări s-a observat o tendință ascendentă a numărului de ţigări consumate pe zi în raport cu creșterea numărului de zile în care fumează.</w:t>
      </w:r>
    </w:p>
    <w:p w14:paraId="0F5BA978" w14:textId="77777777" w:rsidR="00CD3152" w:rsidRDefault="00CD3152" w:rsidP="00CD3152">
      <w:pPr>
        <w:tabs>
          <w:tab w:val="left" w:pos="426"/>
        </w:tabs>
        <w:jc w:val="both"/>
      </w:pPr>
      <w:r>
        <w:t>8.</w:t>
      </w:r>
      <w:r>
        <w:tab/>
        <w:t xml:space="preserve">Aproape 11 din 100 de fumători curenți care au fumat zilnic (în ultimele 30 de zile înaintea chestionării), au fumat mai mult de 20 de țigări/zi. </w:t>
      </w:r>
    </w:p>
    <w:p w14:paraId="4A810BD4" w14:textId="77777777" w:rsidR="00CD3152" w:rsidRDefault="00CD3152" w:rsidP="00CD3152">
      <w:pPr>
        <w:tabs>
          <w:tab w:val="left" w:pos="426"/>
        </w:tabs>
        <w:jc w:val="both"/>
      </w:pPr>
      <w:r>
        <w:t>9.</w:t>
      </w:r>
      <w:r>
        <w:tab/>
        <w:t>Mai mult de15 elevi din 100 au fumat în mod curent la şcoală (în ultimele 30 de zile înaintea chestionării).</w:t>
      </w:r>
    </w:p>
    <w:p w14:paraId="53AF9670" w14:textId="77777777" w:rsidR="00CD3152" w:rsidRDefault="00CD3152" w:rsidP="00CD3152">
      <w:pPr>
        <w:tabs>
          <w:tab w:val="left" w:pos="426"/>
        </w:tabs>
        <w:jc w:val="both"/>
      </w:pPr>
      <w:r>
        <w:t>10. Mai mult de trei sferturi dintre elevii care au fumat pe parcursul vieţii cel puţin o ţigară întreagă au folosit vreodată ţigări electronice sau produse cu tutun încălzit.</w:t>
      </w:r>
    </w:p>
    <w:p w14:paraId="122B1909" w14:textId="77777777" w:rsidR="00CD3152" w:rsidRDefault="00CD3152" w:rsidP="00CD3152">
      <w:pPr>
        <w:tabs>
          <w:tab w:val="left" w:pos="426"/>
        </w:tabs>
        <w:jc w:val="both"/>
      </w:pPr>
      <w:r>
        <w:lastRenderedPageBreak/>
        <w:t>11. Fetele care experimentează țigări electronice sau produse cu tutun încălzit sunt mai susceptibile decât băieții să continue consumul și să îl transforme într-un comportament regulat sau frecvent. În plus, creșterea frecvenței utilizării odată cu vârsta, în special în cazul fetelor, sugerează o posibilă escaladare a dependenței sau a normalizării consumului în această categorie de populație.</w:t>
      </w:r>
    </w:p>
    <w:p w14:paraId="1A6C39A6" w14:textId="77777777" w:rsidR="00CD3152" w:rsidRPr="006E0160" w:rsidRDefault="00CD3152" w:rsidP="00CD3152">
      <w:pPr>
        <w:pStyle w:val="Heading1"/>
        <w:tabs>
          <w:tab w:val="clear" w:pos="142"/>
        </w:tabs>
        <w:spacing w:line="240" w:lineRule="auto"/>
      </w:pPr>
      <w:bookmarkStart w:id="134" w:name="_Toc232660583"/>
      <w:r w:rsidRPr="006E0160">
        <w:t xml:space="preserve">Intervenții </w:t>
      </w:r>
      <w:r>
        <w:t xml:space="preserve">eficiente </w:t>
      </w:r>
      <w:r w:rsidRPr="006E0160">
        <w:t xml:space="preserve">pentru controlul </w:t>
      </w:r>
      <w:r>
        <w:t>fumatului și a utilizării produselor alternative de consum de tutun</w:t>
      </w:r>
      <w:bookmarkEnd w:id="134"/>
    </w:p>
    <w:p w14:paraId="5855E101" w14:textId="71A5C213" w:rsidR="00515AEF" w:rsidRDefault="00CD3152" w:rsidP="00CD3152">
      <w:pPr>
        <w:ind w:firstLine="708"/>
        <w:jc w:val="both"/>
      </w:pPr>
      <w:r w:rsidRPr="006E0160">
        <w:t>Printre intervențiile eficiente pentru reducerea expunerii la fum de țigară se numără măsurile legislative de interzicere a fumatului în spațiile publice</w:t>
      </w:r>
      <w:r w:rsidR="00515AEF">
        <w:t xml:space="preserve"> închise</w:t>
      </w:r>
      <w:r w:rsidRPr="006E0160">
        <w:t xml:space="preserve">, de interzicere a vânzării de produse de tutun către persoanele în vârstă de sub 18 ani și </w:t>
      </w:r>
      <w:r w:rsidR="00515AEF" w:rsidRPr="00515AEF">
        <w:t>și restricționarea publicității, promovării și sponsorizării produselor din tutun. Aceste măsuri fac parte din cadrul amplu de control al tutunului, având ca obiectiv reducerea expunerii populației la factori de risc evitabili și protejarea sănătății publice</w:t>
      </w:r>
      <w:r w:rsidR="00515AEF">
        <w:t>.</w:t>
      </w:r>
    </w:p>
    <w:p w14:paraId="3BE401F6" w14:textId="646E3DEC" w:rsidR="00CD3152" w:rsidRPr="006E0160" w:rsidRDefault="00CD3152" w:rsidP="00CD3152">
      <w:pPr>
        <w:ind w:firstLine="708"/>
        <w:jc w:val="both"/>
      </w:pPr>
      <w:r w:rsidRPr="006E0160">
        <w:t xml:space="preserve">La nivelul Uniunii Europene, </w:t>
      </w:r>
      <w:r w:rsidRPr="005766C1">
        <w:rPr>
          <w:b/>
          <w:bCs/>
        </w:rPr>
        <w:t>Directiva 2014/40/UE</w:t>
      </w:r>
      <w:r w:rsidRPr="006E0160">
        <w:t xml:space="preserve"> </w:t>
      </w:r>
      <w:r w:rsidRPr="00745269">
        <w:rPr>
          <w:b/>
          <w:bCs/>
        </w:rPr>
        <w:t>privind produsele din tutun</w:t>
      </w:r>
      <w:r w:rsidR="00C40119">
        <w:t xml:space="preserve">, </w:t>
      </w:r>
      <w:r w:rsidR="00515AEF" w:rsidRPr="00515AEF">
        <w:t>transpusă în legislația națională</w:t>
      </w:r>
      <w:r w:rsidR="00C40119" w:rsidRPr="005766C1">
        <w:t xml:space="preserve"> prin </w:t>
      </w:r>
      <w:r w:rsidR="00C40119" w:rsidRPr="005766C1">
        <w:rPr>
          <w:b/>
          <w:bCs/>
        </w:rPr>
        <w:t>Legea nr. 201/2016</w:t>
      </w:r>
      <w:r w:rsidRPr="006E0160">
        <w:t xml:space="preserve">, </w:t>
      </w:r>
      <w:r w:rsidR="00745269" w:rsidRPr="00745269">
        <w:t>stabilește cadrul normativ privind fabricarea, prezentarea și vânzarea produselor din tutun și a produselor conexe. Directiva urmărește armonizarea reglementărilor între statele membre și reducerea diferențelor legislative, în scopul consolidării protecției sănătății publice</w:t>
      </w:r>
      <w:r w:rsidRPr="006E0160">
        <w:t>.</w:t>
      </w:r>
    </w:p>
    <w:p w14:paraId="352C0D04" w14:textId="2BD77665" w:rsidR="00CD3152" w:rsidRDefault="00745269" w:rsidP="00CD3152">
      <w:pPr>
        <w:ind w:firstLine="708"/>
        <w:jc w:val="both"/>
      </w:pPr>
      <w:r w:rsidRPr="00745269">
        <w:t>În ultimii ani, implementarea acestei directive a fost asociată cu o serie de măsuri de sănătate publică cu impact asupra prevalenței fumatului, în special în rândul copiilor și adolescenților, incluzând majorarea taxelor pe produsele din tutun, restricții privind accesul minorilor la produsele din tutun, introducerea avertismentelor combinate de sănătate și eliminarea aromelor caracteristice pentru anumite categorii de produse din tutun</w:t>
      </w:r>
      <w:r w:rsidR="00CD3152" w:rsidRPr="006E0160">
        <w:t xml:space="preserve">. </w:t>
      </w:r>
    </w:p>
    <w:p w14:paraId="3313A60F" w14:textId="0BDE0FB6" w:rsidR="00C40119" w:rsidRPr="00745269" w:rsidRDefault="00C40119" w:rsidP="00C40119">
      <w:pPr>
        <w:ind w:firstLine="708"/>
        <w:jc w:val="both"/>
      </w:pPr>
      <w:r w:rsidRPr="00C40119">
        <w:rPr>
          <w:highlight w:val="yellow"/>
        </w:rPr>
        <w:tab/>
      </w:r>
      <w:r w:rsidRPr="005766C1">
        <w:tab/>
      </w:r>
      <w:r w:rsidR="00745269" w:rsidRPr="00745269">
        <w:t>În ceea ce privește protecția mediului</w:t>
      </w:r>
      <w:r w:rsidR="00745269" w:rsidRPr="00745269">
        <w:rPr>
          <w:b/>
          <w:bCs/>
        </w:rPr>
        <w:t xml:space="preserve">, Directiva (UE) 2019/904 privind reducerea impactului anumitor produse din plastic asupra mediului </w:t>
      </w:r>
      <w:r w:rsidR="00745269" w:rsidRPr="00745269">
        <w:t>vizează inclusiv filtrele de țigarete și anumite produse de tip de unică folosință, acestea fiind identificate ca surse semnificative de poluare. În România, directiva a fost transpusă prin</w:t>
      </w:r>
      <w:r w:rsidR="00745269" w:rsidRPr="00745269">
        <w:rPr>
          <w:b/>
          <w:bCs/>
        </w:rPr>
        <w:t xml:space="preserve"> Ordonanța Guvernului nr. 6/2021 </w:t>
      </w:r>
      <w:r w:rsidR="00745269" w:rsidRPr="00745269">
        <w:t>privind reducerea impactului anumitor produse din plastic asupra mediului.</w:t>
      </w:r>
    </w:p>
    <w:p w14:paraId="1F8B338D" w14:textId="6972878A" w:rsidR="005766C1" w:rsidRDefault="00745269" w:rsidP="00CE386A">
      <w:pPr>
        <w:ind w:firstLine="708"/>
        <w:jc w:val="both"/>
      </w:pPr>
      <w:r w:rsidRPr="00745269">
        <w:t xml:space="preserve">Referitor la produsele din tutun încălzit, cadrul legislativ european a fost consolidat prin </w:t>
      </w:r>
      <w:r w:rsidRPr="00745269">
        <w:rPr>
          <w:b/>
          <w:bCs/>
        </w:rPr>
        <w:t>Directiva delegată (UE) 2022/2100</w:t>
      </w:r>
      <w:r w:rsidRPr="00745269">
        <w:t xml:space="preserve">, care a extins reglementările privind produsele din tutun încălzit, inclusiv în ceea ce privește interzicerea anumitor arome caracteristice și aplicarea avertismentelor de sănătate pe ambalaje. </w:t>
      </w:r>
      <w:r w:rsidRPr="00CE386A">
        <w:t>La nivel național, aceste prevederi au fost integrate prin</w:t>
      </w:r>
      <w:r w:rsidRPr="00745269">
        <w:rPr>
          <w:b/>
          <w:bCs/>
        </w:rPr>
        <w:t xml:space="preserve"> Ordonanța Guvernului nr. 23/2023 </w:t>
      </w:r>
      <w:r w:rsidRPr="00CE386A">
        <w:t>și ulterior consolidate prin</w:t>
      </w:r>
      <w:r w:rsidRPr="00745269">
        <w:rPr>
          <w:b/>
          <w:bCs/>
        </w:rPr>
        <w:t xml:space="preserve"> Legea nr. 90/2026.</w:t>
      </w:r>
      <w:r w:rsidR="005766C1" w:rsidRPr="005766C1">
        <w:t xml:space="preserve"> </w:t>
      </w:r>
    </w:p>
    <w:p w14:paraId="75FC1357" w14:textId="5F4F019B" w:rsidR="00CD3152" w:rsidRDefault="00570DAC" w:rsidP="00CE386A">
      <w:pPr>
        <w:ind w:firstLine="0"/>
        <w:jc w:val="both"/>
      </w:pPr>
      <w:r>
        <w:rPr>
          <w:noProof/>
        </w:rPr>
        <mc:AlternateContent>
          <mc:Choice Requires="wpg">
            <w:drawing>
              <wp:anchor distT="45720" distB="45720" distL="182880" distR="182880" simplePos="0" relativeHeight="251675648" behindDoc="0" locked="0" layoutInCell="1" allowOverlap="1" wp14:anchorId="2C42F67F" wp14:editId="2ADE2A02">
                <wp:simplePos x="0" y="0"/>
                <wp:positionH relativeFrom="margin">
                  <wp:posOffset>-65405</wp:posOffset>
                </wp:positionH>
                <wp:positionV relativeFrom="margin">
                  <wp:posOffset>1829435</wp:posOffset>
                </wp:positionV>
                <wp:extent cx="3566160" cy="1170944"/>
                <wp:effectExtent l="0" t="0" r="15240" b="10160"/>
                <wp:wrapSquare wrapText="bothSides"/>
                <wp:docPr id="198" name="Group 203"/>
                <wp:cNvGraphicFramePr/>
                <a:graphic xmlns:a="http://schemas.openxmlformats.org/drawingml/2006/main">
                  <a:graphicData uri="http://schemas.microsoft.com/office/word/2010/wordprocessingGroup">
                    <wpg:wgp>
                      <wpg:cNvGrpSpPr/>
                      <wpg:grpSpPr>
                        <a:xfrm>
                          <a:off x="0" y="0"/>
                          <a:ext cx="3566160" cy="1170944"/>
                          <a:chOff x="0" y="0"/>
                          <a:chExt cx="3567448" cy="1170709"/>
                        </a:xfrm>
                      </wpg:grpSpPr>
                      <wps:wsp>
                        <wps:cNvPr id="199" name="Rectangle 199"/>
                        <wps:cNvSpPr/>
                        <wps:spPr>
                          <a:xfrm>
                            <a:off x="0" y="0"/>
                            <a:ext cx="3567448" cy="270605"/>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7FA0E24" w14:textId="77777777" w:rsidR="00881A59" w:rsidRDefault="00881A59">
                              <w:pPr>
                                <w:jc w:val="center"/>
                                <w:rPr>
                                  <w:rFonts w:asciiTheme="majorHAnsi" w:eastAsiaTheme="majorEastAsia" w:hAnsiTheme="majorHAnsi" w:cstheme="majorBidi"/>
                                  <w:color w:val="FFFFFF" w:themeColor="background1"/>
                                  <w:sz w:val="24"/>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0" name="Text Box 200"/>
                        <wps:cNvSpPr txBox="1"/>
                        <wps:spPr>
                          <a:xfrm>
                            <a:off x="0" y="252683"/>
                            <a:ext cx="3567448" cy="918026"/>
                          </a:xfrm>
                          <a:prstGeom prst="rect">
                            <a:avLst/>
                          </a:prstGeom>
                          <a:solidFill>
                            <a:schemeClr val="bg1">
                              <a:lumMod val="95000"/>
                            </a:schemeClr>
                          </a:solidFill>
                          <a:ln w="6350">
                            <a:solidFill>
                              <a:schemeClr val="bg1">
                                <a:lumMod val="95000"/>
                              </a:schemeClr>
                            </a:solidFill>
                          </a:ln>
                          <a:effectLst/>
                        </wps:spPr>
                        <wps:style>
                          <a:lnRef idx="0">
                            <a:schemeClr val="accent1"/>
                          </a:lnRef>
                          <a:fillRef idx="0">
                            <a:schemeClr val="accent1"/>
                          </a:fillRef>
                          <a:effectRef idx="0">
                            <a:schemeClr val="accent1"/>
                          </a:effectRef>
                          <a:fontRef idx="minor">
                            <a:schemeClr val="dk1"/>
                          </a:fontRef>
                        </wps:style>
                        <wps:txbx>
                          <w:txbxContent>
                            <w:p w14:paraId="0EFD4CE7" w14:textId="27641D0F" w:rsidR="00881A59" w:rsidRPr="00417F53" w:rsidRDefault="00570DAC" w:rsidP="00570DAC">
                              <w:pPr>
                                <w:ind w:firstLine="0"/>
                                <w:rPr>
                                  <w:rFonts w:ascii="Book Antiqua" w:hAnsi="Book Antiqua"/>
                                  <w:caps/>
                                  <w:color w:val="262262" w:themeColor="text2"/>
                                  <w:sz w:val="26"/>
                                  <w:szCs w:val="26"/>
                                </w:rPr>
                              </w:pPr>
                              <w:r w:rsidRPr="00417F53">
                                <w:rPr>
                                  <w:rFonts w:ascii="Book Antiqua" w:hAnsi="Book Antiqua"/>
                                  <w:caps/>
                                  <w:color w:val="262262" w:themeColor="text2"/>
                                  <w:sz w:val="26"/>
                                  <w:szCs w:val="26"/>
                                </w:rPr>
                                <w:t>Previziunile indic</w:t>
                              </w:r>
                              <w:r w:rsidRPr="00417F53">
                                <w:rPr>
                                  <w:rFonts w:ascii="Book Antiqua" w:hAnsi="Book Antiqua" w:cs="Cambria"/>
                                  <w:caps/>
                                  <w:color w:val="262262" w:themeColor="text2"/>
                                  <w:sz w:val="26"/>
                                  <w:szCs w:val="26"/>
                                </w:rPr>
                                <w:t>ă</w:t>
                              </w:r>
                              <w:r w:rsidRPr="00417F53">
                                <w:rPr>
                                  <w:rFonts w:ascii="Book Antiqua" w:hAnsi="Book Antiqua"/>
                                  <w:caps/>
                                  <w:color w:val="262262" w:themeColor="text2"/>
                                  <w:sz w:val="26"/>
                                  <w:szCs w:val="26"/>
                                </w:rPr>
                                <w:t xml:space="preserve"> faptul c</w:t>
                              </w:r>
                              <w:r w:rsidRPr="00417F53">
                                <w:rPr>
                                  <w:rFonts w:ascii="Book Antiqua" w:hAnsi="Book Antiqua" w:cs="Cambria"/>
                                  <w:caps/>
                                  <w:color w:val="262262" w:themeColor="text2"/>
                                  <w:sz w:val="26"/>
                                  <w:szCs w:val="26"/>
                                </w:rPr>
                                <w:t>ă</w:t>
                              </w:r>
                              <w:r w:rsidRPr="00417F53">
                                <w:rPr>
                                  <w:rFonts w:ascii="Book Antiqua" w:hAnsi="Book Antiqua"/>
                                  <w:caps/>
                                  <w:color w:val="262262" w:themeColor="text2"/>
                                  <w:sz w:val="26"/>
                                  <w:szCs w:val="26"/>
                                </w:rPr>
                                <w:t xml:space="preserve"> tutunul va ucide p</w:t>
                              </w:r>
                              <w:r w:rsidRPr="00417F53">
                                <w:rPr>
                                  <w:rFonts w:ascii="Book Antiqua" w:hAnsi="Book Antiqua" w:cs="Modern No. 20"/>
                                  <w:caps/>
                                  <w:color w:val="262262" w:themeColor="text2"/>
                                  <w:sz w:val="26"/>
                                  <w:szCs w:val="26"/>
                                </w:rPr>
                                <w:t>â</w:t>
                              </w:r>
                              <w:r w:rsidRPr="00417F53">
                                <w:rPr>
                                  <w:rFonts w:ascii="Book Antiqua" w:hAnsi="Book Antiqua"/>
                                  <w:caps/>
                                  <w:color w:val="262262" w:themeColor="text2"/>
                                  <w:sz w:val="26"/>
                                  <w:szCs w:val="26"/>
                                </w:rPr>
                                <w:t>n</w:t>
                              </w:r>
                              <w:r w:rsidRPr="00417F53">
                                <w:rPr>
                                  <w:rFonts w:ascii="Book Antiqua" w:hAnsi="Book Antiqua" w:cs="Cambria"/>
                                  <w:caps/>
                                  <w:color w:val="262262" w:themeColor="text2"/>
                                  <w:sz w:val="26"/>
                                  <w:szCs w:val="26"/>
                                </w:rPr>
                                <w:t>ă</w:t>
                              </w:r>
                              <w:r w:rsidRPr="00417F53">
                                <w:rPr>
                                  <w:rFonts w:ascii="Book Antiqua" w:hAnsi="Book Antiqua"/>
                                  <w:caps/>
                                  <w:color w:val="262262" w:themeColor="text2"/>
                                  <w:sz w:val="26"/>
                                  <w:szCs w:val="26"/>
                                </w:rPr>
                                <w:t xml:space="preserve"> la un miliard de oameni în acest secol</w:t>
                              </w:r>
                            </w:p>
                          </w:txbxContent>
                        </wps:txbx>
                        <wps:bodyPr rot="0" spcFirstLastPara="0" vertOverflow="overflow" horzOverflow="overflow" vert="horz" wrap="square" lIns="91440" tIns="91440" rIns="91440" bIns="0" numCol="1" spcCol="0" rtlCol="0" fromWordArt="0" anchor="t" anchorCtr="0" forceAA="0" compatLnSpc="1">
                          <a:prstTxWarp prst="textNoShape">
                            <a:avLst/>
                          </a:prstTxWarp>
                          <a:spAutoFit/>
                        </wps:bodyPr>
                      </wps:wsp>
                    </wpg:wgp>
                  </a:graphicData>
                </a:graphic>
                <wp14:sizeRelH relativeFrom="margin">
                  <wp14:pctWidth>0</wp14:pctWidth>
                </wp14:sizeRelH>
                <wp14:sizeRelV relativeFrom="margin">
                  <wp14:pctHeight>0</wp14:pctHeight>
                </wp14:sizeRelV>
              </wp:anchor>
            </w:drawing>
          </mc:Choice>
          <mc:Fallback>
            <w:pict>
              <v:group w14:anchorId="2C42F67F" id="Group 203" o:spid="_x0000_s1030" style="position:absolute;left:0;text-align:left;margin-left:-5.15pt;margin-top:144.05pt;width:280.8pt;height:92.2pt;z-index:251675648;mso-wrap-distance-left:14.4pt;mso-wrap-distance-top:3.6pt;mso-wrap-distance-right:14.4pt;mso-wrap-distance-bottom:3.6pt;mso-position-horizontal-relative:margin;mso-position-vertical-relative:margin;mso-width-relative:margin;mso-height-relative:margin" coordsize="35674,117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">
                <v:rect id="Rectangle 199" o:spid="_x0000_s1031" style="position:absolute;width:35674;height:27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" fillcolor="#01b69b [3204]" stroked="f" strokeweight="1pt">
                  <v:textbox>
                    <w:txbxContent>
                      <w:p w14:paraId="37FA0E24" w14:textId="77777777" w:rsidR="00881A59" w:rsidRDefault="00881A59">
                        <w:pPr>
                          <w:jc w:val="center"/>
                          <w:rPr>
                            <w:rFonts w:asciiTheme="majorHAnsi" w:eastAsiaTheme="majorEastAsia" w:hAnsiTheme="majorHAnsi" w:cstheme="majorBidi"/>
                            <w:color w:val="FFFFFF" w:themeColor="background1"/>
                            <w:sz w:val="24"/>
                            <w:szCs w:val="28"/>
                          </w:rPr>
                        </w:pPr>
                      </w:p>
                    </w:txbxContent>
                  </v:textbox>
                </v:rect>
                <v:shape id="Text Box 200" o:spid="_x0000_s1032" type="#_x0000_t202" style="position:absolute;top:2526;width:35674;height:91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" fillcolor="#f2f2f2 [3052]" strokecolor="#f2f2f2 [3052]" strokeweight=".5pt">
                  <v:textbox style="mso-fit-shape-to-text:t" inset=",7.2pt,,0">
                    <w:txbxContent>
                      <w:p w14:paraId="0EFD4CE7" w14:textId="27641D0F" w:rsidR="00881A59" w:rsidRPr="00417F53" w:rsidRDefault="00570DAC" w:rsidP="00570DAC">
                        <w:pPr>
                          <w:ind w:firstLine="0"/>
                          <w:rPr>
                            <w:rFonts w:ascii="Book Antiqua" w:hAnsi="Book Antiqua"/>
                            <w:caps/>
                            <w:color w:val="262262" w:themeColor="text2"/>
                            <w:sz w:val="26"/>
                            <w:szCs w:val="26"/>
                          </w:rPr>
                        </w:pPr>
                        <w:r w:rsidRPr="00417F53">
                          <w:rPr>
                            <w:rFonts w:ascii="Book Antiqua" w:hAnsi="Book Antiqua"/>
                            <w:caps/>
                            <w:color w:val="262262" w:themeColor="text2"/>
                            <w:sz w:val="26"/>
                            <w:szCs w:val="26"/>
                          </w:rPr>
                          <w:t>Previziunile indic</w:t>
                        </w:r>
                        <w:r w:rsidRPr="00417F53">
                          <w:rPr>
                            <w:rFonts w:ascii="Book Antiqua" w:hAnsi="Book Antiqua" w:cs="Cambria"/>
                            <w:caps/>
                            <w:color w:val="262262" w:themeColor="text2"/>
                            <w:sz w:val="26"/>
                            <w:szCs w:val="26"/>
                          </w:rPr>
                          <w:t>ă</w:t>
                        </w:r>
                        <w:r w:rsidRPr="00417F53">
                          <w:rPr>
                            <w:rFonts w:ascii="Book Antiqua" w:hAnsi="Book Antiqua"/>
                            <w:caps/>
                            <w:color w:val="262262" w:themeColor="text2"/>
                            <w:sz w:val="26"/>
                            <w:szCs w:val="26"/>
                          </w:rPr>
                          <w:t xml:space="preserve"> faptul c</w:t>
                        </w:r>
                        <w:r w:rsidRPr="00417F53">
                          <w:rPr>
                            <w:rFonts w:ascii="Book Antiqua" w:hAnsi="Book Antiqua" w:cs="Cambria"/>
                            <w:caps/>
                            <w:color w:val="262262" w:themeColor="text2"/>
                            <w:sz w:val="26"/>
                            <w:szCs w:val="26"/>
                          </w:rPr>
                          <w:t>ă</w:t>
                        </w:r>
                        <w:r w:rsidRPr="00417F53">
                          <w:rPr>
                            <w:rFonts w:ascii="Book Antiqua" w:hAnsi="Book Antiqua"/>
                            <w:caps/>
                            <w:color w:val="262262" w:themeColor="text2"/>
                            <w:sz w:val="26"/>
                            <w:szCs w:val="26"/>
                          </w:rPr>
                          <w:t xml:space="preserve"> tutunul va ucide p</w:t>
                        </w:r>
                        <w:r w:rsidRPr="00417F53">
                          <w:rPr>
                            <w:rFonts w:ascii="Book Antiqua" w:hAnsi="Book Antiqua" w:cs="Modern No. 20"/>
                            <w:caps/>
                            <w:color w:val="262262" w:themeColor="text2"/>
                            <w:sz w:val="26"/>
                            <w:szCs w:val="26"/>
                          </w:rPr>
                          <w:t>â</w:t>
                        </w:r>
                        <w:r w:rsidRPr="00417F53">
                          <w:rPr>
                            <w:rFonts w:ascii="Book Antiqua" w:hAnsi="Book Antiqua"/>
                            <w:caps/>
                            <w:color w:val="262262" w:themeColor="text2"/>
                            <w:sz w:val="26"/>
                            <w:szCs w:val="26"/>
                          </w:rPr>
                          <w:t>n</w:t>
                        </w:r>
                        <w:r w:rsidRPr="00417F53">
                          <w:rPr>
                            <w:rFonts w:ascii="Book Antiqua" w:hAnsi="Book Antiqua" w:cs="Cambria"/>
                            <w:caps/>
                            <w:color w:val="262262" w:themeColor="text2"/>
                            <w:sz w:val="26"/>
                            <w:szCs w:val="26"/>
                          </w:rPr>
                          <w:t>ă</w:t>
                        </w:r>
                        <w:r w:rsidRPr="00417F53">
                          <w:rPr>
                            <w:rFonts w:ascii="Book Antiqua" w:hAnsi="Book Antiqua"/>
                            <w:caps/>
                            <w:color w:val="262262" w:themeColor="text2"/>
                            <w:sz w:val="26"/>
                            <w:szCs w:val="26"/>
                          </w:rPr>
                          <w:t xml:space="preserve"> la un miliard de oameni în acest secol</w:t>
                        </w:r>
                      </w:p>
                    </w:txbxContent>
                  </v:textbox>
                </v:shape>
                <w10:wrap type="square" anchorx="margin" anchory="margin"/>
              </v:group>
            </w:pict>
          </mc:Fallback>
        </mc:AlternateContent>
      </w:r>
      <w:r w:rsidR="00CD3152" w:rsidRPr="006E0160">
        <w:t>În ultimele două decenii și în România au fost adoptate politici</w:t>
      </w:r>
      <w:r w:rsidR="00CE386A">
        <w:t xml:space="preserve"> progresive</w:t>
      </w:r>
      <w:r w:rsidR="00CD3152" w:rsidRPr="006E0160">
        <w:t xml:space="preserve"> de control al tutunului. Printre acestea se numără interzicerea totală a fumatului în spațiile publice interzicerea publicității și a vânzării către minori și majorarea accizelor. </w:t>
      </w:r>
      <w:r w:rsidR="00CE386A" w:rsidRPr="00CE386A">
        <w:t xml:space="preserve">Cu toate acestea, programele de prevenire și cele de sprijin pentru </w:t>
      </w:r>
      <w:r w:rsidR="00CE386A" w:rsidRPr="00CE386A">
        <w:lastRenderedPageBreak/>
        <w:t>renunțarea la fumat sunt implementate încă predominant oportunist, ceea ce limitează impactul lor populațional</w:t>
      </w:r>
      <w:r w:rsidR="00CD3152" w:rsidRPr="006E0160">
        <w:t>.</w:t>
      </w:r>
    </w:p>
    <w:p w14:paraId="54252579" w14:textId="77777777" w:rsidR="004E13AF" w:rsidRPr="00CE386A" w:rsidRDefault="004E13AF" w:rsidP="002D039D">
      <w:pPr>
        <w:ind w:firstLine="0"/>
        <w:jc w:val="both"/>
        <w:rPr>
          <w:sz w:val="28"/>
          <w:szCs w:val="28"/>
        </w:rPr>
      </w:pPr>
    </w:p>
    <w:p w14:paraId="1E6D3D04" w14:textId="5C2DA2AB" w:rsidR="002D039D" w:rsidRPr="00CE386A" w:rsidRDefault="002D039D" w:rsidP="004E13AF">
      <w:pPr>
        <w:pStyle w:val="Heading4"/>
        <w:rPr>
          <w:sz w:val="24"/>
          <w:szCs w:val="24"/>
        </w:rPr>
      </w:pPr>
      <w:r w:rsidRPr="00CE386A">
        <w:rPr>
          <w:rStyle w:val="Heading4Char"/>
          <w:sz w:val="24"/>
          <w:szCs w:val="24"/>
        </w:rPr>
        <w:t>Planul European de Combatere a cancerului – o "generație fără tutun", (Direcții viitoare – TPD3)</w:t>
      </w:r>
    </w:p>
    <w:p w14:paraId="627ED5FB" w14:textId="0EDF9B8A" w:rsidR="00CD3152" w:rsidRDefault="00EA55D6" w:rsidP="00CD3152">
      <w:pPr>
        <w:ind w:firstLine="708"/>
        <w:jc w:val="both"/>
      </w:pPr>
      <w:r w:rsidRPr="00EA55D6">
        <w:t>Planul European de Combatere a Cancerului urmărește crearea unei „generații fără tutun” până în anul 2040, obiectiv susținut inclusiv prin viitoarea revizuire a Directivei privind produsele din tutun (TPD3), care va consolida reglementarea produselor din tutun și a produselor alternative cu nicotină</w:t>
      </w:r>
      <w:r w:rsidR="00CD3152" w:rsidRPr="006E0160">
        <w:t xml:space="preserve">. Planul european de combatere a cancerului a stabilit un obiectiv ambițios de a crea o </w:t>
      </w:r>
      <w:r w:rsidR="00CD3152" w:rsidRPr="002578D3">
        <w:rPr>
          <w:b/>
          <w:bCs/>
        </w:rPr>
        <w:t>„generație fără tutun”</w:t>
      </w:r>
      <w:r w:rsidR="00CD3152" w:rsidRPr="006E0160">
        <w:t xml:space="preserve"> în care mai puțin de 5% din populație să folosească tutun până în 2040. Este imperios ca țările semnatare să aplice cât mai rapid convenția cadru OMS – FCTC </w:t>
      </w:r>
      <w:r w:rsidR="00CD3152" w:rsidRPr="006E0160">
        <w:fldChar w:fldCharType="begin"/>
      </w:r>
      <w:r w:rsidR="00D4526D">
        <w:instrText xml:space="preserve"> ADDIN EN.CITE &lt;EndNote&gt;&lt;Cite&gt;&lt;Author&gt;FCTC&lt;/Author&gt;&lt;Year&gt;2003&lt;/Year&gt;&lt;RecNum&gt;9224&lt;/RecNum&gt;&lt;DisplayText&gt;&lt;style size="10"&gt;[43]&lt;/style&gt;&lt;/DisplayText&gt;&lt;record&gt;&lt;rec-number&gt;9224&lt;/rec-number&gt;&lt;foreign-keys&gt;&lt;key app="EN" db-id="fw0prtesnvf55cepezbx255wwza5zw0ssatt" timestamp="1758512919" guid="f629afb8-6b1c-4888-aefa-1d1528275f77"&gt;9224&lt;/key&gt;&lt;/foreign-keys&gt;&lt;ref-type name="Web Page"&gt;12&lt;/ref-type&gt;&lt;contributors&gt;&lt;authors&gt;&lt;author&gt;&lt;style face="normal" font="default" charset="238" size="100%"&gt;WHO FCTC&lt;/style&gt;&lt;/author&gt;&lt;/authors&gt;&lt;secondary-authors&gt;&lt;author&gt;WHO Library Cataloguing-in-Publication Data&lt;/author&gt;&lt;/secondary-authors&gt;&lt;/contributors&gt;&lt;titles&gt;&lt;title&gt;WHO FRAMEWORK CONVENTION ON TOBACCO CONTROL&lt;/title&gt;&lt;/titles&gt;&lt;dates&gt;&lt;year&gt;&lt;style face="normal" font="default" charset="238" size="100%"&gt;2003&lt;/style&gt;&lt;/year&gt;&lt;/dates&gt;&lt;urls&gt;&lt;related-urls&gt;&lt;url&gt;https://iris.who.int/bitstream/handle/10665/42811/9241591013.pdf?sequence=1&lt;/url&gt;&lt;/related-urls&gt;&lt;/urls&gt;&lt;/record&gt;&lt;/Cite&gt;&lt;/EndNote&gt;</w:instrText>
      </w:r>
      <w:r w:rsidR="00CD3152" w:rsidRPr="006E0160">
        <w:fldChar w:fldCharType="separate"/>
      </w:r>
      <w:r w:rsidR="00D4526D" w:rsidRPr="00D4526D">
        <w:rPr>
          <w:noProof/>
          <w:sz w:val="20"/>
        </w:rPr>
        <w:t>[43]</w:t>
      </w:r>
      <w:r w:rsidR="00CD3152" w:rsidRPr="006E0160">
        <w:fldChar w:fldCharType="end"/>
      </w:r>
      <w:r w:rsidR="00CD3152" w:rsidRPr="006E0160">
        <w:t xml:space="preserve">, întrucât previziunile indică faptul că tutunul va ucide până la 1 miliard de oameni în acest secol. </w:t>
      </w:r>
    </w:p>
    <w:p w14:paraId="7B5F28B0" w14:textId="0AD838D2" w:rsidR="004A5DC6" w:rsidRPr="006E0160" w:rsidRDefault="004A5DC6" w:rsidP="00CD3152">
      <w:pPr>
        <w:ind w:firstLine="708"/>
        <w:jc w:val="both"/>
      </w:pPr>
      <w:r w:rsidRPr="004A5DC6">
        <w:t>În ceea ce privește evoluția pe termen scurt, perspectiva legislativă</w:t>
      </w:r>
      <w:r>
        <w:t xml:space="preserve"> în România</w:t>
      </w:r>
      <w:r w:rsidRPr="004A5DC6">
        <w:t xml:space="preserve"> este marcată de două inițiative majore aflate în circuitul parlamentar. Prima urmărește extinderea definiției legale a „fumatului” prin includerea explicită a vaporilor și aerosolilor, măsură ce va atrage interzicerea totală a dispozitivelor de tip vape în toate spațiile publice închise, inclusiv în sectorul HoReCa. Cea de-a doua inițiativă vizează descurajarea consumului în rândul tinerilor prin instituirea de sancțiuni contravenționale directe pentru minorii depistați de organele de ordine consumând tutun sau înlocuitorii acestuia în spațiile publice, indiferent de locul în care aceștia sunt identificați.</w:t>
      </w:r>
    </w:p>
    <w:p w14:paraId="36E3F53F" w14:textId="77777777" w:rsidR="00CD3152" w:rsidRPr="006E0160" w:rsidRDefault="00CD3152" w:rsidP="00CD3152">
      <w:pPr>
        <w:ind w:firstLine="708"/>
        <w:jc w:val="both"/>
      </w:pPr>
      <w:r w:rsidRPr="006E0160">
        <w:t>Un alt punct îngrijorător actual este asociat creșterii utilizării țigărilor electronice, mai ales în rândul tinerilor. Din perspectiva controlului tutunului, sunt multe provocări ridicate de riscurile date de aceste produse noi de fumat. Trecerea de la fumatul convențional la fumatul cu dispozitive electronice nu înseamnă trecerea la un produs care produce daune într-o măsură mai mică, ridicându-se astfel problema utilizării acestor produse noi mai ales în rândul adolescenților. Dacă adolescenții se îndreaptă către aceste produse noi, ca rezultat al unor tehnici de marketing țintite către ei, prin atragerea lor prin utilizarea unor arome și percepția că țigara electronica este o ”alternativă mai sigură”, există riscul ca toate progresele înregistrate în controlul epidemiei tabagice să fie pierdute .</w:t>
      </w:r>
    </w:p>
    <w:p w14:paraId="62443D6A" w14:textId="77777777" w:rsidR="00CD3152" w:rsidRPr="006E0160" w:rsidRDefault="00CD3152" w:rsidP="00CD3152">
      <w:pPr>
        <w:ind w:firstLine="708"/>
        <w:jc w:val="both"/>
      </w:pPr>
      <w:r w:rsidRPr="006E0160">
        <w:t>În prezent toate țările se confruntă cu situația generată de produsele noi emergente de tipul ENDS (Electronic Nicotine Delivery Systems) și HTP (Heated Tobacco Products). Marketingul și comercializarea acestor dispozitive pot permite să ocolirea unor interdicții de publicitate și consum în spații publice.</w:t>
      </w:r>
    </w:p>
    <w:p w14:paraId="6EF4E8F1" w14:textId="77777777" w:rsidR="00CD3152" w:rsidRDefault="00CD3152" w:rsidP="00CD3152">
      <w:pPr>
        <w:ind w:firstLine="708"/>
        <w:jc w:val="both"/>
      </w:pPr>
      <w:r w:rsidRPr="006E0160">
        <w:t xml:space="preserve">Campaniile de marketing pentru a introduce ENDS și HTP în consum au un caracter susținut, dispozitivele de încălzire fiind comercializate ca produse sofisticate, de înaltă tehnologie, care oferă utilizatorilor o modalitate de a se bucura de produse din tutun „cu risc redus” și „fără fum”. În cadrul strategiei de promovare, marketingul prin intermediul rețelelor sociale a fost un element cheie. Conform datelor din cel mai recent raport al OMS referitor la produsele nou emergente, există riscul ca folosirea țigărilor electronice și a produselor de fumat bazate pe fumat încălzit în locuri publice unde fumatul este interzis să ”renormalizeze” fumatul în spații publice. Conferința părților la Convenția - Cadru a OMS privind Controlul Tutunului recunoaște că produsele de fumat bazate pe tutun încălzit (HTP) sunt de </w:t>
      </w:r>
      <w:r w:rsidRPr="006E0160">
        <w:lastRenderedPageBreak/>
        <w:t>asemenea produse din tutun și, prin urmare, consideră a fi necesar să fie supuse prevederilor acestei convenții.</w:t>
      </w:r>
    </w:p>
    <w:p w14:paraId="449952CC" w14:textId="77777777" w:rsidR="00CD3152" w:rsidRDefault="00CD3152" w:rsidP="00CD3152">
      <w:pPr>
        <w:ind w:firstLine="708"/>
        <w:jc w:val="both"/>
      </w:pPr>
    </w:p>
    <w:p w14:paraId="6243FF48" w14:textId="14618B1E" w:rsidR="00627016" w:rsidRPr="00627016" w:rsidRDefault="00CD3152" w:rsidP="00627016">
      <w:pPr>
        <w:pStyle w:val="Heading4"/>
      </w:pPr>
      <w:r w:rsidRPr="002E74E1">
        <w:t xml:space="preserve">Intervenții și politici școlare „fără nicotină și tutun” și pentru prevenirea consumului la tineri </w:t>
      </w:r>
    </w:p>
    <w:p w14:paraId="490A2FA7" w14:textId="0D7F625C" w:rsidR="00CD3152" w:rsidRDefault="00CD3152" w:rsidP="00A62A7C">
      <w:pPr>
        <w:pStyle w:val="ListParagraph"/>
        <w:numPr>
          <w:ilvl w:val="0"/>
          <w:numId w:val="34"/>
        </w:numPr>
        <w:spacing w:line="319" w:lineRule="auto"/>
        <w:ind w:left="567"/>
        <w:jc w:val="both"/>
      </w:pPr>
      <w:r>
        <w:rPr>
          <w:i/>
          <w:iCs/>
        </w:rPr>
        <w:t>Exemplu</w:t>
      </w:r>
      <w:r>
        <w:rPr>
          <w:i/>
          <w:iCs/>
          <w:lang w:val="en-GB"/>
        </w:rPr>
        <w:t>:</w:t>
      </w:r>
      <w:r>
        <w:rPr>
          <w:i/>
          <w:iCs/>
        </w:rPr>
        <w:t xml:space="preserve"> </w:t>
      </w:r>
      <w:r w:rsidRPr="002E74E1">
        <w:rPr>
          <w:i/>
          <w:iCs/>
        </w:rPr>
        <w:t>Ghidul “Freedom from nicotine and tabaccoȘ guide for schools” și setul de instrumente pentru aplicarea acestuia “Nicotine-and tobacco-free schools: policy development and implementation toolkit” - Școli fără nicotină și tutun: instrumente de dezvoltare și implementare a politicilor, OMS,2023</w:t>
      </w:r>
      <w:r>
        <w:t xml:space="preserve"> </w:t>
      </w:r>
      <w:r>
        <w:fldChar w:fldCharType="begin"/>
      </w:r>
      <w:r w:rsidR="00D4526D">
        <w:instrText xml:space="preserve"> ADDIN EN.CITE &lt;EndNote&gt;&lt;Cite&gt;&lt;Author&gt;WHO&lt;/Author&gt;&lt;Year&gt;2023&lt;/Year&gt;&lt;RecNum&gt;9231&lt;/RecNum&gt;&lt;DisplayText&gt;&lt;style size="10"&gt;[44,45]&lt;/style&gt;&lt;/DisplayText&gt;&lt;record&gt;&lt;rec-number&gt;9231&lt;/rec-number&gt;&lt;foreign-keys&gt;&lt;key app="EN" db-id="fw0prtesnvf55cepezbx255wwza5zw0ssatt" timestamp="1759774219" guid="cfd1d3eb-11a5-4ebb-8d5f-f1587d8ef004"&gt;9231&lt;/key&gt;&lt;/foreign-keys&gt;&lt;ref-type name="Government Document"&gt;46&lt;/ref-type&gt;&lt;contributors&gt;&lt;authors&gt;&lt;author&gt;&lt;style face="normal" font="default" charset="238" size="100%"&gt;WHO&lt;/style&gt;&lt;/author&gt;&lt;/authors&gt;&lt;/contributors&gt;&lt;titles&gt;&lt;title&gt;Nicotine- and tobacco-free schools: policy development and implementation toolkit&lt;/title&gt;&lt;/titles&gt;&lt;dates&gt;&lt;year&gt;&lt;style face="normal" font="default" charset="238" size="100%"&gt;2023&lt;/style&gt;&lt;/year&gt;&lt;/dates&gt;&lt;pub-location&gt;&lt;style face="normal" font="default" charset="238" size="100%"&gt;Copenhagen&lt;/style&gt;&lt;/pub-location&gt;&lt;urls&gt;&lt;related-urls&gt;&lt;url&gt;https://iris.who.int/server/api/core/bitstreams/9789fa5a-f0e5-4d43-a776-524c69e75e58/content&lt;/url&gt;&lt;/related-urls&gt;&lt;/urls&gt;&lt;/record&gt;&lt;/Cite&gt;&lt;Cite&gt;&lt;Author&gt;WHO&lt;/Author&gt;&lt;Year&gt;2023&lt;/Year&gt;&lt;RecNum&gt;9230&lt;/RecNum&gt;&lt;record&gt;&lt;rec-number&gt;9230&lt;/rec-number&gt;&lt;foreign-keys&gt;&lt;key app="EN" db-id="fw0prtesnvf55cepezbx255wwza5zw0ssatt" timestamp="1759774135" guid="89c1194e-4d7d-4406-8c7d-fa82764c3266"&gt;9230&lt;/key&gt;&lt;/foreign-keys&gt;&lt;ref-type name="Government Document"&gt;46&lt;/ref-type&gt;&lt;contributors&gt;&lt;authors&gt;&lt;author&gt;&lt;style face="normal" font="default" charset="238" size="100%"&gt;WHO&lt;/style&gt;&lt;/author&gt;&lt;/authors&gt;&lt;/contributors&gt;&lt;titles&gt;&lt;title&gt;Freedom from nicotine and tobacco: guide for schools&lt;/title&gt;&lt;/titles&gt;&lt;dates&gt;&lt;year&gt;&lt;style face="normal" font="default" charset="238" size="100%"&gt;2023&lt;/style&gt;&lt;/year&gt;&lt;/dates&gt;&lt;pub-location&gt;&lt;style face="normal" font="default" charset="238" size="100%"&gt;Geneva&lt;/style&gt;&lt;/pub-location&gt;&lt;urls&gt;&lt;related-urls&gt;&lt;url&gt;https://iris.who.int/server/api/core/bitstreams/c9866254-dd79-47c7-bcfd-a85e2c56bc83/content&lt;/url&gt;&lt;/related-urls&gt;&lt;/urls&gt;&lt;/record&gt;&lt;/Cite&gt;&lt;/EndNote&gt;</w:instrText>
      </w:r>
      <w:r>
        <w:fldChar w:fldCharType="separate"/>
      </w:r>
      <w:r w:rsidR="00D4526D" w:rsidRPr="00D4526D">
        <w:rPr>
          <w:noProof/>
          <w:sz w:val="20"/>
        </w:rPr>
        <w:t>[44,45]</w:t>
      </w:r>
      <w:r>
        <w:fldChar w:fldCharType="end"/>
      </w:r>
    </w:p>
    <w:p w14:paraId="26D307D0" w14:textId="77777777" w:rsidR="00CD3152" w:rsidRDefault="00CD3152" w:rsidP="00CD3152">
      <w:pPr>
        <w:ind w:firstLine="567"/>
        <w:jc w:val="both"/>
      </w:pPr>
      <w:r>
        <w:t>În anul 2023, OMS a elaborat un ghid de intervenții necesare pentru a controla consumul de tutun și produse alternative în școli, precum și un set de instrumente pentru realizarea dezideratului unităților școlare fără nicotină și tutun. Aceste materiale reiterează că simpla interzicere a utilizării nicotinei și a produselor din tutun în incinta școlii ar putea să nu fie suficientă. Astfel, ghidul propune instrumente concrete și proceduri pe care toți membrii comunității școlare le pot urma pentru a se bucura de un mediu fără nicotină și tutun</w:t>
      </w:r>
      <w:r w:rsidRPr="001A1C0B">
        <w:t>: i</w:t>
      </w:r>
      <w:r w:rsidRPr="00831789">
        <w:t xml:space="preserve">nterzicerea </w:t>
      </w:r>
      <w:r>
        <w:t xml:space="preserve">consumului </w:t>
      </w:r>
      <w:r w:rsidRPr="00831789">
        <w:t xml:space="preserve">oricăror produse cu nicotină </w:t>
      </w:r>
      <w:r>
        <w:t>în incinta școlii;</w:t>
      </w:r>
      <w:r w:rsidRPr="00831789">
        <w:t xml:space="preserve"> interzicerea vânzării</w:t>
      </w:r>
      <w:r>
        <w:t>,</w:t>
      </w:r>
      <w:r w:rsidRPr="00831789">
        <w:t xml:space="preserve"> publicității</w:t>
      </w:r>
      <w:r>
        <w:t xml:space="preserve"> și promovării directe sau indirecte a</w:t>
      </w:r>
      <w:r w:rsidRPr="00831789">
        <w:t xml:space="preserve"> produselor din tutun în </w:t>
      </w:r>
      <w:r>
        <w:t xml:space="preserve">școală și în </w:t>
      </w:r>
      <w:r w:rsidRPr="00831789">
        <w:t xml:space="preserve">vecinătatea </w:t>
      </w:r>
      <w:r>
        <w:t>acesteia; precum</w:t>
      </w:r>
      <w:r w:rsidRPr="00831789">
        <w:t xml:space="preserve"> și respingerea oricărei </w:t>
      </w:r>
      <w:r>
        <w:t>forme de sponsorizare sau interacțiune cu</w:t>
      </w:r>
      <w:r w:rsidRPr="00831789">
        <w:t xml:space="preserve"> industri</w:t>
      </w:r>
      <w:r>
        <w:t>a</w:t>
      </w:r>
      <w:r w:rsidRPr="00831789">
        <w:t xml:space="preserve"> tutunului</w:t>
      </w:r>
      <w:r>
        <w:t xml:space="preserve">. </w:t>
      </w:r>
    </w:p>
    <w:p w14:paraId="08DF90DB" w14:textId="77777777" w:rsidR="00CD3152" w:rsidRPr="00204155" w:rsidRDefault="00CD3152" w:rsidP="00CD3152">
      <w:pPr>
        <w:ind w:firstLine="567"/>
        <w:jc w:val="both"/>
        <w:rPr>
          <w:lang w:val="en-GB"/>
        </w:rPr>
      </w:pPr>
      <w:r>
        <w:t>Sunt identificate ca și componentele esențiale pentru implementarea cu succes a politicilor fără nicotină și tutun în școală: educația preventivă, comunicare, sprijinirea în renunțarea la produsele pe bază de nicotină și tutun, dar și monitorizarea și evaluarea implementării măsurilor agreate. Pașii recomandați de către materialele OMS sunt</w:t>
      </w:r>
      <w:r>
        <w:rPr>
          <w:lang w:val="en-GB"/>
        </w:rPr>
        <w:t>:</w:t>
      </w:r>
    </w:p>
    <w:p w14:paraId="03C4D051" w14:textId="77777777" w:rsidR="00CD3152" w:rsidRDefault="00CD3152" w:rsidP="00A62A7C">
      <w:pPr>
        <w:pStyle w:val="ListParagraph"/>
        <w:numPr>
          <w:ilvl w:val="0"/>
          <w:numId w:val="11"/>
        </w:numPr>
        <w:spacing w:line="319" w:lineRule="auto"/>
        <w:ind w:left="567"/>
        <w:jc w:val="both"/>
      </w:pPr>
      <w:r>
        <w:t xml:space="preserve">Adoptarea unei politici școlare „fără nicotină și tutun” </w:t>
      </w:r>
    </w:p>
    <w:p w14:paraId="30787417" w14:textId="77777777" w:rsidR="00CD3152" w:rsidRDefault="00CD3152" w:rsidP="00A62A7C">
      <w:pPr>
        <w:pStyle w:val="ListParagraph"/>
        <w:numPr>
          <w:ilvl w:val="0"/>
          <w:numId w:val="13"/>
        </w:numPr>
        <w:spacing w:line="319" w:lineRule="auto"/>
        <w:jc w:val="both"/>
      </w:pPr>
      <w:r>
        <w:t xml:space="preserve">elaborarea unei politici școlare </w:t>
      </w:r>
      <w:r w:rsidRPr="00730BC1">
        <w:t>„fără nicotină și tutun”</w:t>
      </w:r>
    </w:p>
    <w:p w14:paraId="180A66D5" w14:textId="77777777" w:rsidR="00CD3152" w:rsidRDefault="00CD3152" w:rsidP="00A62A7C">
      <w:pPr>
        <w:pStyle w:val="ListParagraph"/>
        <w:numPr>
          <w:ilvl w:val="0"/>
          <w:numId w:val="13"/>
        </w:numPr>
        <w:spacing w:line="319" w:lineRule="auto"/>
        <w:jc w:val="both"/>
      </w:pPr>
      <w:r>
        <w:t>evaluarea resurselor disponibile pentru implementarea politicilor</w:t>
      </w:r>
    </w:p>
    <w:p w14:paraId="6217B000" w14:textId="77777777" w:rsidR="00CD3152" w:rsidRDefault="00CD3152" w:rsidP="00A62A7C">
      <w:pPr>
        <w:pStyle w:val="ListParagraph"/>
        <w:numPr>
          <w:ilvl w:val="0"/>
          <w:numId w:val="12"/>
        </w:numPr>
        <w:spacing w:line="319" w:lineRule="auto"/>
        <w:ind w:left="567"/>
        <w:jc w:val="both"/>
      </w:pPr>
      <w:r>
        <w:t xml:space="preserve">Organizarea educației preventive privind consumul de nicotină și tutun și furnizarea de instruire privind implementarea politicii proprii </w:t>
      </w:r>
    </w:p>
    <w:p w14:paraId="41C7D9CD" w14:textId="77777777" w:rsidR="00CD3152" w:rsidRDefault="00CD3152" w:rsidP="00A62A7C">
      <w:pPr>
        <w:pStyle w:val="ListParagraph"/>
        <w:numPr>
          <w:ilvl w:val="0"/>
          <w:numId w:val="14"/>
        </w:numPr>
        <w:spacing w:line="319" w:lineRule="auto"/>
        <w:jc w:val="both"/>
      </w:pPr>
      <w:r>
        <w:t>instruirea elevilor, profesorilor și personalului școlii în implementarea politicii proprii</w:t>
      </w:r>
    </w:p>
    <w:p w14:paraId="2AFB533C" w14:textId="77777777" w:rsidR="00CD3152" w:rsidRDefault="00CD3152" w:rsidP="00A62A7C">
      <w:pPr>
        <w:pStyle w:val="ListParagraph"/>
        <w:numPr>
          <w:ilvl w:val="0"/>
          <w:numId w:val="15"/>
        </w:numPr>
        <w:spacing w:line="319" w:lineRule="auto"/>
        <w:ind w:left="567"/>
        <w:jc w:val="both"/>
      </w:pPr>
      <w:r>
        <w:t xml:space="preserve">Elaborarea și implementarea unui plan de diseminare a politicii la nivelul școlii </w:t>
      </w:r>
    </w:p>
    <w:p w14:paraId="06B4DC66" w14:textId="77777777" w:rsidR="00CD3152" w:rsidRDefault="00CD3152" w:rsidP="00A62A7C">
      <w:pPr>
        <w:pStyle w:val="ListParagraph"/>
        <w:numPr>
          <w:ilvl w:val="0"/>
          <w:numId w:val="16"/>
        </w:numPr>
        <w:spacing w:line="319" w:lineRule="auto"/>
        <w:jc w:val="both"/>
      </w:pPr>
      <w:r>
        <w:t>crearea unui mediu școlar fără nicotină și tutun și comunicarea despre noua politică</w:t>
      </w:r>
    </w:p>
    <w:p w14:paraId="6377DFFD" w14:textId="77777777" w:rsidR="00CD3152" w:rsidRDefault="00CD3152" w:rsidP="00A62A7C">
      <w:pPr>
        <w:pStyle w:val="ListParagraph"/>
        <w:numPr>
          <w:ilvl w:val="0"/>
          <w:numId w:val="16"/>
        </w:numPr>
        <w:spacing w:line="319" w:lineRule="auto"/>
        <w:jc w:val="both"/>
      </w:pPr>
      <w:r>
        <w:t>lansarea politicii școlare „fără nicotină și tutun” și organizarea unei campanii de conștientizare</w:t>
      </w:r>
    </w:p>
    <w:p w14:paraId="08D8C9D3" w14:textId="77777777" w:rsidR="00CD3152" w:rsidRDefault="00CD3152" w:rsidP="00A62A7C">
      <w:pPr>
        <w:pStyle w:val="ListParagraph"/>
        <w:numPr>
          <w:ilvl w:val="0"/>
          <w:numId w:val="17"/>
        </w:numPr>
        <w:spacing w:line="319" w:lineRule="auto"/>
        <w:ind w:left="0" w:firstLine="284"/>
        <w:jc w:val="both"/>
      </w:pPr>
      <w:r>
        <w:t xml:space="preserve">Aplicarea efectivă a politicii </w:t>
      </w:r>
      <w:r w:rsidRPr="00730BC1">
        <w:t xml:space="preserve">„fără nicotină și tutun” </w:t>
      </w:r>
      <w:r>
        <w:t>în școală</w:t>
      </w:r>
    </w:p>
    <w:p w14:paraId="7FC3601E" w14:textId="77777777" w:rsidR="00CD3152" w:rsidRDefault="00CD3152" w:rsidP="00A62A7C">
      <w:pPr>
        <w:pStyle w:val="ListParagraph"/>
        <w:numPr>
          <w:ilvl w:val="0"/>
          <w:numId w:val="17"/>
        </w:numPr>
        <w:spacing w:line="319" w:lineRule="auto"/>
        <w:ind w:left="0" w:firstLine="284"/>
        <w:jc w:val="both"/>
      </w:pPr>
      <w:r>
        <w:t xml:space="preserve">Promovarea intervențiilor pentru renunțarea la nicotină și tutun în școală </w:t>
      </w:r>
    </w:p>
    <w:p w14:paraId="054B4F25" w14:textId="77777777" w:rsidR="00CD3152" w:rsidRDefault="00CD3152" w:rsidP="00A62A7C">
      <w:pPr>
        <w:pStyle w:val="ListParagraph"/>
        <w:numPr>
          <w:ilvl w:val="0"/>
          <w:numId w:val="16"/>
        </w:numPr>
        <w:spacing w:line="319" w:lineRule="auto"/>
        <w:jc w:val="both"/>
      </w:pPr>
      <w:r>
        <w:t>furnizarea de intervenții scurte pentru renunțarea la fumat</w:t>
      </w:r>
    </w:p>
    <w:p w14:paraId="3527F5D0" w14:textId="77777777" w:rsidR="00CD3152" w:rsidRDefault="00CD3152" w:rsidP="00A62A7C">
      <w:pPr>
        <w:pStyle w:val="ListParagraph"/>
        <w:numPr>
          <w:ilvl w:val="0"/>
          <w:numId w:val="18"/>
        </w:numPr>
        <w:spacing w:line="319" w:lineRule="auto"/>
        <w:ind w:left="709" w:firstLine="567"/>
        <w:jc w:val="both"/>
      </w:pPr>
      <w:r>
        <w:t xml:space="preserve">Monitorizarea și evaluarea rezultatelor politicii școlare fără nicotină și tutun </w:t>
      </w:r>
    </w:p>
    <w:p w14:paraId="590E0F51" w14:textId="77777777" w:rsidR="00CD3152" w:rsidRDefault="00CD3152" w:rsidP="00CD3152">
      <w:pPr>
        <w:tabs>
          <w:tab w:val="left" w:pos="284"/>
        </w:tabs>
        <w:jc w:val="both"/>
      </w:pPr>
      <w:r>
        <w:tab/>
      </w:r>
      <w:r>
        <w:tab/>
        <w:t xml:space="preserve">Integrarea educației preventive vizând consumul de nicotină și tutun în programele școlare va crește gradul de conștientizare și nivelul de informare al elevilor cu privire la problemele legate de consumul nicotină și tutun, cum ar fi:  tipuri de nicotină și produse din tutun; aspecte negative asupra sănătății ale consumului de nicotină și tutun; efectele asupra sănătății ale expunerii la fumat pasiv și la aerosolii țigărilor electronice; consecințele sociale, economice și de mediu ale producției și consumului </w:t>
      </w:r>
      <w:r>
        <w:lastRenderedPageBreak/>
        <w:t>de tutun; tactici înșelătoare și manipulări utilizate de industria tutunului pentru a atrage tinerii; și nu în ultimul rând, beneficiile unei vieți fără consum de nicotină și tutun.</w:t>
      </w:r>
    </w:p>
    <w:p w14:paraId="0B6E7FB4" w14:textId="77777777" w:rsidR="00CD3152" w:rsidRDefault="00CD3152" w:rsidP="00CD3152">
      <w:pPr>
        <w:ind w:firstLine="708"/>
        <w:jc w:val="both"/>
      </w:pPr>
      <w:r>
        <w:t>În condițiile în care nu toate școlile au capacitatea și resursele de a implementa simultan toate componentele unei politici școlare fără nicotină și tutun, acestea pot alege să introducă treptat componentele enumerate anterior. Indiferent de abordarea adoptată, consecvența în acțiuni și atenția la feedback-ul comunității sunt esențiale pentru generațiile viitoare fără nicotină și tutun.</w:t>
      </w:r>
    </w:p>
    <w:p w14:paraId="2925D7BC" w14:textId="77777777" w:rsidR="00CD3152" w:rsidRDefault="00CD3152" w:rsidP="00D71176">
      <w:pPr>
        <w:pStyle w:val="Heading4"/>
      </w:pPr>
      <w:r w:rsidRPr="00AB6C73">
        <w:t xml:space="preserve">Intervențiilor școlare vizând </w:t>
      </w:r>
      <w:r>
        <w:t>reducerea utilizării</w:t>
      </w:r>
      <w:r w:rsidRPr="00AB6C73">
        <w:t xml:space="preserve"> de țigarete electronice (vaping)</w:t>
      </w:r>
      <w:r>
        <w:t xml:space="preserve"> și HTP în rândul tinerilor</w:t>
      </w:r>
    </w:p>
    <w:p w14:paraId="2BD21BBE" w14:textId="79F621E9" w:rsidR="00CD3152" w:rsidRDefault="00CD3152" w:rsidP="00CD3152">
      <w:pPr>
        <w:ind w:firstLine="708"/>
        <w:jc w:val="both"/>
      </w:pPr>
      <w:r w:rsidRPr="006C66B8">
        <w:t>Eficacitatea intervențiilor școlare asupra consumului de țigarete electronice (vaping) la tineri este încă în curs de evaluare. Un studiu sistematic recent</w:t>
      </w:r>
      <w:r>
        <w:fldChar w:fldCharType="begin">
          <w:fldData xml:space="preserve">PEVuZE5vdGU+PENpdGU+PEF1dGhvcj5NeWxvY29wb3M8L0F1dGhvcj48WWVhcj4yMDI0PC9ZZWFy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</w:fldData>
        </w:fldChar>
      </w:r>
      <w:r w:rsidR="00D4526D">
        <w:instrText xml:space="preserve"> ADDIN EN.CITE </w:instrText>
      </w:r>
      <w:r w:rsidR="00D4526D">
        <w:fldChar w:fldCharType="begin">
          <w:fldData xml:space="preserve">PEVuZE5vdGU+PENpdGU+PEF1dGhvcj5NeWxvY29wb3M8L0F1dGhvcj48WWVhcj4yMDI0PC9ZZWFy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</w:fldData>
        </w:fldChar>
      </w:r>
      <w:r w:rsidR="00D4526D">
        <w:instrText xml:space="preserve"> ADDIN EN.CITE.DATA </w:instrText>
      </w:r>
      <w:r w:rsidR="00D4526D">
        <w:fldChar w:fldCharType="end"/>
      </w:r>
      <w:r>
        <w:fldChar w:fldCharType="separate"/>
      </w:r>
      <w:r w:rsidR="00D4526D" w:rsidRPr="00D4526D">
        <w:rPr>
          <w:noProof/>
          <w:sz w:val="20"/>
        </w:rPr>
        <w:t>[46]</w:t>
      </w:r>
      <w:r>
        <w:fldChar w:fldCharType="end"/>
      </w:r>
      <w:r w:rsidRPr="006C66B8">
        <w:t xml:space="preserve"> </w:t>
      </w:r>
      <w:r w:rsidRPr="00821674">
        <w:t xml:space="preserve">a rezumat dovezile privind eficacitatea intervențiilor de prevenire a vapingului în rândul copiilor și tinerilor. Studiul </w:t>
      </w:r>
      <w:r>
        <w:t>a centralizat</w:t>
      </w:r>
      <w:r w:rsidRPr="00821674">
        <w:t xml:space="preserve"> articolele publicate între 1 ianuarie 2004 și 1 septembrie 2022 care au raportat mai mult de un rezultat privind prevenirea vapingului în rândul persoanelor cu vârsta sub 21 de ani: prevalența/incidența vapingului, intențiile de inițiere, cunoștințele/atitudinile și prevalența/intențiile de inițiere a utilizării altor produse din tutun</w:t>
      </w:r>
      <w:r>
        <w:t>. T</w:t>
      </w:r>
      <w:r w:rsidRPr="00464BEC">
        <w:t xml:space="preserve">reizeci și nouă de publicații au îndeplinit criteriile de eligibilitate </w:t>
      </w:r>
      <w:r>
        <w:t>descriind</w:t>
      </w:r>
      <w:r w:rsidRPr="00464BEC">
        <w:t xml:space="preserve"> intervenții la nivel individual (monitorizare parentală, jocuri video, mesaje text, teme de mesaje grafice, asistență medicală), nivel general, intervenții educaționale, politici/interdicții fără vaporizare) și intervenții la nivel comunitar (</w:t>
      </w:r>
      <w:r>
        <w:t>implicarea</w:t>
      </w:r>
      <w:r w:rsidRPr="00464BEC">
        <w:t xml:space="preserve"> rețele</w:t>
      </w:r>
      <w:r>
        <w:t>lor</w:t>
      </w:r>
      <w:r w:rsidRPr="00464BEC">
        <w:t xml:space="preserve"> sociale, campanii în mass-media).</w:t>
      </w:r>
      <w:r>
        <w:t xml:space="preserve"> </w:t>
      </w:r>
      <w:r w:rsidRPr="006C66B8">
        <w:t xml:space="preserve">Rezultatele au fost mixte. În școli, introducerea de politici care interzic țigările electronice a avut efecte diferite: </w:t>
      </w:r>
      <w:r>
        <w:t>u</w:t>
      </w:r>
      <w:r w:rsidRPr="007421ED">
        <w:t xml:space="preserve">nele studii au raportat o creștere paradoxală a utilizării dispozitivelor de tip e-țigară după introducerea interdicțiilor (OR </w:t>
      </w:r>
      <w:r w:rsidRPr="007421ED">
        <w:rPr>
          <w:rFonts w:hint="eastAsia"/>
        </w:rPr>
        <w:t>≈</w:t>
      </w:r>
      <w:r w:rsidRPr="007421ED">
        <w:t xml:space="preserve"> 3,3), în timp ce altele au evidențiat o reducere a prevalenței și a susceptibilității la vaping în școlile cu reglementări anti-vaping mai stricte (OR </w:t>
      </w:r>
      <w:r w:rsidRPr="007421ED">
        <w:rPr>
          <w:rFonts w:hint="eastAsia"/>
        </w:rPr>
        <w:t>≈</w:t>
      </w:r>
      <w:r w:rsidRPr="007421ED">
        <w:t xml:space="preserve"> 0,5 comparativ cu instituțiile fără astfel de politici)</w:t>
      </w:r>
      <w:r>
        <w:t xml:space="preserve">. </w:t>
      </w:r>
      <w:r w:rsidRPr="006C66B8">
        <w:t>Per ansamblu însă, meta-analiz</w:t>
      </w:r>
      <w:r>
        <w:t>a</w:t>
      </w:r>
      <w:r w:rsidRPr="006C66B8">
        <w:t xml:space="preserve"> nu a găsit dovezi solide că programele școlare obișnuite reduc semnificativ inițierea vaping</w:t>
      </w:r>
      <w:r>
        <w:t>-</w:t>
      </w:r>
      <w:r w:rsidRPr="006C66B8">
        <w:t xml:space="preserve">ului pe termen lung. </w:t>
      </w:r>
      <w:r w:rsidRPr="00890CD4">
        <w:t>Rezultatele de prevenire a inițierii utilizării țigaretelor electronice a fost observată pentru o monitorizare parentală ridicată; cu toate acestea, proiectele de studiu transversal au exclus afirmațiile cauzale</w:t>
      </w:r>
      <w:r>
        <w:t>.</w:t>
      </w:r>
    </w:p>
    <w:p w14:paraId="367F16B3" w14:textId="77777777" w:rsidR="00CD3152" w:rsidRDefault="00CD3152" w:rsidP="00CD3152">
      <w:pPr>
        <w:ind w:firstLine="708"/>
        <w:jc w:val="both"/>
      </w:pPr>
      <w:r w:rsidRPr="006C66B8">
        <w:t>Ceea ce p</w:t>
      </w:r>
      <w:r>
        <w:t>ărut</w:t>
      </w:r>
      <w:r w:rsidRPr="006C66B8">
        <w:t xml:space="preserve"> promițător sunt intervențiile ce dezvoltă abilitățile socio-emoționale ale elevilor și programele de tip „lideri de la egal la egal”, deși și acestea necesită evaluări suplimentare. </w:t>
      </w:r>
    </w:p>
    <w:p w14:paraId="4496A03A" w14:textId="77777777" w:rsidR="00CD3152" w:rsidRDefault="00CD3152" w:rsidP="00CD3152">
      <w:pPr>
        <w:ind w:firstLine="708"/>
        <w:jc w:val="both"/>
      </w:pPr>
      <w:r w:rsidRPr="00890CD4">
        <w:t>Dintre intervențiile identificate, 14 au fost furnizate individual, 19 au fost în școală și 6 au fost efectuate la nivel comunitar. Schimbarea prevalenței/incidenței utilizării țigărilor electronice, raportat în 19 articole (dintre care 4 disponibile on-line) a fost rezultatul principal.  9 studii au raportat o altă prevalență/ incidență a consumului de tutun, 23 de studii au evaluat intențiile de inițiere a țigaretelor electronice, 6 studii au evaluat intențiile de inițiere a altor produse din tutun și 26 de studii au evaluat cunoștințele și atitudinile privind riscurile legate de țigara electronică</w:t>
      </w:r>
    </w:p>
    <w:p w14:paraId="618DAAAF" w14:textId="382D4FCF" w:rsidR="00CD3152" w:rsidRDefault="00CD3152" w:rsidP="00CD3152">
      <w:pPr>
        <w:ind w:firstLine="708"/>
        <w:jc w:val="both"/>
      </w:pPr>
      <w:r>
        <w:t>O altă analiză sistematică</w:t>
      </w:r>
      <w:r>
        <w:fldChar w:fldCharType="begin">
          <w:fldData xml:space="preserve">PEVuZE5vdGU+PENpdGU+PEF1dGhvcj5CYXJuZXM8L0F1dGhvcj48WWVhcj4yMDIzPC9ZZWFyPjxS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</w:fldData>
        </w:fldChar>
      </w:r>
      <w:r w:rsidR="00D4526D">
        <w:instrText xml:space="preserve"> ADDIN EN.CITE </w:instrText>
      </w:r>
      <w:r w:rsidR="00D4526D">
        <w:fldChar w:fldCharType="begin">
          <w:fldData xml:space="preserve">PEVuZE5vdGU+PENpdGU+PEF1dGhvcj5CYXJuZXM8L0F1dGhvcj48WWVhcj4yMDIzPC9ZZWFyPjxS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</w:fldData>
        </w:fldChar>
      </w:r>
      <w:r w:rsidR="00D4526D">
        <w:instrText xml:space="preserve"> ADDIN EN.CITE.DATA </w:instrText>
      </w:r>
      <w:r w:rsidR="00D4526D">
        <w:fldChar w:fldCharType="end"/>
      </w:r>
      <w:r>
        <w:fldChar w:fldCharType="separate"/>
      </w:r>
      <w:r w:rsidR="00D4526D" w:rsidRPr="00D4526D">
        <w:rPr>
          <w:noProof/>
          <w:sz w:val="20"/>
        </w:rPr>
        <w:t>[47]</w:t>
      </w:r>
      <w:r>
        <w:fldChar w:fldCharType="end"/>
      </w:r>
      <w:r>
        <w:t xml:space="preserve"> a avut ca o</w:t>
      </w:r>
      <w:r w:rsidRPr="00571428">
        <w:t>biectivele principale evaluarea eficacității intervențiilor pentru prevenirea utilizării țigărilor electronice la copii și adolescenți</w:t>
      </w:r>
      <w:r>
        <w:t xml:space="preserve">i </w:t>
      </w:r>
      <w:r w:rsidRPr="00571428">
        <w:t xml:space="preserve">cu vârsta de </w:t>
      </w:r>
      <w:r>
        <w:t xml:space="preserve">până la </w:t>
      </w:r>
      <w:r w:rsidRPr="00571428">
        <w:t xml:space="preserve">19 ani </w:t>
      </w:r>
      <w:r>
        <w:t>care nu au fost anterior consumatori</w:t>
      </w:r>
      <w:r w:rsidRPr="00571428">
        <w:t xml:space="preserve">, în raport cu nicio intervenție, practică obișnuită sau o intervenție alternativă; </w:t>
      </w:r>
      <w:r>
        <w:t xml:space="preserve">precum </w:t>
      </w:r>
      <w:r w:rsidRPr="00571428">
        <w:t>și evaluarea eficacității intervențiilor pentru încetarea utilizării țigărilor electronice la copii și adolescenți</w:t>
      </w:r>
      <w:r>
        <w:t>i</w:t>
      </w:r>
      <w:r w:rsidRPr="00571428">
        <w:t xml:space="preserve"> </w:t>
      </w:r>
      <w:r>
        <w:t xml:space="preserve">de până la </w:t>
      </w:r>
      <w:r w:rsidRPr="00571428">
        <w:t>19 ani care raportează utilizarea curentă</w:t>
      </w:r>
      <w:r>
        <w:t xml:space="preserve"> de țigări electronice</w:t>
      </w:r>
      <w:r w:rsidRPr="00571428">
        <w:t xml:space="preserve">, </w:t>
      </w:r>
      <w:r>
        <w:t>comparativ</w:t>
      </w:r>
      <w:r w:rsidRPr="00571428">
        <w:t xml:space="preserve"> cu nicio intervenție, practică obișnuită sau o intervenție alternativă. </w:t>
      </w:r>
      <w:r>
        <w:t xml:space="preserve">Analiza a vizat </w:t>
      </w:r>
      <w:r>
        <w:lastRenderedPageBreak/>
        <w:t xml:space="preserve">suplimentar și </w:t>
      </w:r>
      <w:r w:rsidRPr="00571428">
        <w:t>examinarea efectului unor astfel de intervenții asupra utilizării de către copii și adolescenți a altor produse din tutun (de exemplu, țigări, trabucuri și tutun de mestecat) și descrierea efectelor adverse neintenționate ale intervenției asupra indivizilor (de exemplu, sănătatea fizică sau mintală a indivizilor) sau asupra organizațiilor.</w:t>
      </w:r>
      <w:r>
        <w:t xml:space="preserve"> Au fost inventariate bazele de date </w:t>
      </w:r>
      <w:r w:rsidRPr="00DE0207">
        <w:t>CENTRAL, Ovid MEDLINE, Ovid Embase, Ovid PsycINFO, EBSCO CINAHL, Clarivate Web of Science Core Collection</w:t>
      </w:r>
      <w:r>
        <w:t>,</w:t>
      </w:r>
      <w:r w:rsidRPr="00436E70">
        <w:t xml:space="preserve"> Google Scholar</w:t>
      </w:r>
      <w:r w:rsidRPr="00DE0207">
        <w:t xml:space="preserve"> </w:t>
      </w:r>
      <w:r>
        <w:t>până la data de</w:t>
      </w:r>
      <w:r w:rsidRPr="00DE0207">
        <w:t xml:space="preserve"> 1 </w:t>
      </w:r>
      <w:r>
        <w:t xml:space="preserve">mai </w:t>
      </w:r>
      <w:r w:rsidRPr="00DE0207">
        <w:t>2023</w:t>
      </w:r>
      <w:r>
        <w:t xml:space="preserve">, dar și </w:t>
      </w:r>
      <w:r w:rsidRPr="00DE0207">
        <w:t xml:space="preserve"> </w:t>
      </w:r>
      <w:r>
        <w:t xml:space="preserve">platformele dedicate trialurilor clinice </w:t>
      </w:r>
      <w:r w:rsidRPr="00DE0207">
        <w:t>(WHO International Clinical Trials Registry Platform; US National Institutes of Health Ongoing Trials Register ClinicalTrials.gov)</w:t>
      </w:r>
      <w:r>
        <w:t xml:space="preserve">. Studiul a vizat </w:t>
      </w:r>
      <w:r w:rsidRPr="00436E70">
        <w:t xml:space="preserve">utilizarea curentă </w:t>
      </w:r>
      <w:r>
        <w:t xml:space="preserve">de țigară electronică </w:t>
      </w:r>
      <w:r w:rsidRPr="00436E70">
        <w:t xml:space="preserve">(definită ca utilizare în ultimele 30 de zile) și </w:t>
      </w:r>
      <w:r>
        <w:t>utilizarea de-a lungul vieții.</w:t>
      </w:r>
      <w:r w:rsidRPr="008C767E">
        <w:t xml:space="preserve"> Dintre cele 110 studii evaluate </w:t>
      </w:r>
      <w:r>
        <w:t>cu</w:t>
      </w:r>
      <w:r w:rsidRPr="008C767E">
        <w:t xml:space="preserve"> text integral, 88 </w:t>
      </w:r>
      <w:r>
        <w:t>au fost considerate</w:t>
      </w:r>
      <w:r w:rsidRPr="008C767E">
        <w:t xml:space="preserve"> neeligibile pentru includere din următoarele motive: rezultat inadecvat (27 de studii); </w:t>
      </w:r>
      <w:r>
        <w:t xml:space="preserve">aspecte negative legate de </w:t>
      </w:r>
      <w:r w:rsidRPr="008C767E">
        <w:t xml:space="preserve">intervenție (12 studii); </w:t>
      </w:r>
      <w:r>
        <w:t xml:space="preserve">de </w:t>
      </w:r>
      <w:r w:rsidRPr="008C767E">
        <w:t>designul studiului (31 de studii); și</w:t>
      </w:r>
      <w:r>
        <w:t xml:space="preserve"> de</w:t>
      </w:r>
      <w:r w:rsidRPr="008C767E">
        <w:t xml:space="preserve"> participanți (18 studii). </w:t>
      </w:r>
      <w:r>
        <w:t xml:space="preserve">Numai </w:t>
      </w:r>
      <w:r w:rsidRPr="008C767E">
        <w:t>22 de studii</w:t>
      </w:r>
      <w:r>
        <w:t xml:space="preserve"> aflate încă în derulare și neavând rezultate publicate au fost considerate potențial</w:t>
      </w:r>
      <w:r w:rsidRPr="008C767E">
        <w:t xml:space="preserve"> eligibile. Nu </w:t>
      </w:r>
      <w:r>
        <w:t>au fost</w:t>
      </w:r>
      <w:r w:rsidRPr="008C767E">
        <w:t xml:space="preserve"> identificat</w:t>
      </w:r>
      <w:r>
        <w:t>e</w:t>
      </w:r>
      <w:r w:rsidRPr="008C767E">
        <w:t xml:space="preserve"> studii cu date publicate care să fie eligibile pentru includerea în revizuire</w:t>
      </w:r>
      <w:r>
        <w:t xml:space="preserve">, fapt care are implicații majore atât pentru practica curentă cât și pentru cercetare. </w:t>
      </w:r>
      <w:r w:rsidRPr="00F34AD2">
        <w:t xml:space="preserve">Din cauza lipsei de date empirice privind eficacitatea intervențiilor disponibile, </w:t>
      </w:r>
      <w:r>
        <w:t xml:space="preserve">nu pot fi </w:t>
      </w:r>
      <w:r w:rsidRPr="00A8698E">
        <w:t>formulate concluzii solide care să fundamenteze deciziile autorităților, ale practicienilor sau ale cercetătorilor privind tipurile de programe de promovare a sănătății ori alte acțiuni adecvate pentru prevenirea sau renunțarea la utilizarea țigărilor electronice în rândul adolescențilo</w:t>
      </w:r>
      <w:r w:rsidRPr="00F34AD2">
        <w:t xml:space="preserve">r. În absența unor astfel de dovezi, factorii de decizie și practicienii se bazează </w:t>
      </w:r>
      <w:r>
        <w:t xml:space="preserve">numai </w:t>
      </w:r>
      <w:r w:rsidRPr="00F34AD2">
        <w:t xml:space="preserve"> pe cadrele de orientare și declarațiile de consens existente, cum ar fi Convenția-</w:t>
      </w:r>
      <w:r>
        <w:t>C</w:t>
      </w:r>
      <w:r w:rsidRPr="00F34AD2">
        <w:t>adru a OMS pentru controlul tutunului</w:t>
      </w:r>
      <w:r>
        <w:t>. Analiza sistematică concluzionează că a</w:t>
      </w:r>
      <w:r w:rsidRPr="00D17BB9">
        <w:t xml:space="preserve">vând în vedere lipsa dovezilor privind eficacitatea intervențiilor pentru prevenirea sau încetarea utilizării țigărilor electronice la copii și adolescenți, orice cercetare în acest domeniu ar avea o valoare </w:t>
      </w:r>
      <w:r>
        <w:t>științifică și practică substanțială</w:t>
      </w:r>
      <w:r w:rsidRPr="00D17BB9">
        <w:t>.</w:t>
      </w:r>
    </w:p>
    <w:p w14:paraId="4CBAFC03" w14:textId="77777777" w:rsidR="00977EBD" w:rsidRPr="00977EBD" w:rsidRDefault="00977EBD" w:rsidP="00977EBD">
      <w:pPr>
        <w:ind w:firstLine="708"/>
        <w:jc w:val="both"/>
        <w:rPr>
          <w:b/>
          <w:bCs/>
        </w:rPr>
      </w:pPr>
      <w:r w:rsidRPr="00977EBD">
        <w:rPr>
          <w:b/>
          <w:bCs/>
        </w:rPr>
        <w:t xml:space="preserve">Soluții bazate pe dovezi - Intervențiile de Tip „Best Buys” </w:t>
      </w:r>
    </w:p>
    <w:p w14:paraId="3C62D27C" w14:textId="77777777" w:rsidR="00977EBD" w:rsidRDefault="00977EBD" w:rsidP="00977EBD">
      <w:pPr>
        <w:ind w:firstLine="708"/>
        <w:jc w:val="both"/>
      </w:pPr>
      <w:r>
        <w:t xml:space="preserve">Din perspectiva managementului sănătății publice, documentul Organizației Mondiale a Sănătății - „Tackling NCDs: Best buys and other recommended interventions for the prevention and control of noncommunicable diseases” (2024) — reprezintă standardul de aur în stabilirea priorităților strategice pentru controlul bolilor netransmisibile (BNT). </w:t>
      </w:r>
    </w:p>
    <w:p w14:paraId="02005133" w14:textId="3631BF41" w:rsidR="00977EBD" w:rsidRDefault="00977EBD" w:rsidP="00977EBD">
      <w:pPr>
        <w:ind w:firstLine="708"/>
        <w:jc w:val="both"/>
      </w:pPr>
      <w:r>
        <w:t xml:space="preserve">Pentru ca o intervenșie să fie clasificată ca „Best Buy”, aceasta trebuie să întrunească cumulativ criterii stricte de impact epidemiologic demonstrat și un raport cost-eficiență incremental (ICER) de </w:t>
      </w:r>
      <w:r>
        <w:rPr>
          <w:rFonts w:hint="eastAsia"/>
        </w:rPr>
        <w:t>≤</w:t>
      </w:r>
      <w:r>
        <w:t xml:space="preserve"> 100 USD per an de viață sănătos câștigat (HLY - Healthy Life Year) în statele cu venituri mici și medii, dovedindu-și astfel fezabilitatea universală, sustenabilitatea fiscală și un randament optim al investiției în sănătate</w:t>
      </w:r>
    </w:p>
    <w:p w14:paraId="7D6E2863" w14:textId="563DC237" w:rsidR="00977EBD" w:rsidRDefault="0080370C" w:rsidP="00CD3152">
      <w:pPr>
        <w:ind w:firstLine="708"/>
        <w:jc w:val="both"/>
      </w:pPr>
      <w:r w:rsidRPr="0080370C">
        <w:rPr>
          <w:rFonts w:asciiTheme="minorHAnsi" w:hAnsiTheme="minorHAnsi" w:cstheme="minorHAnsi"/>
          <w:b/>
          <w:bCs/>
          <w:noProof/>
        </w:rPr>
        <w:lastRenderedPageBreak/>
        <w:drawing>
          <wp:anchor distT="0" distB="0" distL="114300" distR="114300" simplePos="0" relativeHeight="251684864" behindDoc="0" locked="0" layoutInCell="1" allowOverlap="1" wp14:anchorId="1A509B57" wp14:editId="2164068A">
            <wp:simplePos x="0" y="0"/>
            <wp:positionH relativeFrom="column">
              <wp:posOffset>0</wp:posOffset>
            </wp:positionH>
            <wp:positionV relativeFrom="paragraph">
              <wp:posOffset>228600</wp:posOffset>
            </wp:positionV>
            <wp:extent cx="5814564" cy="5090601"/>
            <wp:effectExtent l="0" t="0" r="0" b="0"/>
            <wp:wrapTopAndBottom/>
            <wp:docPr id="11911027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1102717" name=""/>
                    <pic:cNvPicPr/>
                  </pic:nvPicPr>
                  <pic:blipFill>
                    <a:blip r:embed="rId109">
                      <a:extLst>
                        <a:ext uri="{28A0092B-C50C-407E-A947-70E740481C1C}">
                          <a14:useLocalDpi xmlns:a14="http://schemas.microsoft.com/office/drawing/2010/main" val="0"/>
                        </a:ext>
                      </a:extLst>
                    </a:blip>
                    <a:stretch>
                      <a:fillRect/>
                    </a:stretch>
                  </pic:blipFill>
                  <pic:spPr>
                    <a:xfrm>
                      <a:off x="0" y="0"/>
                      <a:ext cx="5814564" cy="5090601"/>
                    </a:xfrm>
                    <a:prstGeom prst="rect">
                      <a:avLst/>
                    </a:prstGeom>
                  </pic:spPr>
                </pic:pic>
              </a:graphicData>
            </a:graphic>
          </wp:anchor>
        </w:drawing>
      </w:r>
    </w:p>
    <w:p w14:paraId="1213F4D4" w14:textId="77777777" w:rsidR="0080370C" w:rsidRPr="0080370C" w:rsidRDefault="0080370C" w:rsidP="0080370C">
      <w:pPr>
        <w:spacing w:line="240" w:lineRule="auto"/>
        <w:ind w:firstLine="709"/>
        <w:jc w:val="both"/>
        <w:rPr>
          <w:i/>
          <w:iCs/>
          <w:sz w:val="16"/>
          <w:szCs w:val="16"/>
        </w:rPr>
      </w:pPr>
      <w:r w:rsidRPr="0080370C">
        <w:rPr>
          <w:i/>
          <w:iCs/>
          <w:sz w:val="16"/>
          <w:szCs w:val="16"/>
        </w:rPr>
        <w:t xml:space="preserve">¹ Necesită capacitate instituțională pentru implementarea și aplicarea reglementărilor și a legislației. </w:t>
      </w:r>
    </w:p>
    <w:p w14:paraId="397891B8" w14:textId="22A4172C" w:rsidR="00977EBD" w:rsidRPr="0080370C" w:rsidRDefault="0080370C" w:rsidP="0080370C">
      <w:pPr>
        <w:spacing w:line="240" w:lineRule="auto"/>
        <w:ind w:firstLine="709"/>
        <w:jc w:val="both"/>
        <w:rPr>
          <w:i/>
          <w:iCs/>
          <w:sz w:val="16"/>
          <w:szCs w:val="16"/>
        </w:rPr>
      </w:pPr>
      <w:r w:rsidRPr="0080370C">
        <w:rPr>
          <w:i/>
          <w:iCs/>
          <w:sz w:val="16"/>
          <w:szCs w:val="16"/>
        </w:rPr>
        <w:t>² Necesită furnizori de servicii medicale instruiți în număr suficient și un sistem de sănătate eficient.</w:t>
      </w:r>
    </w:p>
    <w:p w14:paraId="0CE9BA95" w14:textId="77777777" w:rsidR="0080370C" w:rsidRDefault="0080370C" w:rsidP="0080370C">
      <w:pPr>
        <w:pStyle w:val="Caption"/>
        <w:jc w:val="center"/>
      </w:pPr>
    </w:p>
    <w:p w14:paraId="35E40360" w14:textId="2B5F9527" w:rsidR="00977EBD" w:rsidRDefault="0080370C" w:rsidP="0080370C">
      <w:pPr>
        <w:pStyle w:val="Caption"/>
        <w:jc w:val="center"/>
      </w:pPr>
      <w:r>
        <w:t xml:space="preserve">Figura </w:t>
      </w:r>
      <w:fldSimple w:instr=" STYLEREF 1 \s ">
        <w:r>
          <w:rPr>
            <w:noProof/>
          </w:rPr>
          <w:t>VI</w:t>
        </w:r>
      </w:fldSimple>
      <w:r>
        <w:t>.</w:t>
      </w:r>
      <w:fldSimple w:instr=" SEQ Figura \* ARABIC \s 1 ">
        <w:r>
          <w:rPr>
            <w:noProof/>
          </w:rPr>
          <w:t>1</w:t>
        </w:r>
      </w:fldSimple>
      <w:r w:rsidRPr="0080370C">
        <w:t xml:space="preserve"> Recomandări tip </w:t>
      </w:r>
      <w:r w:rsidRPr="00267420">
        <w:t>“</w:t>
      </w:r>
      <w:r w:rsidRPr="0080370C">
        <w:t>Best Buy</w:t>
      </w:r>
      <w:r>
        <w:t>”</w:t>
      </w:r>
    </w:p>
    <w:p w14:paraId="5ED40BF3" w14:textId="77777777" w:rsidR="00977EBD" w:rsidRDefault="00977EBD" w:rsidP="00CD3152">
      <w:pPr>
        <w:ind w:firstLine="708"/>
        <w:jc w:val="both"/>
      </w:pPr>
    </w:p>
    <w:p w14:paraId="2C7626C1" w14:textId="77777777" w:rsidR="00977EBD" w:rsidRDefault="00977EBD" w:rsidP="00CD3152">
      <w:pPr>
        <w:ind w:firstLine="708"/>
        <w:jc w:val="both"/>
      </w:pPr>
    </w:p>
    <w:p w14:paraId="12D9DEB5" w14:textId="77777777" w:rsidR="00CD3152" w:rsidRPr="006C66B8" w:rsidRDefault="00CD3152" w:rsidP="00D71176">
      <w:pPr>
        <w:pStyle w:val="Heading4"/>
      </w:pPr>
      <w:r w:rsidRPr="006C66B8">
        <w:t>Intervenții bazate pe implicarea părinților pentru a ameliora comportamentele la risc în rândul adolescenților</w:t>
      </w:r>
    </w:p>
    <w:p w14:paraId="4B418525" w14:textId="4E8BCB26" w:rsidR="00CD3152" w:rsidRDefault="00CD3152" w:rsidP="00CD3152">
      <w:pPr>
        <w:ind w:firstLine="708"/>
        <w:jc w:val="both"/>
      </w:pPr>
      <w:r w:rsidRPr="006778EC">
        <w:t>O analiză sistematică a literaturii</w:t>
      </w:r>
      <w:r w:rsidRPr="006778EC">
        <w:rPr>
          <w:i/>
          <w:iCs/>
        </w:rPr>
        <w:fldChar w:fldCharType="begin">
          <w:fldData xml:space="preserve">PEVuZE5vdGU+PENpdGU+PEF1dGhvcj5DaGFtcGlvbjwvQXV0aG9yPjxZZWFyPjIwMjI8L1llYXI+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</w:fldData>
        </w:fldChar>
      </w:r>
      <w:r w:rsidR="00D4526D">
        <w:rPr>
          <w:i/>
          <w:iCs/>
        </w:rPr>
        <w:instrText xml:space="preserve"> ADDIN EN.CITE </w:instrText>
      </w:r>
      <w:r w:rsidR="00D4526D">
        <w:rPr>
          <w:i/>
          <w:iCs/>
        </w:rPr>
        <w:fldChar w:fldCharType="begin">
          <w:fldData xml:space="preserve">PEVuZE5vdGU+PENpdGU+PEF1dGhvcj5DaGFtcGlvbjwvQXV0aG9yPjxZZWFyPjIwMjI8L1llYXI+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</w:fldData>
        </w:fldChar>
      </w:r>
      <w:r w:rsidR="00D4526D">
        <w:rPr>
          <w:i/>
          <w:iCs/>
        </w:rPr>
        <w:instrText xml:space="preserve"> ADDIN EN.CITE.DATA </w:instrText>
      </w:r>
      <w:r w:rsidR="00D4526D">
        <w:rPr>
          <w:i/>
          <w:iCs/>
        </w:rPr>
      </w:r>
      <w:r w:rsidR="00D4526D">
        <w:rPr>
          <w:i/>
          <w:iCs/>
        </w:rPr>
        <w:fldChar w:fldCharType="end"/>
      </w:r>
      <w:r w:rsidRPr="006778EC">
        <w:rPr>
          <w:i/>
          <w:iCs/>
        </w:rPr>
      </w:r>
      <w:r w:rsidRPr="006778EC">
        <w:rPr>
          <w:i/>
          <w:iCs/>
        </w:rPr>
        <w:fldChar w:fldCharType="separate"/>
      </w:r>
      <w:r w:rsidR="00D4526D" w:rsidRPr="00D4526D">
        <w:rPr>
          <w:i/>
          <w:iCs/>
          <w:noProof/>
          <w:sz w:val="20"/>
        </w:rPr>
        <w:t>[48]</w:t>
      </w:r>
      <w:r w:rsidRPr="006778EC">
        <w:rPr>
          <w:i/>
          <w:iCs/>
        </w:rPr>
        <w:fldChar w:fldCharType="end"/>
      </w:r>
      <w:r w:rsidRPr="006778EC">
        <w:t xml:space="preserve"> a avut ca obiectiv evaluarea eficacității intervențiilor efectuate asupra părinților tinerilor care experimentează mai multe comportamente la risc, sintetizând rezultatele unor studii din bazele de date MEDLINE, Embase, PsycInfo, Scopus, CINAHL Cochrane publicate în perioada 2010-2021. Au fost considerate eligibile acele studiile care au vizat în mod direct părinții și au evaluat rezultatele la adolescenți cu vârsta cuprinsă între 11-18 ani care experimentau mai mult de 2 comportamente la risc cum ar fi: consumul de alcool, fumatul, alimentația nesănătoasă, inactivitatea fizică, sedentarismul dar și somnul deficitar. Din 11975 de studii identificate, au fost eligibile 46 de publicații din 36 de studii clinice randomizate (n = 28322 tineri, n = 7385 părinți). Intervențiile bazate pe părinți au fost asociate cu îmbunătățirea activității fizice moderate până la viguroasă a adolescenților</w:t>
      </w:r>
      <w:r>
        <w:t xml:space="preserve"> </w:t>
      </w:r>
      <w:r w:rsidRPr="006C66B8">
        <w:t xml:space="preserve">(Odds Ratio (OR) = 1,82, 95% CI = 1,18, 2,81; p = 0,007) și reducerea timpului petrecut în </w:t>
      </w:r>
      <w:r w:rsidRPr="006C66B8">
        <w:lastRenderedPageBreak/>
        <w:t xml:space="preserve">fața ecranelor (SMD = -0,39, 95% CI = -0,62, -0,16, p = 0,0009). </w:t>
      </w:r>
      <w:r>
        <w:t>Cu toate acestea, a</w:t>
      </w:r>
      <w:r w:rsidRPr="006C66B8">
        <w:t xml:space="preserve">u existat unele dovezi care au arătat că intervențiile bazate pe părinți pot crește </w:t>
      </w:r>
      <w:r>
        <w:t>probabilitatea</w:t>
      </w:r>
      <w:r w:rsidRPr="006C66B8">
        <w:t xml:space="preserve"> </w:t>
      </w:r>
      <w:r>
        <w:t>consumului de</w:t>
      </w:r>
      <w:r w:rsidRPr="006C66B8">
        <w:t xml:space="preserve"> tutun pe termen mediu (OR = 1,47, </w:t>
      </w:r>
      <w:r>
        <w:t>CI</w:t>
      </w:r>
      <w:r w:rsidRPr="006C66B8">
        <w:t xml:space="preserve"> 95% = 0,99, 2,18, p = 0,06) sau</w:t>
      </w:r>
      <w:r>
        <w:t xml:space="preserve"> probabilitatea consumului de tutun î</w:t>
      </w:r>
      <w:r w:rsidRPr="006C66B8">
        <w:t xml:space="preserve">n ultima lună </w:t>
      </w:r>
      <w:r>
        <w:t xml:space="preserve">pe termen lung </w:t>
      </w:r>
      <w:r w:rsidRPr="006C66B8">
        <w:t>(OR = 1,46, 95% CI = 1,12, 1,90; p = 0,005).</w:t>
      </w:r>
      <w:r w:rsidRPr="00126D92">
        <w:t xml:space="preserve"> </w:t>
      </w:r>
    </w:p>
    <w:p w14:paraId="2B9DA98B" w14:textId="25912ADB" w:rsidR="00CD3152" w:rsidRDefault="00CD3152" w:rsidP="00CD3152">
      <w:pPr>
        <w:ind w:firstLine="708"/>
        <w:jc w:val="both"/>
      </w:pPr>
      <w:r>
        <w:t>O revizuire sistematică recentă și meta-analiză</w:t>
      </w:r>
      <w:r>
        <w:fldChar w:fldCharType="begin"/>
      </w:r>
      <w:r w:rsidR="00D4526D">
        <w:instrText xml:space="preserve"> ADDIN EN.CITE &lt;EndNote&gt;&lt;Cite&gt;&lt;Author&gt;Rifat&lt;/Author&gt;&lt;Year&gt;2025&lt;/Year&gt;&lt;RecNum&gt;9239&lt;/RecNum&gt;&lt;DisplayText&gt;&lt;style size="10"&gt;[49]&lt;/style&gt;&lt;/DisplayText&gt;&lt;record&gt;&lt;rec-number&gt;9239&lt;/rec-number&gt;&lt;foreign-keys&gt;&lt;key app="EN" db-id="fw0prtesnvf55cepezbx255wwza5zw0ssatt" timestamp="1759781087" guid="ef0469e1-fde2-4c7d-8106-9f6de0c1d277"&gt;9239&lt;/key&gt;&lt;/foreign-keys&gt;&lt;ref-type name="Journal Article"&gt;17&lt;/ref-type&gt;&lt;contributors&gt;&lt;authors&gt;&lt;author&gt;Rifat, M. A.&lt;/author&gt;&lt;author&gt;Orsini, N.&lt;/author&gt;&lt;author&gt;Qazi, B.&lt;/author&gt;&lt;author&gt;Galanti, M. R.&lt;/author&gt;&lt;/authors&gt;&lt;/contributors&gt;&lt;auth-address&gt;Department of Global Public Health, Karolinska Institutet, Stockholm, Sweden. Electronic address: m.a.rifat@ki.se.&amp;#xD;Department of Global Public Health, Karolinska Institutet, Stockholm, Sweden.&lt;/auth-address&gt;&lt;titles&gt;&lt;title&gt;Smoking Prevention and Cessation Programs for Children and Adolescents Focusing on Parental Involvement: A Systematic Review and Meta-Analysis&lt;/title&gt;&lt;secondary-title&gt;J Adolesc Health&lt;/secondary-title&gt;&lt;/titles&gt;&lt;periodical&gt;&lt;full-title&gt;J Adolesc Health&lt;/full-title&gt;&lt;/periodical&gt;&lt;pages&gt;532-541&lt;/pages&gt;&lt;volume&gt;76&lt;/volume&gt;&lt;number&gt;4&lt;/number&gt;&lt;edition&gt;20241228&lt;/edition&gt;&lt;keywords&gt;&lt;keyword&gt;Adolescent&lt;/keyword&gt;&lt;keyword&gt;Child&lt;/keyword&gt;&lt;keyword&gt;Female&lt;/keyword&gt;&lt;keyword&gt;Humans&lt;/keyword&gt;&lt;keyword&gt;*Parents/psychology&lt;/keyword&gt;&lt;keyword&gt;*Smoking Cessation/methods&lt;/keyword&gt;&lt;keyword&gt;*Smoking Prevention/methods&lt;/keyword&gt;&lt;keyword&gt;Children&lt;/keyword&gt;&lt;keyword&gt;Meta-analysis&lt;/keyword&gt;&lt;keyword&gt;Parental involvement&lt;/keyword&gt;&lt;keyword&gt;Smoking cessation&lt;/keyword&gt;&lt;keyword&gt;Smoking prevention&lt;/keyword&gt;&lt;/keywords&gt;&lt;dates&gt;&lt;year&gt;2025&lt;/year&gt;&lt;pub-dates&gt;&lt;date&gt;Apr&lt;/date&gt;&lt;/pub-dates&gt;&lt;/dates&gt;&lt;isbn&gt;1879-1972 (Electronic)&amp;#xD;1054-139X (Linking)&lt;/isbn&gt;&lt;accession-num&gt;39736054&lt;/accession-num&gt;&lt;urls&gt;&lt;related-urls&gt;&lt;url&gt;https://www.ncbi.nlm.nih.gov/pubmed/39736054&lt;/url&gt;&lt;/related-urls&gt;&lt;/urls&gt;&lt;electronic-resource-num&gt;10.1016/j.jadohealth.2024.10.032&lt;/electronic-resource-num&gt;&lt;/record&gt;&lt;/Cite&gt;&lt;/EndNote&gt;</w:instrText>
      </w:r>
      <w:r>
        <w:fldChar w:fldCharType="separate"/>
      </w:r>
      <w:r w:rsidR="00D4526D" w:rsidRPr="00D4526D">
        <w:rPr>
          <w:noProof/>
          <w:sz w:val="20"/>
        </w:rPr>
        <w:t>[49]</w:t>
      </w:r>
      <w:r>
        <w:fldChar w:fldCharType="end"/>
      </w:r>
      <w:r>
        <w:t>, efectuată în perioada 2022-2023 î</w:t>
      </w:r>
      <w:r w:rsidRPr="00451D51">
        <w:t xml:space="preserve">n </w:t>
      </w:r>
      <w:r>
        <w:t xml:space="preserve">bazele de date </w:t>
      </w:r>
      <w:r w:rsidRPr="00451D51">
        <w:t xml:space="preserve">PubMed, Medline, Web of Science, Embase, PsycINFO, Google Scholar, ClinicalTrials.gov, EU Clinical Trials Register, </w:t>
      </w:r>
      <w:r>
        <w:t>și în</w:t>
      </w:r>
      <w:r w:rsidRPr="00451D51">
        <w:t xml:space="preserve"> WHO international clinical trials registry</w:t>
      </w:r>
      <w:r>
        <w:t>, a</w:t>
      </w:r>
      <w:r w:rsidRPr="00451D51">
        <w:t xml:space="preserve"> </w:t>
      </w:r>
      <w:r>
        <w:t>vizat</w:t>
      </w:r>
      <w:r w:rsidRPr="00451D51">
        <w:t xml:space="preserve"> studii experimentale sau cvasi-experimentale care au raportat inițierea fumatului în rândul celor care nu au fumat niciodată, renunțarea la fumat în rândul fumătorilor și efectele diferențiale în subgrupurile socio-economice cu o perioadă de urmărire de cel puțin 6 luni</w:t>
      </w:r>
      <w:r>
        <w:t>, corelat cu tipul de intervenție parentală</w:t>
      </w:r>
      <w:r w:rsidRPr="00451D51">
        <w:t xml:space="preserve">. După screening-ul a 6748 de înregistrări, au fost incluse </w:t>
      </w:r>
      <w:r>
        <w:t xml:space="preserve">în analiză </w:t>
      </w:r>
      <w:r w:rsidRPr="00451D51">
        <w:t xml:space="preserve">36 de studii, bazate pe 29 de intervenții unice (27 de prevenire a fumatului și 2 de renunțare la fumat). Estimarea riscului relativ de inițiere a fumatului în rândul copiilor și adolescenților care au participat la intervenții de prevenire a fumatului </w:t>
      </w:r>
      <w:r>
        <w:t>cu implicarea</w:t>
      </w:r>
      <w:r w:rsidRPr="00451D51">
        <w:t xml:space="preserve"> părinți</w:t>
      </w:r>
      <w:r>
        <w:t>lor</w:t>
      </w:r>
      <w:r w:rsidRPr="00451D51">
        <w:t xml:space="preserve">, comparativ cu </w:t>
      </w:r>
      <w:r>
        <w:t>lotul</w:t>
      </w:r>
      <w:r w:rsidRPr="00451D51">
        <w:t xml:space="preserve"> de control, a fost de 0,84 (</w:t>
      </w:r>
      <w:r>
        <w:t>CI</w:t>
      </w:r>
      <w:r w:rsidRPr="00451D51">
        <w:t xml:space="preserve"> 95%: 0,76, 0,94). Rezultatele privind renunțarea la fumat și aspectele de echitate au fost neconcludente din cauza numărului insuficient de studii. </w:t>
      </w:r>
      <w:r>
        <w:t>Astfel, s-a avansat ideea că i</w:t>
      </w:r>
      <w:r w:rsidRPr="00451D51">
        <w:t>ntervențiile de prevenire a fumatului la copii și adolescenți în care părinții sunt implicați activ par a fi eficiente, dar calitatea generală a dovezilor a fost</w:t>
      </w:r>
      <w:r>
        <w:t xml:space="preserve"> considerată</w:t>
      </w:r>
      <w:r w:rsidRPr="00451D51">
        <w:t xml:space="preserve"> moderată. </w:t>
      </w:r>
    </w:p>
    <w:p w14:paraId="6F0E7FF5" w14:textId="77777777" w:rsidR="00977EBD" w:rsidRDefault="00977EBD" w:rsidP="00CD3152">
      <w:pPr>
        <w:ind w:firstLine="708"/>
        <w:jc w:val="both"/>
      </w:pPr>
    </w:p>
    <w:p w14:paraId="083CBF10" w14:textId="6055B975" w:rsidR="00B97B11" w:rsidRDefault="00E12C96" w:rsidP="00E12C96">
      <w:pPr>
        <w:pStyle w:val="Heading3"/>
      </w:pPr>
      <w:bookmarkStart w:id="135" w:name="_Toc232660584"/>
      <w:r>
        <w:t>Concluzii privind i</w:t>
      </w:r>
      <w:r w:rsidRPr="00E12C96">
        <w:t>ntervenții</w:t>
      </w:r>
      <w:r>
        <w:t>le</w:t>
      </w:r>
      <w:r w:rsidRPr="00E12C96">
        <w:t xml:space="preserve"> </w:t>
      </w:r>
      <w:r>
        <w:t xml:space="preserve">și politicile </w:t>
      </w:r>
      <w:r w:rsidRPr="00E12C96">
        <w:t xml:space="preserve">eficiente </w:t>
      </w:r>
      <w:r>
        <w:t xml:space="preserve">care au </w:t>
      </w:r>
      <w:r w:rsidRPr="00E12C96">
        <w:t xml:space="preserve">contribuit la reducerea prevalenței </w:t>
      </w:r>
      <w:r>
        <w:t xml:space="preserve">consumului de tutun </w:t>
      </w:r>
      <w:r w:rsidRPr="00E12C96">
        <w:t>în rândul copiilor și adolescenților</w:t>
      </w:r>
      <w:bookmarkEnd w:id="135"/>
    </w:p>
    <w:p w14:paraId="6DCB1DE3" w14:textId="357ED65C" w:rsidR="00EE1ED4" w:rsidRDefault="00EE1ED4" w:rsidP="00EE1ED4">
      <w:pPr>
        <w:pStyle w:val="ListParagraph"/>
        <w:numPr>
          <w:ilvl w:val="0"/>
          <w:numId w:val="46"/>
        </w:numPr>
      </w:pPr>
      <w:r w:rsidRPr="00EE1ED4">
        <w:t>Intervenții eficiente contribuit la reducerea prevalenței fumatului în rândul copiilor și adolescenților</w:t>
      </w:r>
    </w:p>
    <w:p w14:paraId="020F3295" w14:textId="77777777" w:rsidR="00EE1ED4" w:rsidRDefault="00EE1ED4" w:rsidP="00EE1ED4">
      <w:pPr>
        <w:ind w:firstLine="530"/>
        <w:jc w:val="both"/>
      </w:pPr>
      <w:r>
        <w:t>Printre intervențiile eficiente pentru reducerea expunerii la fum de țigară se numără măsurile legislative:</w:t>
      </w:r>
    </w:p>
    <w:p w14:paraId="005048D1" w14:textId="6A2C3D25" w:rsidR="00EE1ED4" w:rsidRDefault="00EE1ED4" w:rsidP="00EE1ED4">
      <w:pPr>
        <w:ind w:firstLine="0"/>
        <w:jc w:val="both"/>
      </w:pPr>
      <w:r>
        <w:t>-</w:t>
      </w:r>
      <w:r>
        <w:tab/>
        <w:t xml:space="preserve">măsurile legislative de interzicere a fumatului în spațiile publice, </w:t>
      </w:r>
    </w:p>
    <w:p w14:paraId="23062922" w14:textId="77777777" w:rsidR="00EE1ED4" w:rsidRDefault="00EE1ED4" w:rsidP="00EE1ED4">
      <w:pPr>
        <w:ind w:firstLine="0"/>
        <w:jc w:val="both"/>
      </w:pPr>
      <w:r>
        <w:t>-</w:t>
      </w:r>
      <w:r>
        <w:tab/>
        <w:t xml:space="preserve">de interzicere a vânzării de produse de tutun către persoanele în vârstă de sub 18 ani </w:t>
      </w:r>
    </w:p>
    <w:p w14:paraId="3E64C177" w14:textId="6BE6DF3C" w:rsidR="00EE1ED4" w:rsidRDefault="00EE1ED4" w:rsidP="00EE1ED4">
      <w:pPr>
        <w:ind w:firstLine="0"/>
        <w:jc w:val="both"/>
      </w:pPr>
      <w:r>
        <w:t>-</w:t>
      </w:r>
      <w:r>
        <w:tab/>
        <w:t>restricțiile privind publicitatea pentru produsele de tutun</w:t>
      </w:r>
    </w:p>
    <w:p w14:paraId="3A5EB85D" w14:textId="77777777" w:rsidR="00EE1ED4" w:rsidRDefault="00EE1ED4" w:rsidP="00EE1ED4">
      <w:pPr>
        <w:ind w:firstLine="0"/>
        <w:jc w:val="both"/>
      </w:pPr>
      <w:r>
        <w:t>-</w:t>
      </w:r>
      <w:r>
        <w:tab/>
        <w:t>majorarea taxelor pe produsele din tutun</w:t>
      </w:r>
    </w:p>
    <w:p w14:paraId="5ED3A239" w14:textId="77777777" w:rsidR="00EE1ED4" w:rsidRDefault="00EE1ED4" w:rsidP="00EE1ED4">
      <w:pPr>
        <w:ind w:firstLine="0"/>
        <w:jc w:val="both"/>
      </w:pPr>
      <w:r>
        <w:t>-</w:t>
      </w:r>
      <w:r>
        <w:tab/>
        <w:t xml:space="preserve">restricții privind achiziționarea de către tineri a produselor de tutun </w:t>
      </w:r>
    </w:p>
    <w:p w14:paraId="780347C2" w14:textId="77777777" w:rsidR="00EE1ED4" w:rsidRDefault="00EE1ED4" w:rsidP="00EE1ED4">
      <w:pPr>
        <w:ind w:firstLine="0"/>
        <w:jc w:val="both"/>
      </w:pPr>
      <w:r>
        <w:t>-</w:t>
      </w:r>
      <w:r>
        <w:tab/>
        <w:t xml:space="preserve">interzicerea aromelor caracteristice din țigări </w:t>
      </w:r>
    </w:p>
    <w:p w14:paraId="3CC3FD7D" w14:textId="30E4E2A0" w:rsidR="00EE1ED4" w:rsidRDefault="00EE1ED4" w:rsidP="00EE1ED4">
      <w:pPr>
        <w:ind w:firstLine="0"/>
        <w:jc w:val="both"/>
      </w:pPr>
      <w:r>
        <w:t>-</w:t>
      </w:r>
      <w:r>
        <w:tab/>
        <w:t>avertismente combinate de sănătate pentru produsele din tutun.</w:t>
      </w:r>
    </w:p>
    <w:p w14:paraId="32F98467" w14:textId="12377D84" w:rsidR="00EE1ED4" w:rsidRDefault="00EE1ED4" w:rsidP="00EE1ED4">
      <w:pPr>
        <w:ind w:firstLine="709"/>
        <w:jc w:val="both"/>
      </w:pPr>
      <w:r>
        <w:t>Programele de renunțare la fumat și programele de prevenire a fumatului în rândul copiilor sunt oferite însă în mod oportunist.</w:t>
      </w:r>
    </w:p>
    <w:p w14:paraId="4F98E68C" w14:textId="77777777" w:rsidR="00EE1ED4" w:rsidRDefault="00EE1ED4" w:rsidP="00EE1ED4">
      <w:pPr>
        <w:ind w:firstLine="709"/>
        <w:jc w:val="both"/>
      </w:pPr>
    </w:p>
    <w:p w14:paraId="30105279" w14:textId="77777777" w:rsidR="0055546F" w:rsidRDefault="0055546F" w:rsidP="00EE1ED4">
      <w:pPr>
        <w:ind w:firstLine="709"/>
        <w:jc w:val="both"/>
      </w:pPr>
    </w:p>
    <w:p w14:paraId="01B366B5" w14:textId="77777777" w:rsidR="0055546F" w:rsidRPr="00EE1ED4" w:rsidRDefault="0055546F" w:rsidP="00EE1ED4">
      <w:pPr>
        <w:ind w:firstLine="709"/>
        <w:jc w:val="both"/>
      </w:pPr>
    </w:p>
    <w:p w14:paraId="5A7E0FD0" w14:textId="691CF45C" w:rsidR="00CD3152" w:rsidRPr="006E0160" w:rsidRDefault="00CD3152" w:rsidP="00CD3152">
      <w:pPr>
        <w:pStyle w:val="Heading1"/>
        <w:tabs>
          <w:tab w:val="clear" w:pos="142"/>
        </w:tabs>
        <w:spacing w:line="240" w:lineRule="auto"/>
      </w:pPr>
      <w:r>
        <w:lastRenderedPageBreak/>
        <w:t xml:space="preserve"> </w:t>
      </w:r>
      <w:bookmarkStart w:id="136" w:name="_Toc232660585"/>
      <w:r w:rsidRPr="006E0160">
        <w:t>Concluzii</w:t>
      </w:r>
      <w:r w:rsidR="0055546F">
        <w:t xml:space="preserve"> – identificarea grupului țintă și intervenții propuse</w:t>
      </w:r>
      <w:bookmarkEnd w:id="136"/>
    </w:p>
    <w:p w14:paraId="313181FE" w14:textId="1F8861ED" w:rsidR="00CD3152" w:rsidRDefault="00CD3152" w:rsidP="00CD3152">
      <w:pPr>
        <w:ind w:firstLine="708"/>
        <w:jc w:val="both"/>
      </w:pPr>
      <w:r w:rsidRPr="00905EED">
        <w:t xml:space="preserve">Coroborând </w:t>
      </w:r>
      <w:r>
        <w:t>rezultatele studiilor prezentate în cadrul analizei actuale</w:t>
      </w:r>
      <w:r w:rsidRPr="00905EED">
        <w:t xml:space="preserve">, </w:t>
      </w:r>
      <w:r w:rsidRPr="007A0DD9">
        <w:rPr>
          <w:b/>
          <w:bCs/>
        </w:rPr>
        <w:t xml:space="preserve">grupul țintă principal </w:t>
      </w:r>
      <w:r w:rsidRPr="00905EED">
        <w:t>al campaniei de informare, educare și comunicare planificate pentru anul 202</w:t>
      </w:r>
      <w:r w:rsidR="00FD7DCE">
        <w:t>6</w:t>
      </w:r>
      <w:r w:rsidRPr="00905EED">
        <w:t xml:space="preserve"> trebuie să fie constituit din </w:t>
      </w:r>
      <w:r w:rsidRPr="007A0DD9">
        <w:rPr>
          <w:b/>
          <w:bCs/>
        </w:rPr>
        <w:t>adolescenții cu vârste cuprinse între 10 și 16 ani</w:t>
      </w:r>
      <w:r w:rsidRPr="00905EED">
        <w:t xml:space="preserve">, iar </w:t>
      </w:r>
      <w:r w:rsidRPr="007A0DD9">
        <w:rPr>
          <w:b/>
          <w:bCs/>
        </w:rPr>
        <w:t>grupurile țintă secundare</w:t>
      </w:r>
      <w:r w:rsidRPr="00905EED">
        <w:t xml:space="preserve"> trebuie să includă: </w:t>
      </w:r>
      <w:r w:rsidRPr="007A0DD9">
        <w:rPr>
          <w:b/>
          <w:bCs/>
        </w:rPr>
        <w:t xml:space="preserve">părinții adolescenților, profesorii din ciclul gimnazial </w:t>
      </w:r>
      <w:r w:rsidRPr="007A0DD9">
        <w:t>și</w:t>
      </w:r>
      <w:r w:rsidRPr="007A0DD9">
        <w:rPr>
          <w:b/>
          <w:bCs/>
        </w:rPr>
        <w:t xml:space="preserve"> personalul medico-sanitar</w:t>
      </w:r>
      <w:r w:rsidRPr="00905EED">
        <w:t xml:space="preserve"> implicat în prevenția consumului de tutun și produse conexe.</w:t>
      </w:r>
    </w:p>
    <w:p w14:paraId="5354C889" w14:textId="77777777" w:rsidR="00CD3152" w:rsidRPr="006E0160" w:rsidRDefault="00CD3152" w:rsidP="00CD3152">
      <w:pPr>
        <w:ind w:firstLine="708"/>
        <w:jc w:val="both"/>
      </w:pPr>
      <w:r w:rsidRPr="006E0160">
        <w:t xml:space="preserve">Evidențele actuale sugerează că atât în România, cât și la nivel global, adolescenții și tinerii sunt mai susceptibili la adicția de produsele de tutun în comparație cu persoanele din grupe de vârstă mai mari. </w:t>
      </w:r>
      <w:r>
        <w:t>Astfel, p</w:t>
      </w:r>
      <w:r w:rsidRPr="006E0160">
        <w:t xml:space="preserve">revenirea începerii fumatului rămâne una dintre strategiile cheie de control al epidemiei de fumat, iar grupul țintă căruia trebuie să i se adreseze măsurile preventive este reprezentat de </w:t>
      </w:r>
      <w:r w:rsidRPr="00C82ADA">
        <w:rPr>
          <w:b/>
          <w:bCs/>
        </w:rPr>
        <w:t>adolescenți</w:t>
      </w:r>
      <w:r w:rsidRPr="006E0160">
        <w:t>.</w:t>
      </w:r>
    </w:p>
    <w:p w14:paraId="769E12BF" w14:textId="77777777" w:rsidR="00CD3152" w:rsidRDefault="00CD3152" w:rsidP="00CD3152">
      <w:pPr>
        <w:ind w:firstLine="708"/>
        <w:jc w:val="both"/>
      </w:pPr>
      <w:r w:rsidRPr="006E0160">
        <w:t xml:space="preserve">Prevenirea începerii fumatului de către adolescenți, înainte de apariția adicției poate să conducă, pe termen lung la prevalențe mai mici ale fumatului la vârste mai înaintate, prin consolidarea unor modele sociale care încurajează menținerea statutului de nefumător. </w:t>
      </w:r>
    </w:p>
    <w:p w14:paraId="29422791" w14:textId="77777777" w:rsidR="00CD3152" w:rsidRDefault="00CD3152" w:rsidP="00CD3152">
      <w:pPr>
        <w:ind w:firstLine="708"/>
        <w:jc w:val="both"/>
      </w:pPr>
      <w:r w:rsidRPr="009F1965">
        <w:t xml:space="preserve">În ciuda scăderii consumului de produse convenționale de tutun din ultimii ani, pandemia de coronavirus 2019 (COVID-19) ar fi putut provoca o nouă creștere a consumului a acestui comportament. </w:t>
      </w:r>
    </w:p>
    <w:p w14:paraId="69F4BB04" w14:textId="77777777" w:rsidR="00CD3152" w:rsidRPr="009F1965" w:rsidRDefault="00CD3152" w:rsidP="00CD3152">
      <w:pPr>
        <w:ind w:firstLine="708"/>
        <w:jc w:val="both"/>
      </w:pPr>
      <w:r w:rsidRPr="009F1965">
        <w:t>Utilizarea țigărilor electronice (denumite în mod obișnuit vape) a crescut, o tendință care este deosebit de proeminentă în rândul adolescenților,</w:t>
      </w:r>
      <w:r>
        <w:t xml:space="preserve"> mai al ales fetelor,</w:t>
      </w:r>
      <w:r w:rsidRPr="009F1965">
        <w:t xml:space="preserve"> în mare parte datorită expunerii lor la medii online care promovează țigările electronice prin publicitate direcționată. Prevalența în creștere a acestor produse reprezintă o problemă semnificativă de sănătate publică din cauza riscurilor potențiale pentru sănătatea pe care le prezintă, în special pentru tineri.</w:t>
      </w:r>
    </w:p>
    <w:p w14:paraId="6CB78462" w14:textId="77777777" w:rsidR="00CD3152" w:rsidRDefault="00CD3152" w:rsidP="00CD3152">
      <w:pPr>
        <w:ind w:firstLine="708"/>
        <w:jc w:val="both"/>
      </w:pPr>
      <w:r w:rsidRPr="009F1965">
        <w:t>Deși</w:t>
      </w:r>
      <w:r>
        <w:t>, istoric,</w:t>
      </w:r>
      <w:r w:rsidRPr="009F1965">
        <w:t xml:space="preserve"> băieții au raportat în mod constant niveluri mai ridicate de consum de produse convenționale din tutun decât fetele în trecut, datele din cele mai recente sondaje privind comportamentele de risc ale adolescenților sugerează o convergență de gen în multe țări și regiuni. </w:t>
      </w:r>
      <w:r>
        <w:t>În România se înregistrează o inversare în ceea ce privește genul, prevalența fumatului și consumului de țigări electronice la genul feminin este mai mare decât la băieți.</w:t>
      </w:r>
      <w:r w:rsidRPr="004350FF">
        <w:t xml:space="preserve"> </w:t>
      </w:r>
      <w:r>
        <w:t>Se remarcă c</w:t>
      </w:r>
      <w:r w:rsidRPr="004350FF">
        <w:t xml:space="preserve">reșterea prevalenței odată cu vârsta este observată atât pentru consumul de </w:t>
      </w:r>
      <w:r>
        <w:t>produse de tutun</w:t>
      </w:r>
      <w:r w:rsidRPr="004350FF">
        <w:t xml:space="preserve"> pe tot parcursul vieții, cât și pentru consumul actual de </w:t>
      </w:r>
      <w:r>
        <w:t>tutun</w:t>
      </w:r>
      <w:r w:rsidRPr="004350FF">
        <w:t>.</w:t>
      </w:r>
    </w:p>
    <w:p w14:paraId="575E8E13" w14:textId="77777777" w:rsidR="00CD3152" w:rsidRDefault="00CD3152" w:rsidP="00CD3152">
      <w:pPr>
        <w:ind w:firstLine="708"/>
        <w:jc w:val="both"/>
      </w:pPr>
      <w:r>
        <w:t>F</w:t>
      </w:r>
      <w:r w:rsidRPr="009501B1">
        <w:t xml:space="preserve">umatul a arătat o prevalență mai mare în rândul adolescenților din familii cu </w:t>
      </w:r>
      <w:r>
        <w:t>nivel socio - economic</w:t>
      </w:r>
      <w:r w:rsidRPr="009501B1">
        <w:t xml:space="preserve"> scăzu</w:t>
      </w:r>
      <w:r>
        <w:t>t</w:t>
      </w:r>
      <w:r w:rsidRPr="009501B1">
        <w:t>, în timp ce consumul de țigări electronice</w:t>
      </w:r>
      <w:r>
        <w:t xml:space="preserve"> a fost ma</w:t>
      </w:r>
      <w:r w:rsidRPr="009501B1">
        <w:t xml:space="preserve">i răspândite în rândul adolescenților cu </w:t>
      </w:r>
      <w:r>
        <w:t>nivel socio-economic crescut.</w:t>
      </w:r>
    </w:p>
    <w:p w14:paraId="617D4D16" w14:textId="77777777" w:rsidR="00CD3152" w:rsidRDefault="00CD3152" w:rsidP="00CD3152">
      <w:pPr>
        <w:ind w:firstLine="708"/>
        <w:jc w:val="both"/>
      </w:pPr>
      <w:r>
        <w:t>Astfel, s</w:t>
      </w:r>
      <w:r w:rsidRPr="006E0160">
        <w:t xml:space="preserve">e evidențiază necesitatea unor intervenții de prevenire adaptate diferențiat pe gen și vârstă, precum și intensificarea mesajelor de informare privind riscurile reale asociate utilizării produselor alternative de tutun, deseori percepute ca fiind mai puțin nocive. Se recomandă integrarea acestor mesaje în strategii educaționale și campanii de sănătate publică care să țintească în mod specific </w:t>
      </w:r>
      <w:r w:rsidRPr="006E0160">
        <w:rPr>
          <w:b/>
          <w:bCs/>
          <w:i/>
          <w:iCs/>
        </w:rPr>
        <w:t>adolescentele</w:t>
      </w:r>
      <w:r w:rsidRPr="006E0160">
        <w:t>, având în vedere tendințele de creștere a consumului de produse din tutun în cazul acestora.</w:t>
      </w:r>
      <w:r w:rsidRPr="009D7B34">
        <w:t xml:space="preserve"> </w:t>
      </w:r>
    </w:p>
    <w:p w14:paraId="1F032B32" w14:textId="77777777" w:rsidR="00CD3152" w:rsidRDefault="00CD3152" w:rsidP="00CD3152">
      <w:pPr>
        <w:ind w:firstLine="708"/>
        <w:jc w:val="both"/>
      </w:pPr>
      <w:r w:rsidRPr="006B6386">
        <w:t>Toate intervențiile ar</w:t>
      </w:r>
      <w:r>
        <w:t xml:space="preserve"> trebui să fie bazate pe dovezi, în conformitate cu standardele internaționale, adaptate, sensibile la gen, adecvate dezvoltării și etice.</w:t>
      </w:r>
    </w:p>
    <w:p w14:paraId="6B1AD823" w14:textId="77777777" w:rsidR="00060320" w:rsidRDefault="00CD3152" w:rsidP="00CD3152">
      <w:pPr>
        <w:ind w:firstLine="708"/>
        <w:jc w:val="both"/>
      </w:pPr>
      <w:r w:rsidRPr="00CC6BB0">
        <w:lastRenderedPageBreak/>
        <w:t xml:space="preserve">Inițiativele de prevenire a consumului de tutun în rândul adolescenților trebuie dezvoltate cu precădere în mediul școlar. Punerea în aplicare a unor politici și programe eficiente în școli este un element important al acțiunii preventive pentru a oferi educație, conștientizare a sănătății, dezvoltarea competențelor, monitorizare și punerea în aplicare. </w:t>
      </w:r>
    </w:p>
    <w:p w14:paraId="33C772C7" w14:textId="5625C7BE" w:rsidR="00060320" w:rsidRDefault="00060320" w:rsidP="00CD3152">
      <w:pPr>
        <w:ind w:firstLine="708"/>
        <w:jc w:val="both"/>
        <w:rPr>
          <w:lang w:val="en-GB"/>
        </w:rPr>
      </w:pPr>
      <w:r w:rsidRPr="00060320">
        <w:t xml:space="preserve">Caracteristicile recomandate pentru o intervenție </w:t>
      </w:r>
      <w:r>
        <w:t xml:space="preserve">în </w:t>
      </w:r>
      <w:r w:rsidRPr="00060320">
        <w:t>școl</w:t>
      </w:r>
      <w:r>
        <w:t>ă</w:t>
      </w:r>
      <w:r>
        <w:rPr>
          <w:lang w:val="en-GB"/>
        </w:rPr>
        <w:t>:</w:t>
      </w:r>
    </w:p>
    <w:p w14:paraId="1040949B" w14:textId="77777777" w:rsidR="00060320" w:rsidRDefault="00060320" w:rsidP="00060320">
      <w:pPr>
        <w:tabs>
          <w:tab w:val="left" w:pos="284"/>
          <w:tab w:val="left" w:pos="567"/>
          <w:tab w:val="left" w:pos="851"/>
        </w:tabs>
        <w:ind w:firstLine="708"/>
        <w:jc w:val="both"/>
      </w:pPr>
      <w:r>
        <w:t>•</w:t>
      </w:r>
      <w:r>
        <w:tab/>
        <w:t>minimum 4–6 sesiuni interactive, urmate de activități de consolidare, în locul unei prezentări unice;</w:t>
      </w:r>
    </w:p>
    <w:p w14:paraId="1891CAAA" w14:textId="7B8F834B" w:rsidR="00060320" w:rsidRDefault="00060320" w:rsidP="00060320">
      <w:pPr>
        <w:tabs>
          <w:tab w:val="left" w:pos="284"/>
          <w:tab w:val="left" w:pos="567"/>
          <w:tab w:val="left" w:pos="851"/>
        </w:tabs>
        <w:ind w:firstLine="708"/>
        <w:jc w:val="both"/>
      </w:pPr>
      <w:r>
        <w:t>•</w:t>
      </w:r>
      <w:r>
        <w:tab/>
        <w:t>conținut specific pentru țigarete electronice</w:t>
      </w:r>
      <w:r w:rsidR="00810762">
        <w:t xml:space="preserve">, </w:t>
      </w:r>
      <w:r>
        <w:t>HTP</w:t>
      </w:r>
      <w:r w:rsidR="00810762">
        <w:t>s și alte produse emergente</w:t>
      </w:r>
      <w:r>
        <w:t>, nu simpla adaptare a materialelor despre țigări convenționale;</w:t>
      </w:r>
    </w:p>
    <w:p w14:paraId="2C1892C2" w14:textId="77777777" w:rsidR="00060320" w:rsidRDefault="00060320" w:rsidP="00060320">
      <w:pPr>
        <w:tabs>
          <w:tab w:val="left" w:pos="284"/>
          <w:tab w:val="left" w:pos="567"/>
          <w:tab w:val="left" w:pos="851"/>
        </w:tabs>
        <w:ind w:firstLine="708"/>
        <w:jc w:val="both"/>
      </w:pPr>
      <w:r>
        <w:t>•</w:t>
      </w:r>
      <w:r>
        <w:tab/>
        <w:t>corectarea percepțiilor normative – elevii tind să supraestimeze consumul colegilor;</w:t>
      </w:r>
    </w:p>
    <w:p w14:paraId="45C2DC64" w14:textId="77777777" w:rsidR="00060320" w:rsidRDefault="00060320" w:rsidP="00060320">
      <w:pPr>
        <w:tabs>
          <w:tab w:val="left" w:pos="284"/>
          <w:tab w:val="left" w:pos="567"/>
          <w:tab w:val="left" w:pos="851"/>
        </w:tabs>
        <w:ind w:firstLine="708"/>
        <w:jc w:val="both"/>
      </w:pPr>
      <w:r>
        <w:t>•</w:t>
      </w:r>
      <w:r>
        <w:tab/>
        <w:t>dezvoltarea abilităților de refuz, luarea deciziilor, gestionarea stresului și rezistența la presiunea grupului;</w:t>
      </w:r>
    </w:p>
    <w:p w14:paraId="5F8DBFD8" w14:textId="77777777" w:rsidR="00060320" w:rsidRDefault="00060320" w:rsidP="00060320">
      <w:pPr>
        <w:tabs>
          <w:tab w:val="left" w:pos="284"/>
          <w:tab w:val="left" w:pos="567"/>
          <w:tab w:val="left" w:pos="851"/>
        </w:tabs>
        <w:ind w:firstLine="708"/>
        <w:jc w:val="both"/>
      </w:pPr>
      <w:r>
        <w:t>•</w:t>
      </w:r>
      <w:r>
        <w:tab/>
        <w:t>analiza marketingului digital, a influencerilor, aromelor, designului și afirmațiilor de tip „mai sigur”;</w:t>
      </w:r>
    </w:p>
    <w:p w14:paraId="5C05A14D" w14:textId="0CBEF619" w:rsidR="00060320" w:rsidRDefault="00060320" w:rsidP="00060320">
      <w:pPr>
        <w:tabs>
          <w:tab w:val="left" w:pos="284"/>
          <w:tab w:val="left" w:pos="567"/>
          <w:tab w:val="left" w:pos="851"/>
        </w:tabs>
        <w:ind w:firstLine="708"/>
        <w:jc w:val="both"/>
      </w:pPr>
      <w:r>
        <w:t>•</w:t>
      </w:r>
      <w:r>
        <w:tab/>
        <w:t xml:space="preserve">activități conduse de profesori instruiți, completate de educație </w:t>
      </w:r>
      <w:r w:rsidR="00810762" w:rsidRPr="00267420">
        <w:t>“</w:t>
      </w:r>
      <w:r>
        <w:t>între egali</w:t>
      </w:r>
      <w:r w:rsidR="00810762">
        <w:t>” (peer-to-peer)</w:t>
      </w:r>
      <w:r>
        <w:t>, fără prezentarea demonstrativă a dispozitivelor;</w:t>
      </w:r>
    </w:p>
    <w:p w14:paraId="5F09ED06" w14:textId="77777777" w:rsidR="00060320" w:rsidRDefault="00060320" w:rsidP="00060320">
      <w:pPr>
        <w:tabs>
          <w:tab w:val="left" w:pos="284"/>
          <w:tab w:val="left" w:pos="567"/>
          <w:tab w:val="left" w:pos="851"/>
        </w:tabs>
        <w:ind w:firstLine="708"/>
        <w:jc w:val="both"/>
      </w:pPr>
      <w:r>
        <w:t>•</w:t>
      </w:r>
      <w:r>
        <w:tab/>
        <w:t>componentă pentru elevii care consumă deja, bazată pe intervenție scurtă, interviu motivațional și trimitere către sprijin adecvat;</w:t>
      </w:r>
    </w:p>
    <w:p w14:paraId="414D8583" w14:textId="182E4C35" w:rsidR="00060320" w:rsidRDefault="00060320" w:rsidP="00060320">
      <w:pPr>
        <w:tabs>
          <w:tab w:val="left" w:pos="284"/>
          <w:tab w:val="left" w:pos="567"/>
          <w:tab w:val="left" w:pos="851"/>
        </w:tabs>
        <w:ind w:firstLine="708"/>
        <w:jc w:val="both"/>
      </w:pPr>
      <w:r>
        <w:t>•</w:t>
      </w:r>
      <w:r>
        <w:tab/>
        <w:t>evaluare la început</w:t>
      </w:r>
      <w:r w:rsidR="00810762">
        <w:t xml:space="preserve"> și</w:t>
      </w:r>
      <w:r>
        <w:t xml:space="preserve"> imediat după program și la 6–12 luni, utilizând indicatori precum inițierea, consumul în ultimele 30 de zile, intenția, percepția riscului și expunerea la marketing.</w:t>
      </w:r>
    </w:p>
    <w:p w14:paraId="579CEDB6" w14:textId="7768EB9B" w:rsidR="00CD3152" w:rsidRDefault="00810762" w:rsidP="00CD3152">
      <w:pPr>
        <w:ind w:firstLine="708"/>
        <w:jc w:val="both"/>
      </w:pPr>
      <w:r>
        <w:t>P</w:t>
      </w:r>
      <w:r w:rsidR="00CD3152" w:rsidRPr="00CC6BB0">
        <w:t xml:space="preserve">rogramele școlare singure </w:t>
      </w:r>
      <w:r>
        <w:t xml:space="preserve">însă </w:t>
      </w:r>
      <w:r w:rsidR="00CD3152" w:rsidRPr="00CC6BB0">
        <w:t xml:space="preserve">pot să nu fie eficiente în reducerea adoptării comportamentelor de consum de substanțe. </w:t>
      </w:r>
      <w:r w:rsidR="00CD3152">
        <w:t>Astfel, sunt necesare acțiuni cuprinzătoare la mai multe niveluri, inclusiv familii, comunități, centre de tineret și spitale, alături de căi puternice de trimitere care să ofere serviciile necesare tinerilor.</w:t>
      </w:r>
    </w:p>
    <w:p w14:paraId="0C7F4BA7" w14:textId="77777777" w:rsidR="006C0A12" w:rsidRDefault="006C0A12" w:rsidP="006C0A12">
      <w:pPr>
        <w:ind w:firstLine="708"/>
        <w:jc w:val="both"/>
      </w:pPr>
      <w:r>
        <w:t>În prevenirea consumului de nicotină, componenta parentală trebuie să urmărească:</w:t>
      </w:r>
    </w:p>
    <w:p w14:paraId="0A85F4CD" w14:textId="77777777" w:rsidR="006C0A12" w:rsidRDefault="006C0A12" w:rsidP="006C0A12">
      <w:pPr>
        <w:tabs>
          <w:tab w:val="left" w:pos="284"/>
          <w:tab w:val="left" w:pos="567"/>
          <w:tab w:val="left" w:pos="851"/>
        </w:tabs>
        <w:ind w:firstLine="708"/>
        <w:jc w:val="both"/>
      </w:pPr>
      <w:r>
        <w:t>•</w:t>
      </w:r>
      <w:r>
        <w:tab/>
        <w:t>informarea părinților despre tipurile de produse, semnele consumului, conținutul de nicotină și riscurile produselor utilizate discret;</w:t>
      </w:r>
    </w:p>
    <w:p w14:paraId="500D199D" w14:textId="2218A15B" w:rsidR="006C0A12" w:rsidRDefault="006C0A12" w:rsidP="006C0A12">
      <w:pPr>
        <w:tabs>
          <w:tab w:val="left" w:pos="284"/>
          <w:tab w:val="left" w:pos="567"/>
          <w:tab w:val="left" w:pos="851"/>
        </w:tabs>
        <w:ind w:firstLine="708"/>
        <w:jc w:val="both"/>
      </w:pPr>
      <w:r>
        <w:t>•</w:t>
      </w:r>
      <w:r>
        <w:tab/>
        <w:t>stabilirea unor reguli familiale clare și consecvente privind tutunul, vapingul, HTPs și pliculețele cu nicotină;</w:t>
      </w:r>
    </w:p>
    <w:p w14:paraId="219C7E45" w14:textId="77777777" w:rsidR="006C0A12" w:rsidRDefault="006C0A12" w:rsidP="006C0A12">
      <w:pPr>
        <w:tabs>
          <w:tab w:val="left" w:pos="284"/>
          <w:tab w:val="left" w:pos="567"/>
          <w:tab w:val="left" w:pos="851"/>
        </w:tabs>
        <w:ind w:firstLine="708"/>
        <w:jc w:val="both"/>
      </w:pPr>
      <w:r>
        <w:t>•</w:t>
      </w:r>
      <w:r>
        <w:tab/>
        <w:t>modelarea unui comportament fără tutun și nicotină de către adulți și evitarea expunerii copiilor la fum și aerosoli;</w:t>
      </w:r>
    </w:p>
    <w:p w14:paraId="0BA4D591" w14:textId="77777777" w:rsidR="006C0A12" w:rsidRDefault="006C0A12" w:rsidP="006C0A12">
      <w:pPr>
        <w:tabs>
          <w:tab w:val="left" w:pos="284"/>
          <w:tab w:val="left" w:pos="567"/>
          <w:tab w:val="left" w:pos="851"/>
        </w:tabs>
        <w:ind w:firstLine="708"/>
        <w:jc w:val="both"/>
      </w:pPr>
      <w:r>
        <w:t>•</w:t>
      </w:r>
      <w:r>
        <w:tab/>
        <w:t>comunicarea calmă, repetată și adaptată vârstei, bazată pe întrebări și ascultare, nu doar pe avertismente și sancțiuni;</w:t>
      </w:r>
    </w:p>
    <w:p w14:paraId="4DA1CD81" w14:textId="7F569888" w:rsidR="006C0A12" w:rsidRDefault="006C0A12" w:rsidP="006C0A12">
      <w:pPr>
        <w:tabs>
          <w:tab w:val="left" w:pos="284"/>
          <w:tab w:val="left" w:pos="567"/>
          <w:tab w:val="left" w:pos="851"/>
        </w:tabs>
        <w:ind w:firstLine="708"/>
        <w:jc w:val="both"/>
      </w:pPr>
      <w:r>
        <w:t>•</w:t>
      </w:r>
      <w:r>
        <w:tab/>
        <w:t>monitorizarea accesului la surse financiare, a cumpărăturilor online, livrărilor și expunerii la conținut promoțional pe rețele sociale, cu respectarea progresivă a autonomiei adolescentului;</w:t>
      </w:r>
    </w:p>
    <w:p w14:paraId="53559FAF" w14:textId="77777777" w:rsidR="006C0A12" w:rsidRDefault="006C0A12" w:rsidP="006C0A12">
      <w:pPr>
        <w:tabs>
          <w:tab w:val="left" w:pos="284"/>
          <w:tab w:val="left" w:pos="567"/>
          <w:tab w:val="left" w:pos="851"/>
        </w:tabs>
        <w:ind w:firstLine="708"/>
        <w:jc w:val="both"/>
      </w:pPr>
      <w:r>
        <w:t>•</w:t>
      </w:r>
      <w:r>
        <w:tab/>
        <w:t>recunoașterea factorilor asociați – stres, anxietate, probleme școlare, presiunea grupului – și solicitarea sprijinului consilierului sau medicului;</w:t>
      </w:r>
    </w:p>
    <w:p w14:paraId="65FC59C3" w14:textId="16DBE3E7" w:rsidR="006C0A12" w:rsidRDefault="006C0A12" w:rsidP="006C0A12">
      <w:pPr>
        <w:tabs>
          <w:tab w:val="left" w:pos="284"/>
          <w:tab w:val="left" w:pos="567"/>
          <w:tab w:val="left" w:pos="851"/>
        </w:tabs>
        <w:ind w:firstLine="708"/>
        <w:jc w:val="both"/>
      </w:pPr>
      <w:r>
        <w:t>•</w:t>
      </w:r>
      <w:r>
        <w:tab/>
        <w:t>participarea părinților la elaborarea politicii școlare și la activitățile de prevenție, astfel încât mesajele familiei și școlii să fie coerente.</w:t>
      </w:r>
    </w:p>
    <w:p w14:paraId="3A584312" w14:textId="77777777" w:rsidR="00CD3152" w:rsidRDefault="00CD3152" w:rsidP="00CD3152">
      <w:pPr>
        <w:ind w:firstLine="708"/>
        <w:jc w:val="both"/>
      </w:pPr>
      <w:r w:rsidRPr="006E0160">
        <w:t xml:space="preserve">Pentru ca intervențiile din cadrul campaniilor de prevenire a consumului de tutun în rândul adolescenților să fie eficiente și sustenabile, este esențial ca acestea să fie completate de un set coerent </w:t>
      </w:r>
      <w:r w:rsidRPr="006E0160">
        <w:lastRenderedPageBreak/>
        <w:t>și bine fundamentat de măsuri legislative, educaționale și sociale. Aceste măsuri trebuie să aibă ca obiectiv atât limitarea accesului și atractivității produselor din tutun și nicotină, cât și creșterea nivelului de conștientizare în rândul populației tinere cu privire la riscurile reale asociate consumului acestor produse, indiferent de forma sub care sunt prezentate (tradiționale, electronice sau încălzite).</w:t>
      </w:r>
    </w:p>
    <w:p w14:paraId="6711EF37" w14:textId="77777777" w:rsidR="00CD3152" w:rsidRDefault="00CD3152" w:rsidP="00CD3152">
      <w:pPr>
        <w:ind w:firstLine="708"/>
        <w:jc w:val="both"/>
      </w:pPr>
      <w:r>
        <w:t>Țigările electronice creează dependență și ar trebui depuse eforturi pentru a reduce disponibilitatea lor pentru tineri prin interzicerea reclamelor, a promoțiilor și a aromelor și prin reglementarea altor elemente și componente care cresc toxicitatea, atractivitatea și dependența țigărilor electronice pentru tineri.</w:t>
      </w:r>
    </w:p>
    <w:p w14:paraId="3612FD7A" w14:textId="77777777" w:rsidR="00CD3152" w:rsidRPr="006E0160" w:rsidRDefault="00CD3152" w:rsidP="00CD3152">
      <w:pPr>
        <w:ind w:firstLine="708"/>
        <w:jc w:val="both"/>
      </w:pPr>
      <w:r w:rsidRPr="006E0160">
        <w:t xml:space="preserve">Un prim pilon esențial constă în </w:t>
      </w:r>
      <w:r w:rsidRPr="006E0160">
        <w:rPr>
          <w:b/>
          <w:bCs/>
        </w:rPr>
        <w:t>consolidarea cadrului legislativ</w:t>
      </w:r>
      <w:r w:rsidRPr="006E0160">
        <w:t xml:space="preserve"> privind vânzarea produselor din tutun. Este necesară menținerea și întărirea reglementărilor care interzic vânzarea acestor produse către minori, prin impunerea unor sancțiuni clare pentru comercianții care încalcă legea. În același timp, se impune verificarea implementării interzicerii comercializării de produse din tutun în proximitatea unităților de învățământ, pentru a reduce expunerea directă a elevilor la puncte de vânzare și pentru a elimina normalizarea accesului la aceste produse în spațiile frecventate de minori.</w:t>
      </w:r>
    </w:p>
    <w:p w14:paraId="11930BC3" w14:textId="77777777" w:rsidR="00CD3152" w:rsidRPr="006E0160" w:rsidRDefault="00CD3152" w:rsidP="00CD3152">
      <w:pPr>
        <w:ind w:firstLine="708"/>
        <w:jc w:val="both"/>
      </w:pPr>
      <w:r w:rsidRPr="006E0160">
        <w:t xml:space="preserve">De asemenea, o măsură benefică implementată deja în unele țări, este reglementarea comercializării țigaretelor electronice și a produselor din tutun încălzit, prin impunerea unor restricții similare celor aplicate tutunului convențional: </w:t>
      </w:r>
      <w:r w:rsidRPr="006E0160">
        <w:rPr>
          <w:b/>
          <w:bCs/>
        </w:rPr>
        <w:t>limitarea vânzării în funcție de vârstă și interzicerea promovării agresive a acestora în spații accesibile minorilor</w:t>
      </w:r>
      <w:r w:rsidRPr="006E0160">
        <w:t>.</w:t>
      </w:r>
    </w:p>
    <w:p w14:paraId="5136F488" w14:textId="77777777" w:rsidR="00CD3152" w:rsidRPr="006E0160" w:rsidRDefault="00CD3152" w:rsidP="00CD3152">
      <w:pPr>
        <w:ind w:firstLine="708"/>
        <w:jc w:val="both"/>
      </w:pPr>
      <w:r w:rsidRPr="006E0160">
        <w:t xml:space="preserve">Un alt element esențial îl reprezintă </w:t>
      </w:r>
      <w:r w:rsidRPr="006E0160">
        <w:rPr>
          <w:b/>
          <w:bCs/>
        </w:rPr>
        <w:t>diminuarea atractivității produselor destinate consumului de tutun</w:t>
      </w:r>
      <w:r w:rsidRPr="006E0160">
        <w:t>, mai ales în formele lor moderne (vape-uri, produse încălzite, țigări electronice cu arome). În acest sens, este de evaluat restricționarea utilizării aromelor atractive, precum cele de fructe, mentol sau asemănătoare dulciurilor, special concepute pentru a atrage adolescenții și care  joacă un rol semnificativ în inițierea consumului în rândul tinerilor.</w:t>
      </w:r>
    </w:p>
    <w:p w14:paraId="444FE431" w14:textId="77777777" w:rsidR="00CD3152" w:rsidRPr="006E0160" w:rsidRDefault="00CD3152" w:rsidP="00CD3152">
      <w:pPr>
        <w:ind w:firstLine="708"/>
        <w:jc w:val="both"/>
      </w:pPr>
      <w:r w:rsidRPr="006E0160">
        <w:t xml:space="preserve">Totodată, este necesară consolidarea utilizării </w:t>
      </w:r>
      <w:r w:rsidRPr="006E0160">
        <w:rPr>
          <w:b/>
          <w:bCs/>
        </w:rPr>
        <w:t>ambalajului neutru, fără elemente grafice atractive, însoțit de avertismente vizuale de impact</w:t>
      </w:r>
      <w:r w:rsidRPr="006E0160">
        <w:t>, care să informeze în mod direct și nedistorsionat asupra riscurilor de sănătate asociate fiecărui tip de produs.</w:t>
      </w:r>
    </w:p>
    <w:p w14:paraId="47F1FD06" w14:textId="77777777" w:rsidR="00CD3152" w:rsidRPr="006E0160" w:rsidRDefault="00CD3152" w:rsidP="00CD3152">
      <w:pPr>
        <w:ind w:firstLine="708"/>
        <w:jc w:val="both"/>
      </w:pPr>
      <w:r w:rsidRPr="006E0160">
        <w:t xml:space="preserve">Campania IEC trebuie să includă </w:t>
      </w:r>
      <w:r w:rsidRPr="006E0160">
        <w:rPr>
          <w:b/>
          <w:bCs/>
        </w:rPr>
        <w:t>mesaje clare și adaptate vârstei</w:t>
      </w:r>
      <w:r w:rsidRPr="006E0160">
        <w:t xml:space="preserve"> despre pericolele asociate consumului de produse cu nicotină, în special în formele percepute ca „mai sigure” (vape-uri, produse din tutun încălzit). Este esențial ca tinerii să înțeleagă că, deși aceste produse pot fi comercializate ca alternative la fumatul tradițional, ele nu sunt lipsite de riscuri și pot duce la dependență nicotinică, tulburări respiratorii, afectarea dezvoltării cognitive și expunere la substanțe toxice. Integrarea acestor teme în curricula școlară, prin programe de educație pentru sănătate livrate de profesori instruiți și, acolo unde este posibil, cu sprijinul personalului medical, ar aduce un real beneficiu. Activitățile educative din cadrul campaniei trebuie să promoveze modele pozitive de comportament, să încurajeze gândirea critică și să ofere tinerilor instrumente concrete pentru a rezista presiunilor de grup sau strategiilor de marketing agresiv.</w:t>
      </w:r>
    </w:p>
    <w:p w14:paraId="2984A520" w14:textId="77777777" w:rsidR="00CD3152" w:rsidRPr="006E0160" w:rsidRDefault="00CD3152" w:rsidP="00CD3152">
      <w:pPr>
        <w:ind w:firstLine="708"/>
        <w:jc w:val="both"/>
      </w:pPr>
      <w:r w:rsidRPr="006E0160">
        <w:t xml:space="preserve">Succesul acestor măsuri depinde însă și de </w:t>
      </w:r>
      <w:r w:rsidRPr="006E0160">
        <w:rPr>
          <w:b/>
          <w:bCs/>
        </w:rPr>
        <w:t>implicarea activă a părinților, cadrelor didactice, profesioniștilor din sănătate publică și autorităților locale</w:t>
      </w:r>
      <w:r w:rsidRPr="006E0160">
        <w:t xml:space="preserve">, care pot acționa ca vectori de influență și susținere a comportamentelor sănătoase. </w:t>
      </w:r>
    </w:p>
    <w:p w14:paraId="60BF7D36" w14:textId="66AC4D6F" w:rsidR="00CD3152" w:rsidRPr="006E0160" w:rsidRDefault="00CD3152" w:rsidP="00CD3152">
      <w:pPr>
        <w:ind w:firstLine="708"/>
        <w:jc w:val="both"/>
      </w:pPr>
      <w:r w:rsidRPr="006E0160">
        <w:lastRenderedPageBreak/>
        <w:t>Astfel, Campania IEC 202</w:t>
      </w:r>
      <w:r w:rsidR="00FD7DCE">
        <w:t>6</w:t>
      </w:r>
      <w:r w:rsidRPr="006E0160">
        <w:t xml:space="preserve"> trebuie șă vizeze instruirea acestor grupuri în ceea ce privește identificarea timpurie a riscurilor, oferirea de sprijin psihologic și susținerea adolescenților în deciziile lor de a nu începe să consume produse din tutun sau de a renunța la acest comportament nesanogen.</w:t>
      </w:r>
    </w:p>
    <w:p w14:paraId="2D33707D" w14:textId="77777777" w:rsidR="00CD3152" w:rsidRDefault="00CD3152" w:rsidP="00CD3152">
      <w:pPr>
        <w:ind w:firstLine="708"/>
        <w:jc w:val="both"/>
      </w:pPr>
      <w:r w:rsidRPr="006E0160">
        <w:t>Abordarea combinată prin reglementări stricte, educație constantă și reducerea atractivității produselor din tutun poate crea un mediu social, legislativ și educațional favorabil prevenirii inițierii consumului de tutun și consolidării unei generații de tineri informată, autonomă și orientată spre un stil de viață sănătos.</w:t>
      </w:r>
    </w:p>
    <w:p w14:paraId="296F2628" w14:textId="77777777" w:rsidR="00CD3152" w:rsidRDefault="00CD3152" w:rsidP="00CD3152">
      <w:pPr>
        <w:ind w:firstLine="708"/>
        <w:jc w:val="both"/>
      </w:pPr>
    </w:p>
    <w:p w14:paraId="6FF557A1" w14:textId="77777777" w:rsidR="00335B15" w:rsidRPr="006E0160" w:rsidRDefault="00335B15" w:rsidP="00CD3152">
      <w:pPr>
        <w:ind w:firstLine="708"/>
        <w:jc w:val="both"/>
      </w:pPr>
    </w:p>
    <w:p w14:paraId="28178F98" w14:textId="77777777" w:rsidR="00CD3152" w:rsidRPr="006E0160" w:rsidRDefault="00CD3152" w:rsidP="00CD3152">
      <w:pPr>
        <w:pStyle w:val="Heading1"/>
        <w:tabs>
          <w:tab w:val="clear" w:pos="142"/>
        </w:tabs>
        <w:spacing w:line="240" w:lineRule="auto"/>
      </w:pPr>
      <w:bookmarkStart w:id="137" w:name="_Toc232660586"/>
      <w:r w:rsidRPr="006E0160">
        <w:t>Bibliografie</w:t>
      </w:r>
      <w:bookmarkEnd w:id="137"/>
    </w:p>
    <w:p w14:paraId="2D92EFF9" w14:textId="088EB724" w:rsidR="008A4220" w:rsidRPr="008A4220" w:rsidRDefault="00CD3152" w:rsidP="008A4220">
      <w:pPr>
        <w:pStyle w:val="EndNoteBibliography"/>
        <w:ind w:left="720" w:hanging="720"/>
      </w:pPr>
      <w:r w:rsidRPr="006E0160">
        <w:fldChar w:fldCharType="begin"/>
      </w:r>
      <w:r w:rsidRPr="006E0160">
        <w:instrText xml:space="preserve"> ADDIN EN.REFLIST </w:instrText>
      </w:r>
      <w:r w:rsidRPr="006E0160">
        <w:fldChar w:fldCharType="separate"/>
      </w:r>
      <w:r w:rsidR="008A4220" w:rsidRPr="008A4220">
        <w:t>1.</w:t>
      </w:r>
      <w:r w:rsidR="008A4220" w:rsidRPr="008A4220">
        <w:tab/>
        <w:t xml:space="preserve">WHO. Regional Office for Europe - Status of tobacco use in the Region. Available online: </w:t>
      </w:r>
      <w:hyperlink r:id="rId110" w:history="1">
        <w:r w:rsidR="008A4220" w:rsidRPr="008A4220">
          <w:rPr>
            <w:rStyle w:val="Hyperlink"/>
          </w:rPr>
          <w:t>https://www.who.int/europe/news-room/fact-sheets/item/tobacco</w:t>
        </w:r>
      </w:hyperlink>
      <w:r w:rsidR="008A4220" w:rsidRPr="008A4220">
        <w:t xml:space="preserve"> (accessed on 28th July).</w:t>
      </w:r>
    </w:p>
    <w:p w14:paraId="5C1C0F72" w14:textId="77777777" w:rsidR="008A4220" w:rsidRPr="008A4220" w:rsidRDefault="008A4220" w:rsidP="008A4220">
      <w:pPr>
        <w:pStyle w:val="EndNoteBibliography"/>
        <w:ind w:left="720" w:hanging="720"/>
      </w:pPr>
      <w:r w:rsidRPr="008A4220">
        <w:t>2.</w:t>
      </w:r>
      <w:r w:rsidRPr="008A4220">
        <w:tab/>
        <w:t xml:space="preserve">Perez-Cornago, A., Sarasa-Renedo, A., Jarach, C., Wollgast, J., Maragkoudakis, P. . Health outcomes associated with the use of e-cigarettes, heated tobacco products, and nicotine pouches. </w:t>
      </w:r>
      <w:r w:rsidRPr="008A4220">
        <w:rPr>
          <w:i/>
        </w:rPr>
        <w:t xml:space="preserve">Publications Office of the European Union, Luxembourg, 2026 </w:t>
      </w:r>
      <w:r w:rsidRPr="008A4220">
        <w:rPr>
          <w:b/>
        </w:rPr>
        <w:t>2026</w:t>
      </w:r>
      <w:r w:rsidRPr="008A4220">
        <w:t>, doi:10.2760/0061469.</w:t>
      </w:r>
    </w:p>
    <w:p w14:paraId="0ED1E724" w14:textId="77777777" w:rsidR="008A4220" w:rsidRPr="008A4220" w:rsidRDefault="008A4220" w:rsidP="008A4220">
      <w:pPr>
        <w:pStyle w:val="EndNoteBibliography"/>
        <w:ind w:left="720" w:hanging="720"/>
      </w:pPr>
      <w:r w:rsidRPr="008A4220">
        <w:t>3.</w:t>
      </w:r>
      <w:r w:rsidRPr="008A4220">
        <w:tab/>
        <w:t xml:space="preserve">INS. </w:t>
      </w:r>
      <w:r w:rsidRPr="008A4220">
        <w:rPr>
          <w:i/>
        </w:rPr>
        <w:t>Starea de sănătate a populației din România -2019</w:t>
      </w:r>
      <w:r w:rsidRPr="008A4220">
        <w:t>; 2021.</w:t>
      </w:r>
    </w:p>
    <w:p w14:paraId="15F1357D" w14:textId="77777777" w:rsidR="008A4220" w:rsidRPr="008A4220" w:rsidRDefault="008A4220" w:rsidP="008A4220">
      <w:pPr>
        <w:pStyle w:val="EndNoteBibliography"/>
        <w:ind w:left="720" w:hanging="720"/>
      </w:pPr>
      <w:r w:rsidRPr="008A4220">
        <w:t>4.</w:t>
      </w:r>
      <w:r w:rsidRPr="008A4220">
        <w:tab/>
        <w:t xml:space="preserve">OECD. </w:t>
      </w:r>
      <w:r w:rsidRPr="008A4220">
        <w:rPr>
          <w:i/>
        </w:rPr>
        <w:t>European Cancer Inequalities Registry - Profil de țară privind cancerul, 2025</w:t>
      </w:r>
      <w:r w:rsidRPr="008A4220">
        <w:t>; online, 2025.</w:t>
      </w:r>
    </w:p>
    <w:p w14:paraId="7DC41758" w14:textId="77777777" w:rsidR="008A4220" w:rsidRPr="008A4220" w:rsidRDefault="008A4220" w:rsidP="008A4220">
      <w:pPr>
        <w:pStyle w:val="EndNoteBibliography"/>
        <w:ind w:left="720" w:hanging="720"/>
      </w:pPr>
      <w:r w:rsidRPr="008A4220">
        <w:t>5.</w:t>
      </w:r>
      <w:r w:rsidRPr="008A4220">
        <w:tab/>
        <w:t xml:space="preserve">WHO. </w:t>
      </w:r>
      <w:r w:rsidRPr="008A4220">
        <w:rPr>
          <w:i/>
        </w:rPr>
        <w:t>WHO global report on trends in prevalence of tobacco use 2000–2030</w:t>
      </w:r>
      <w:r w:rsidRPr="008A4220">
        <w:t>; Geneva, 2024.</w:t>
      </w:r>
    </w:p>
    <w:p w14:paraId="719EE0D3" w14:textId="77777777" w:rsidR="008A4220" w:rsidRPr="008A4220" w:rsidRDefault="008A4220" w:rsidP="008A4220">
      <w:pPr>
        <w:pStyle w:val="EndNoteBibliography"/>
        <w:ind w:left="720" w:hanging="720"/>
      </w:pPr>
      <w:r w:rsidRPr="008A4220">
        <w:t>6.</w:t>
      </w:r>
      <w:r w:rsidRPr="008A4220">
        <w:tab/>
        <w:t xml:space="preserve">OECD. </w:t>
      </w:r>
      <w:r w:rsidRPr="008A4220">
        <w:rPr>
          <w:i/>
        </w:rPr>
        <w:t>Health at a Glance 2025: OECD Indicators</w:t>
      </w:r>
      <w:r w:rsidRPr="008A4220">
        <w:t>; 2025.</w:t>
      </w:r>
    </w:p>
    <w:p w14:paraId="38DE4CE6" w14:textId="77777777" w:rsidR="008A4220" w:rsidRPr="008A4220" w:rsidRDefault="008A4220" w:rsidP="008A4220">
      <w:pPr>
        <w:pStyle w:val="EndNoteBibliography"/>
        <w:ind w:left="720" w:hanging="720"/>
      </w:pPr>
      <w:r w:rsidRPr="008A4220">
        <w:t>7.</w:t>
      </w:r>
      <w:r w:rsidRPr="008A4220">
        <w:tab/>
        <w:t xml:space="preserve">OECD. </w:t>
      </w:r>
      <w:r w:rsidRPr="008A4220">
        <w:rPr>
          <w:i/>
        </w:rPr>
        <w:t>Health at a Glance: Europe 2024: State of Health in the EU Cycle</w:t>
      </w:r>
      <w:r w:rsidRPr="008A4220">
        <w:t>; Paris, 2024.</w:t>
      </w:r>
    </w:p>
    <w:p w14:paraId="7AB00515" w14:textId="77777777" w:rsidR="008A4220" w:rsidRPr="008A4220" w:rsidRDefault="008A4220" w:rsidP="008A4220">
      <w:pPr>
        <w:pStyle w:val="EndNoteBibliography"/>
        <w:ind w:left="720" w:hanging="720"/>
      </w:pPr>
      <w:r w:rsidRPr="008A4220">
        <w:t>8.</w:t>
      </w:r>
      <w:r w:rsidRPr="008A4220">
        <w:tab/>
        <w:t xml:space="preserve">EC. </w:t>
      </w:r>
      <w:r w:rsidRPr="008A4220">
        <w:rPr>
          <w:i/>
        </w:rPr>
        <w:t>Special Eurobarometer SP539: Attitudes of Europeans towards tobacco and related products</w:t>
      </w:r>
      <w:r w:rsidRPr="008A4220">
        <w:t>; internet, 2024.</w:t>
      </w:r>
    </w:p>
    <w:p w14:paraId="68AA78A4" w14:textId="77777777" w:rsidR="008A4220" w:rsidRPr="008A4220" w:rsidRDefault="008A4220" w:rsidP="008A4220">
      <w:pPr>
        <w:pStyle w:val="EndNoteBibliography"/>
        <w:ind w:left="720" w:hanging="720"/>
      </w:pPr>
      <w:r w:rsidRPr="008A4220">
        <w:t>9.</w:t>
      </w:r>
      <w:r w:rsidRPr="008A4220">
        <w:tab/>
        <w:t xml:space="preserve">EUROBAROMETER. </w:t>
      </w:r>
      <w:r w:rsidRPr="008A4220">
        <w:rPr>
          <w:i/>
        </w:rPr>
        <w:t xml:space="preserve">Special Eurobarometer 539 -Attitudes of Europeans towards tobacco and related products </w:t>
      </w:r>
      <w:r w:rsidRPr="008A4220">
        <w:t>European Union online, 2023.</w:t>
      </w:r>
    </w:p>
    <w:p w14:paraId="18E9E44B" w14:textId="1E1D72F7" w:rsidR="008A4220" w:rsidRPr="008A4220" w:rsidRDefault="008A4220" w:rsidP="008A4220">
      <w:pPr>
        <w:pStyle w:val="EndNoteBibliography"/>
        <w:ind w:left="720" w:hanging="720"/>
      </w:pPr>
      <w:r w:rsidRPr="008A4220">
        <w:t>10.</w:t>
      </w:r>
      <w:r w:rsidRPr="008A4220">
        <w:tab/>
        <w:t xml:space="preserve">HBSC. Health Behaviour in School-aged Children study (2023), Data browser (findings from the 2021/22 international HBSC survey). Available online: </w:t>
      </w:r>
      <w:hyperlink r:id="rId111" w:history="1">
        <w:r w:rsidRPr="008A4220">
          <w:rPr>
            <w:rStyle w:val="Hyperlink"/>
          </w:rPr>
          <w:t>https://data-browser.hbsc.org</w:t>
        </w:r>
      </w:hyperlink>
      <w:r w:rsidRPr="008A4220">
        <w:t>. (accessed on september).</w:t>
      </w:r>
    </w:p>
    <w:p w14:paraId="3DCA15FC" w14:textId="77777777" w:rsidR="008A4220" w:rsidRPr="008A4220" w:rsidRDefault="008A4220" w:rsidP="008A4220">
      <w:pPr>
        <w:pStyle w:val="EndNoteBibliography"/>
        <w:ind w:left="720" w:hanging="720"/>
      </w:pPr>
      <w:r w:rsidRPr="008A4220">
        <w:t>11.</w:t>
      </w:r>
      <w:r w:rsidRPr="008A4220">
        <w:tab/>
        <w:t xml:space="preserve">Charrier L; van Dorsselaer S; Canale N, B.T.; Kilibarda B; RI, C. </w:t>
      </w:r>
      <w:r w:rsidRPr="008A4220">
        <w:rPr>
          <w:i/>
        </w:rPr>
        <w:t>A focus on adolescent substance use in Europe, central Asia and Canada. Health Behaviour in School-aged Children international report from the 2021/2022 survey.</w:t>
      </w:r>
      <w:r w:rsidRPr="008A4220">
        <w:t>; Copenhagen, 2024.</w:t>
      </w:r>
    </w:p>
    <w:p w14:paraId="5F6E33D8" w14:textId="77777777" w:rsidR="008A4220" w:rsidRPr="008A4220" w:rsidRDefault="008A4220" w:rsidP="008A4220">
      <w:pPr>
        <w:pStyle w:val="EndNoteBibliography"/>
        <w:ind w:left="720" w:hanging="720"/>
      </w:pPr>
      <w:r w:rsidRPr="008A4220">
        <w:t>12.</w:t>
      </w:r>
      <w:r w:rsidRPr="008A4220">
        <w:tab/>
        <w:t xml:space="preserve">ESPAD. </w:t>
      </w:r>
      <w:r w:rsidRPr="008A4220">
        <w:rPr>
          <w:i/>
        </w:rPr>
        <w:t>Key findings from the 2024 European School Survey Project on Alcohol and Other Drugs (ESPAD)</w:t>
      </w:r>
      <w:r w:rsidRPr="008A4220">
        <w:t>; online, 2025.</w:t>
      </w:r>
    </w:p>
    <w:p w14:paraId="07D7C1CE" w14:textId="77777777" w:rsidR="008A4220" w:rsidRPr="008A4220" w:rsidRDefault="008A4220" w:rsidP="008A4220">
      <w:pPr>
        <w:pStyle w:val="EndNoteBibliography"/>
        <w:ind w:left="720" w:hanging="720"/>
      </w:pPr>
      <w:r w:rsidRPr="008A4220">
        <w:t>13.</w:t>
      </w:r>
      <w:r w:rsidRPr="008A4220">
        <w:tab/>
        <w:t xml:space="preserve">ESPAD. ESPAD Data portal - Tobacco, 2024. </w:t>
      </w:r>
      <w:r w:rsidRPr="008A4220">
        <w:rPr>
          <w:b/>
        </w:rPr>
        <w:t>2025</w:t>
      </w:r>
      <w:r w:rsidRPr="008A4220">
        <w:t>.</w:t>
      </w:r>
    </w:p>
    <w:p w14:paraId="763E88A5" w14:textId="77777777" w:rsidR="008A4220" w:rsidRPr="008A4220" w:rsidRDefault="008A4220" w:rsidP="008A4220">
      <w:pPr>
        <w:pStyle w:val="EndNoteBibliography"/>
        <w:ind w:left="720" w:hanging="720"/>
      </w:pPr>
      <w:r w:rsidRPr="008A4220">
        <w:t>14.</w:t>
      </w:r>
      <w:r w:rsidRPr="008A4220">
        <w:tab/>
        <w:t xml:space="preserve">ESPAD. European School Survey Project on Alcohol and Other Drugs (ESPAD): 30 years. </w:t>
      </w:r>
      <w:r w:rsidRPr="008A4220">
        <w:rPr>
          <w:i/>
        </w:rPr>
        <w:t xml:space="preserve">New ESPAD survey results: Teen substance use down, but new risks emerging </w:t>
      </w:r>
      <w:r w:rsidRPr="008A4220">
        <w:rPr>
          <w:b/>
        </w:rPr>
        <w:t>2025</w:t>
      </w:r>
      <w:r w:rsidRPr="008A4220">
        <w:t>.</w:t>
      </w:r>
    </w:p>
    <w:p w14:paraId="0C5C4653" w14:textId="71A1D3EC" w:rsidR="008A4220" w:rsidRPr="008A4220" w:rsidRDefault="008A4220" w:rsidP="008A4220">
      <w:pPr>
        <w:pStyle w:val="EndNoteBibliography"/>
        <w:ind w:left="720" w:hanging="720"/>
      </w:pPr>
      <w:r w:rsidRPr="008A4220">
        <w:t>15.</w:t>
      </w:r>
      <w:r w:rsidRPr="008A4220">
        <w:tab/>
        <w:t xml:space="preserve">IHME. Global Burden of Disease Study 2023. Available online: </w:t>
      </w:r>
      <w:hyperlink r:id="rId112" w:history="1">
        <w:r w:rsidRPr="008A4220">
          <w:rPr>
            <w:rStyle w:val="Hyperlink"/>
          </w:rPr>
          <w:t>https://vizhub.healthdata.org/gbd-results/</w:t>
        </w:r>
      </w:hyperlink>
      <w:r w:rsidRPr="008A4220">
        <w:t xml:space="preserve"> (accessed on </w:t>
      </w:r>
    </w:p>
    <w:p w14:paraId="05D0E7A7" w14:textId="35A989D7" w:rsidR="008A4220" w:rsidRPr="008A4220" w:rsidRDefault="008A4220" w:rsidP="008A4220">
      <w:pPr>
        <w:pStyle w:val="EndNoteBibliography"/>
        <w:ind w:left="720" w:hanging="720"/>
      </w:pPr>
      <w:r w:rsidRPr="008A4220">
        <w:t>16.</w:t>
      </w:r>
      <w:r w:rsidRPr="008A4220">
        <w:tab/>
        <w:t xml:space="preserve">WHO. Regional Office for Europe - Effects of tobacco on health, Key facts. Available online: </w:t>
      </w:r>
      <w:hyperlink r:id="rId113" w:history="1">
        <w:r w:rsidRPr="008A4220">
          <w:rPr>
            <w:rStyle w:val="Hyperlink"/>
          </w:rPr>
          <w:t>https://www.who.int/europe/news-room/fact-sheets/item/effects-of-tobacco-on-health</w:t>
        </w:r>
      </w:hyperlink>
      <w:r w:rsidRPr="008A4220">
        <w:t xml:space="preserve"> (accessed on August 4th).</w:t>
      </w:r>
    </w:p>
    <w:p w14:paraId="7F3C62AC" w14:textId="48FD6E91" w:rsidR="008A4220" w:rsidRPr="008A4220" w:rsidRDefault="008A4220" w:rsidP="008A4220">
      <w:pPr>
        <w:pStyle w:val="EndNoteBibliography"/>
        <w:ind w:left="720" w:hanging="720"/>
      </w:pPr>
      <w:r w:rsidRPr="008A4220">
        <w:lastRenderedPageBreak/>
        <w:t>17.</w:t>
      </w:r>
      <w:r w:rsidRPr="008A4220">
        <w:tab/>
        <w:t xml:space="preserve">WHO. The tobacco body. Available online: </w:t>
      </w:r>
      <w:hyperlink r:id="rId114" w:history="1">
        <w:r w:rsidRPr="008A4220">
          <w:rPr>
            <w:rStyle w:val="Hyperlink"/>
          </w:rPr>
          <w:t>https://www.who.int/publications/i/item/WHO-NMH-PND-19.1</w:t>
        </w:r>
      </w:hyperlink>
      <w:r w:rsidRPr="008A4220">
        <w:t xml:space="preserve"> (accessed on 10th July).</w:t>
      </w:r>
    </w:p>
    <w:p w14:paraId="01658FC6" w14:textId="2F070C27" w:rsidR="008A4220" w:rsidRPr="008A4220" w:rsidRDefault="008A4220" w:rsidP="008A4220">
      <w:pPr>
        <w:pStyle w:val="EndNoteBibliography"/>
        <w:ind w:left="720" w:hanging="720"/>
      </w:pPr>
      <w:r w:rsidRPr="008A4220">
        <w:t>18.</w:t>
      </w:r>
      <w:r w:rsidRPr="008A4220">
        <w:tab/>
        <w:t xml:space="preserve">WHO. WHO warns that tobacco use is linked to child stunting. Available online: </w:t>
      </w:r>
      <w:hyperlink r:id="rId115" w:history="1">
        <w:r w:rsidRPr="008A4220">
          <w:rPr>
            <w:rStyle w:val="Hyperlink"/>
          </w:rPr>
          <w:t>https://www.who.int/news/item/09-09-2025-who-warns-that-tobacco-use-is-linked-to-child-stunting</w:t>
        </w:r>
      </w:hyperlink>
      <w:r w:rsidRPr="008A4220">
        <w:t xml:space="preserve"> (accessed on September 9).</w:t>
      </w:r>
    </w:p>
    <w:p w14:paraId="053390C1" w14:textId="77777777" w:rsidR="008A4220" w:rsidRPr="008A4220" w:rsidRDefault="008A4220" w:rsidP="008A4220">
      <w:pPr>
        <w:pStyle w:val="EndNoteBibliography"/>
        <w:ind w:left="720" w:hanging="720"/>
      </w:pPr>
      <w:r w:rsidRPr="008A4220">
        <w:t>19.</w:t>
      </w:r>
      <w:r w:rsidRPr="008A4220">
        <w:tab/>
        <w:t xml:space="preserve">WHO. </w:t>
      </w:r>
      <w:r w:rsidRPr="008A4220">
        <w:rPr>
          <w:i/>
        </w:rPr>
        <w:t>Tobacco and stunting</w:t>
      </w:r>
      <w:r w:rsidRPr="008A4220">
        <w:t>; WHO: Geneve, 2025.</w:t>
      </w:r>
    </w:p>
    <w:p w14:paraId="28855487" w14:textId="77777777" w:rsidR="008A4220" w:rsidRPr="008A4220" w:rsidRDefault="008A4220" w:rsidP="008A4220">
      <w:pPr>
        <w:pStyle w:val="EndNoteBibliography"/>
        <w:ind w:left="720" w:hanging="720"/>
      </w:pPr>
      <w:r w:rsidRPr="008A4220">
        <w:t>20.</w:t>
      </w:r>
      <w:r w:rsidRPr="008A4220">
        <w:tab/>
        <w:t xml:space="preserve">Flor, L.S.; Anderson, J.A.; Ahmad, N.; Aravkin, A.; Carr, S.; Dai, X.; Gil, G.F.; Hay, S.I.; Malloy, M.J.; McLaughlin, S.A.; et al. Health effects associated with exposure to secondhand smoke: a Burden of Proof study. </w:t>
      </w:r>
      <w:r w:rsidRPr="008A4220">
        <w:rPr>
          <w:i/>
        </w:rPr>
        <w:t xml:space="preserve">Nat Med </w:t>
      </w:r>
      <w:r w:rsidRPr="008A4220">
        <w:rPr>
          <w:b/>
        </w:rPr>
        <w:t>2024</w:t>
      </w:r>
      <w:r w:rsidRPr="008A4220">
        <w:t xml:space="preserve">, </w:t>
      </w:r>
      <w:r w:rsidRPr="008A4220">
        <w:rPr>
          <w:i/>
        </w:rPr>
        <w:t>30</w:t>
      </w:r>
      <w:r w:rsidRPr="008A4220">
        <w:t>, 149-167, doi:10.1038/s41591-023-02743-4.</w:t>
      </w:r>
    </w:p>
    <w:p w14:paraId="7804E3A1" w14:textId="77777777" w:rsidR="008A4220" w:rsidRPr="008A4220" w:rsidRDefault="008A4220" w:rsidP="008A4220">
      <w:pPr>
        <w:pStyle w:val="EndNoteBibliography"/>
        <w:ind w:left="720" w:hanging="720"/>
      </w:pPr>
      <w:r w:rsidRPr="008A4220">
        <w:t>21.</w:t>
      </w:r>
      <w:r w:rsidRPr="008A4220">
        <w:tab/>
        <w:t xml:space="preserve">INSP. </w:t>
      </w:r>
      <w:r w:rsidRPr="008A4220">
        <w:rPr>
          <w:i/>
        </w:rPr>
        <w:t>Proiect „Consolidarea rețelei naționale de furnizori de îngrijiri primare de sănătate pentru îmbunătățirea stării de sănătate a populației, copii și adulți (inclusiv populație vulnerabilă)” - Ghid de prevenție pentru medicul de familie - Intervenții preventive integrate adresate stilului de viață - Fumatul. Consumul de alcool</w:t>
      </w:r>
      <w:r w:rsidRPr="008A4220">
        <w:t>; București, 2023.</w:t>
      </w:r>
    </w:p>
    <w:p w14:paraId="2AC0A1DD" w14:textId="77777777" w:rsidR="008A4220" w:rsidRPr="008A4220" w:rsidRDefault="008A4220" w:rsidP="008A4220">
      <w:pPr>
        <w:pStyle w:val="EndNoteBibliography"/>
        <w:ind w:left="720" w:hanging="720"/>
      </w:pPr>
      <w:r w:rsidRPr="008A4220">
        <w:t>22.</w:t>
      </w:r>
      <w:r w:rsidRPr="008A4220">
        <w:tab/>
        <w:t xml:space="preserve">WHO. </w:t>
      </w:r>
      <w:r w:rsidRPr="008A4220">
        <w:rPr>
          <w:i/>
        </w:rPr>
        <w:t>Heated Tobacco Products - a brief</w:t>
      </w:r>
      <w:r w:rsidRPr="008A4220">
        <w:t>; 2020.</w:t>
      </w:r>
    </w:p>
    <w:p w14:paraId="3547EB4F" w14:textId="77777777" w:rsidR="008A4220" w:rsidRPr="008A4220" w:rsidRDefault="008A4220" w:rsidP="008A4220">
      <w:pPr>
        <w:pStyle w:val="EndNoteBibliography"/>
        <w:ind w:left="720" w:hanging="720"/>
      </w:pPr>
      <w:r w:rsidRPr="008A4220">
        <w:t>23.</w:t>
      </w:r>
      <w:r w:rsidRPr="008A4220">
        <w:tab/>
        <w:t xml:space="preserve">Bravo-Gutierrez, O.A.; Falfan-Valencia, R.; Ramirez-Venegas, A.; Sansores, R.H.; Ponciano-Rodriguez, G.; Perez-Rubio, G. Lung Damage Caused by Heated Tobacco Products and Electronic Nicotine Delivery Systems: A Systematic Review. </w:t>
      </w:r>
      <w:r w:rsidRPr="008A4220">
        <w:rPr>
          <w:i/>
        </w:rPr>
        <w:t xml:space="preserve">Int J Environ Res Public Health </w:t>
      </w:r>
      <w:r w:rsidRPr="008A4220">
        <w:rPr>
          <w:b/>
        </w:rPr>
        <w:t>2021</w:t>
      </w:r>
      <w:r w:rsidRPr="008A4220">
        <w:t xml:space="preserve">, </w:t>
      </w:r>
      <w:r w:rsidRPr="008A4220">
        <w:rPr>
          <w:i/>
        </w:rPr>
        <w:t>18</w:t>
      </w:r>
      <w:r w:rsidRPr="008A4220">
        <w:t>, doi:10.3390/ijerph18084079.</w:t>
      </w:r>
    </w:p>
    <w:p w14:paraId="5F7DBAD2" w14:textId="77777777" w:rsidR="008A4220" w:rsidRPr="008A4220" w:rsidRDefault="008A4220" w:rsidP="008A4220">
      <w:pPr>
        <w:pStyle w:val="EndNoteBibliography"/>
        <w:ind w:left="720" w:hanging="720"/>
      </w:pPr>
      <w:r w:rsidRPr="008A4220">
        <w:t>24.</w:t>
      </w:r>
      <w:r w:rsidRPr="008A4220">
        <w:tab/>
        <w:t xml:space="preserve">Znyk, M.; Jurewicz, J.; Kaleta, D. Exposure to Heated Tobacco Products and Adverse Health Effects, a Systematic Review. </w:t>
      </w:r>
      <w:r w:rsidRPr="008A4220">
        <w:rPr>
          <w:i/>
        </w:rPr>
        <w:t xml:space="preserve">Int J Environ Res Public Health </w:t>
      </w:r>
      <w:r w:rsidRPr="008A4220">
        <w:rPr>
          <w:b/>
        </w:rPr>
        <w:t>2021</w:t>
      </w:r>
      <w:r w:rsidRPr="008A4220">
        <w:t xml:space="preserve">, </w:t>
      </w:r>
      <w:r w:rsidRPr="008A4220">
        <w:rPr>
          <w:i/>
        </w:rPr>
        <w:t>18</w:t>
      </w:r>
      <w:r w:rsidRPr="008A4220">
        <w:t>, doi:10.3390/ijerph18126651.</w:t>
      </w:r>
    </w:p>
    <w:p w14:paraId="37F85BA3" w14:textId="77777777" w:rsidR="008A4220" w:rsidRPr="008A4220" w:rsidRDefault="008A4220" w:rsidP="008A4220">
      <w:pPr>
        <w:pStyle w:val="EndNoteBibliography"/>
        <w:ind w:left="720" w:hanging="720"/>
      </w:pPr>
      <w:r w:rsidRPr="008A4220">
        <w:t>25.</w:t>
      </w:r>
      <w:r w:rsidRPr="008A4220">
        <w:tab/>
        <w:t xml:space="preserve">WHO. </w:t>
      </w:r>
      <w:r w:rsidRPr="008A4220">
        <w:rPr>
          <w:i/>
        </w:rPr>
        <w:t>Heated tobacco products: summary of research and evidence of health impacts</w:t>
      </w:r>
      <w:r w:rsidRPr="008A4220">
        <w:t>; Geneva, 2023.</w:t>
      </w:r>
    </w:p>
    <w:p w14:paraId="2E4FF6EE" w14:textId="77777777" w:rsidR="008A4220" w:rsidRPr="008A4220" w:rsidRDefault="008A4220" w:rsidP="008A4220">
      <w:pPr>
        <w:pStyle w:val="EndNoteBibliography"/>
        <w:ind w:left="720" w:hanging="720"/>
      </w:pPr>
      <w:r w:rsidRPr="008A4220">
        <w:t>26.</w:t>
      </w:r>
      <w:r w:rsidRPr="008A4220">
        <w:tab/>
        <w:t xml:space="preserve">INSP. </w:t>
      </w:r>
      <w:r w:rsidRPr="008A4220">
        <w:rPr>
          <w:i/>
        </w:rPr>
        <w:t>EVIDENȚE DESPRE ȚIGARETA ELECTRONICĂ ȘI EFECTELE UTILIZĂRII ASUPRA SĂNĂTĂȚII</w:t>
      </w:r>
      <w:r w:rsidRPr="008A4220">
        <w:t>; București, 2019.</w:t>
      </w:r>
    </w:p>
    <w:p w14:paraId="518DDB65" w14:textId="77777777" w:rsidR="008A4220" w:rsidRPr="008A4220" w:rsidRDefault="008A4220" w:rsidP="008A4220">
      <w:pPr>
        <w:pStyle w:val="EndNoteBibliography"/>
        <w:ind w:left="720" w:hanging="720"/>
      </w:pPr>
      <w:r w:rsidRPr="008A4220">
        <w:t>27.</w:t>
      </w:r>
      <w:r w:rsidRPr="008A4220">
        <w:tab/>
        <w:t xml:space="preserve">ESC. European Society of Cardiology: Vaping must be included in the next EU smoking ban. </w:t>
      </w:r>
      <w:r w:rsidRPr="008A4220">
        <w:rPr>
          <w:i/>
        </w:rPr>
        <w:t xml:space="preserve">The ESC supports the Council Recommendations on smoke - and aerosol-free environments </w:t>
      </w:r>
      <w:r w:rsidRPr="008A4220">
        <w:rPr>
          <w:b/>
        </w:rPr>
        <w:t>2024</w:t>
      </w:r>
      <w:r w:rsidRPr="008A4220">
        <w:t>.</w:t>
      </w:r>
    </w:p>
    <w:p w14:paraId="10096902" w14:textId="77777777" w:rsidR="008A4220" w:rsidRPr="008A4220" w:rsidRDefault="008A4220" w:rsidP="008A4220">
      <w:pPr>
        <w:pStyle w:val="EndNoteBibliography"/>
        <w:ind w:left="720" w:hanging="720"/>
      </w:pPr>
      <w:r w:rsidRPr="008A4220">
        <w:t>28.</w:t>
      </w:r>
      <w:r w:rsidRPr="008A4220">
        <w:tab/>
        <w:t xml:space="preserve">Kundu, A.; Feore, A.; Sanchez, S.; Abu-Zarour, N.; Sutton, M.; Sachdeva, K.; Seth, S.; Schwartz, R.; Chaiton, M. Cardiovascular health effects of vaping e-cigarettes: a systematic review and meta-analysis. </w:t>
      </w:r>
      <w:r w:rsidRPr="008A4220">
        <w:rPr>
          <w:i/>
        </w:rPr>
        <w:t xml:space="preserve">Heart </w:t>
      </w:r>
      <w:r w:rsidRPr="008A4220">
        <w:rPr>
          <w:b/>
        </w:rPr>
        <w:t>2025</w:t>
      </w:r>
      <w:r w:rsidRPr="008A4220">
        <w:t xml:space="preserve">, </w:t>
      </w:r>
      <w:r w:rsidRPr="008A4220">
        <w:rPr>
          <w:i/>
        </w:rPr>
        <w:t>111</w:t>
      </w:r>
      <w:r w:rsidRPr="008A4220">
        <w:t>, 599-608, doi:10.1136/heartjnl-2024-325030.</w:t>
      </w:r>
    </w:p>
    <w:p w14:paraId="2F0AC163" w14:textId="77777777" w:rsidR="008A4220" w:rsidRPr="008A4220" w:rsidRDefault="008A4220" w:rsidP="008A4220">
      <w:pPr>
        <w:pStyle w:val="EndNoteBibliography"/>
        <w:ind w:left="720" w:hanging="720"/>
      </w:pPr>
      <w:r w:rsidRPr="008A4220">
        <w:t>29.</w:t>
      </w:r>
      <w:r w:rsidRPr="008A4220">
        <w:tab/>
        <w:t xml:space="preserve">Wiens, T.; Taylor, J.; Cole, C.; Saravia, S.; Peterson, J.; Lunda, M.; Margetta, J.; D'Heilly, P.; Holzbauer, S.; Lynfield, R. Lessons Learned From the E-cigarette, or Vaping, Product Use-Associated Lung Injury (EVALI) Outbreak Response, Minnesota, 2019-2020. </w:t>
      </w:r>
      <w:r w:rsidRPr="008A4220">
        <w:rPr>
          <w:i/>
        </w:rPr>
        <w:t xml:space="preserve">Public Health Rep </w:t>
      </w:r>
      <w:r w:rsidRPr="008A4220">
        <w:rPr>
          <w:b/>
        </w:rPr>
        <w:t>2022</w:t>
      </w:r>
      <w:r w:rsidRPr="008A4220">
        <w:t xml:space="preserve">, </w:t>
      </w:r>
      <w:r w:rsidRPr="008A4220">
        <w:rPr>
          <w:i/>
        </w:rPr>
        <w:t>137</w:t>
      </w:r>
      <w:r w:rsidRPr="008A4220">
        <w:t>, 1053-1060, doi:10.1177/00333549211051394.</w:t>
      </w:r>
    </w:p>
    <w:p w14:paraId="682500EC" w14:textId="77777777" w:rsidR="008A4220" w:rsidRPr="008A4220" w:rsidRDefault="008A4220" w:rsidP="008A4220">
      <w:pPr>
        <w:pStyle w:val="EndNoteBibliography"/>
        <w:ind w:left="720" w:hanging="720"/>
      </w:pPr>
      <w:r w:rsidRPr="008A4220">
        <w:t>30.</w:t>
      </w:r>
      <w:r w:rsidRPr="008A4220">
        <w:tab/>
        <w:t xml:space="preserve">Sahu, R.; Shah, K.; Malviya, R.; Paliwal, D.; Sagar, S.; Singh, S.; Prajapati, B.G.; Bhattacharya, S. E-Cigarettes and Associated Health Risks: An Update on Cancer Potential. </w:t>
      </w:r>
      <w:r w:rsidRPr="008A4220">
        <w:rPr>
          <w:i/>
        </w:rPr>
        <w:t xml:space="preserve">Adv Respir Med </w:t>
      </w:r>
      <w:r w:rsidRPr="008A4220">
        <w:rPr>
          <w:b/>
        </w:rPr>
        <w:t>2023</w:t>
      </w:r>
      <w:r w:rsidRPr="008A4220">
        <w:t xml:space="preserve">, </w:t>
      </w:r>
      <w:r w:rsidRPr="008A4220">
        <w:rPr>
          <w:i/>
        </w:rPr>
        <w:t>91</w:t>
      </w:r>
      <w:r w:rsidRPr="008A4220">
        <w:t>, 516-531, doi:10.3390/arm91060038.</w:t>
      </w:r>
    </w:p>
    <w:p w14:paraId="20E464B8" w14:textId="77777777" w:rsidR="008A4220" w:rsidRPr="008A4220" w:rsidRDefault="008A4220" w:rsidP="008A4220">
      <w:pPr>
        <w:pStyle w:val="EndNoteBibliography"/>
        <w:ind w:left="720" w:hanging="720"/>
      </w:pPr>
      <w:r w:rsidRPr="008A4220">
        <w:t>31.</w:t>
      </w:r>
      <w:r w:rsidRPr="008A4220">
        <w:tab/>
        <w:t xml:space="preserve">Li, X.; Yuan, L.; Wang, F. Health outcomes of electronic cigarettes. </w:t>
      </w:r>
      <w:r w:rsidRPr="008A4220">
        <w:rPr>
          <w:i/>
        </w:rPr>
        <w:t xml:space="preserve">Chin Med J (Engl) </w:t>
      </w:r>
      <w:r w:rsidRPr="008A4220">
        <w:rPr>
          <w:b/>
        </w:rPr>
        <w:t>2024</w:t>
      </w:r>
      <w:r w:rsidRPr="008A4220">
        <w:t xml:space="preserve">, </w:t>
      </w:r>
      <w:r w:rsidRPr="008A4220">
        <w:rPr>
          <w:i/>
        </w:rPr>
        <w:t>137</w:t>
      </w:r>
      <w:r w:rsidRPr="008A4220">
        <w:t>, 1903-1911, doi:10.1097/CM9.0000000000003098.</w:t>
      </w:r>
    </w:p>
    <w:p w14:paraId="030B0D85" w14:textId="77777777" w:rsidR="008A4220" w:rsidRPr="008A4220" w:rsidRDefault="008A4220" w:rsidP="008A4220">
      <w:pPr>
        <w:pStyle w:val="EndNoteBibliography"/>
        <w:ind w:left="720" w:hanging="720"/>
      </w:pPr>
      <w:r w:rsidRPr="008A4220">
        <w:t>32.</w:t>
      </w:r>
      <w:r w:rsidRPr="008A4220">
        <w:tab/>
        <w:t xml:space="preserve">SCENIHR. Final Opinion on Additives used in tobacco products (Opinion 1) - Tobacco Additives I </w:t>
      </w:r>
      <w:r w:rsidRPr="008A4220">
        <w:rPr>
          <w:b/>
        </w:rPr>
        <w:t>2016</w:t>
      </w:r>
      <w:r w:rsidRPr="008A4220">
        <w:t>.</w:t>
      </w:r>
    </w:p>
    <w:p w14:paraId="0FD29129" w14:textId="77777777" w:rsidR="008A4220" w:rsidRPr="008A4220" w:rsidRDefault="008A4220" w:rsidP="008A4220">
      <w:pPr>
        <w:pStyle w:val="EndNoteBibliography"/>
        <w:ind w:left="720" w:hanging="720"/>
      </w:pPr>
      <w:r w:rsidRPr="008A4220">
        <w:t>33.</w:t>
      </w:r>
      <w:r w:rsidRPr="008A4220">
        <w:tab/>
        <w:t xml:space="preserve">WHO. The Tobacco Atlas: Challenge - Health Effects. </w:t>
      </w:r>
      <w:r w:rsidRPr="008A4220">
        <w:rPr>
          <w:b/>
        </w:rPr>
        <w:t>2024</w:t>
      </w:r>
      <w:r w:rsidRPr="008A4220">
        <w:t>.</w:t>
      </w:r>
    </w:p>
    <w:p w14:paraId="202DF436" w14:textId="77777777" w:rsidR="008A4220" w:rsidRPr="008A4220" w:rsidRDefault="008A4220" w:rsidP="008A4220">
      <w:pPr>
        <w:pStyle w:val="EndNoteBibliography"/>
        <w:ind w:left="720" w:hanging="720"/>
      </w:pPr>
      <w:r w:rsidRPr="008A4220">
        <w:t>34.</w:t>
      </w:r>
      <w:r w:rsidRPr="008A4220">
        <w:tab/>
        <w:t xml:space="preserve">Salari, P., Maragkoudakis, P.-A., Wollgast, J. The health-related costs attributable to tobacco in the EU. </w:t>
      </w:r>
      <w:r w:rsidRPr="008A4220">
        <w:rPr>
          <w:i/>
        </w:rPr>
        <w:t xml:space="preserve">Publications Office of the European Union, Luxembourg, 2026, </w:t>
      </w:r>
      <w:r w:rsidRPr="008A4220">
        <w:rPr>
          <w:b/>
        </w:rPr>
        <w:t>2026</w:t>
      </w:r>
      <w:r w:rsidRPr="008A4220">
        <w:t>, doi:10.2760/5833286.</w:t>
      </w:r>
    </w:p>
    <w:p w14:paraId="3EEC9158" w14:textId="77777777" w:rsidR="008A4220" w:rsidRPr="008A4220" w:rsidRDefault="008A4220" w:rsidP="008A4220">
      <w:pPr>
        <w:pStyle w:val="EndNoteBibliography"/>
        <w:ind w:left="720" w:hanging="720"/>
      </w:pPr>
      <w:r w:rsidRPr="008A4220">
        <w:lastRenderedPageBreak/>
        <w:t>35.</w:t>
      </w:r>
      <w:r w:rsidRPr="008A4220">
        <w:tab/>
        <w:t xml:space="preserve">EC. Commission evaluation of the EU tobacco control framework highlights progress and emerging public health challenges. </w:t>
      </w:r>
      <w:r w:rsidRPr="008A4220">
        <w:rPr>
          <w:b/>
        </w:rPr>
        <w:t>2026</w:t>
      </w:r>
      <w:r w:rsidRPr="008A4220">
        <w:t>.</w:t>
      </w:r>
    </w:p>
    <w:p w14:paraId="0BAB7870" w14:textId="77777777" w:rsidR="008A4220" w:rsidRPr="008A4220" w:rsidRDefault="008A4220" w:rsidP="008A4220">
      <w:pPr>
        <w:pStyle w:val="EndNoteBibliography"/>
        <w:ind w:left="720" w:hanging="720"/>
      </w:pPr>
      <w:r w:rsidRPr="008A4220">
        <w:t>36.</w:t>
      </w:r>
      <w:r w:rsidRPr="008A4220">
        <w:tab/>
        <w:t xml:space="preserve">WHO. </w:t>
      </w:r>
      <w:r w:rsidRPr="008A4220">
        <w:rPr>
          <w:i/>
        </w:rPr>
        <w:t>WHO report on the global tobacco epidemic, 2025: warning about the dangers of tobacco</w:t>
      </w:r>
      <w:r w:rsidRPr="008A4220">
        <w:t>; Geneva, 2025.</w:t>
      </w:r>
    </w:p>
    <w:p w14:paraId="2E9F7C39" w14:textId="6C08A518" w:rsidR="008A4220" w:rsidRPr="008A4220" w:rsidRDefault="008A4220" w:rsidP="008A4220">
      <w:pPr>
        <w:pStyle w:val="EndNoteBibliography"/>
        <w:ind w:left="720" w:hanging="720"/>
      </w:pPr>
      <w:r w:rsidRPr="008A4220">
        <w:t>37.</w:t>
      </w:r>
      <w:r w:rsidRPr="008A4220">
        <w:tab/>
        <w:t xml:space="preserve">WHO. Tobacco control efforts protect 6.1 billion people – WHO’s new report. Available online: </w:t>
      </w:r>
      <w:hyperlink r:id="rId116" w:history="1">
        <w:r w:rsidRPr="008A4220">
          <w:rPr>
            <w:rStyle w:val="Hyperlink"/>
          </w:rPr>
          <w:t>https://www.who.int/news/item/23-06-2025-tobacco-control-efforts-protect-6.1-billion-people-who-s-new-report</w:t>
        </w:r>
      </w:hyperlink>
      <w:r w:rsidRPr="008A4220">
        <w:t xml:space="preserve"> (accessed on 15th July).</w:t>
      </w:r>
    </w:p>
    <w:p w14:paraId="1EE24B89" w14:textId="0A012E3E" w:rsidR="008A4220" w:rsidRPr="008A4220" w:rsidRDefault="008A4220" w:rsidP="008A4220">
      <w:pPr>
        <w:pStyle w:val="EndNoteBibliography"/>
        <w:ind w:left="720" w:hanging="720"/>
      </w:pPr>
      <w:r w:rsidRPr="008A4220">
        <w:t>38.</w:t>
      </w:r>
      <w:r w:rsidRPr="008A4220">
        <w:tab/>
        <w:t xml:space="preserve">WHO. Country profile Romania - Summary of MPOWER measures in Romania. Available online: </w:t>
      </w:r>
      <w:hyperlink r:id="rId117" w:history="1">
        <w:r w:rsidRPr="008A4220">
          <w:rPr>
            <w:rStyle w:val="Hyperlink"/>
          </w:rPr>
          <w:t>https://www.who.int/publications/m/item/tobacco-2025-romania-country-profile</w:t>
        </w:r>
      </w:hyperlink>
      <w:r w:rsidRPr="008A4220">
        <w:t xml:space="preserve"> (accessed on May 28th).</w:t>
      </w:r>
    </w:p>
    <w:p w14:paraId="2D5DB8E2" w14:textId="77777777" w:rsidR="008A4220" w:rsidRPr="008A4220" w:rsidRDefault="008A4220" w:rsidP="008A4220">
      <w:pPr>
        <w:pStyle w:val="EndNoteBibliography"/>
        <w:ind w:left="720" w:hanging="720"/>
      </w:pPr>
      <w:r w:rsidRPr="008A4220">
        <w:t>39.</w:t>
      </w:r>
      <w:r w:rsidRPr="008A4220">
        <w:tab/>
        <w:t xml:space="preserve">Joossens L; Olefir L; Feliu A; E, F. </w:t>
      </w:r>
      <w:r w:rsidRPr="008A4220">
        <w:rPr>
          <w:i/>
        </w:rPr>
        <w:t>The Tobacco Control Scale 2021 in Europe</w:t>
      </w:r>
      <w:r w:rsidRPr="008A4220">
        <w:t>; Catalan Institute of Oncology: Brussels, 2022.</w:t>
      </w:r>
    </w:p>
    <w:p w14:paraId="5FB37E3F" w14:textId="77777777" w:rsidR="008A4220" w:rsidRPr="008A4220" w:rsidRDefault="008A4220" w:rsidP="008A4220">
      <w:pPr>
        <w:pStyle w:val="EndNoteBibliography"/>
        <w:ind w:left="720" w:hanging="720"/>
      </w:pPr>
      <w:r w:rsidRPr="008A4220">
        <w:t>40.</w:t>
      </w:r>
      <w:r w:rsidRPr="008A4220">
        <w:tab/>
        <w:t xml:space="preserve">Joossens L., A.H., Roman E,. </w:t>
      </w:r>
      <w:r w:rsidRPr="008A4220">
        <w:rPr>
          <w:i/>
        </w:rPr>
        <w:t>The Tobacco Control Scale 2025 in Europe</w:t>
      </w:r>
      <w:r w:rsidRPr="008A4220">
        <w:t>; Brussels, 20 May 2026 2026.</w:t>
      </w:r>
    </w:p>
    <w:p w14:paraId="6B8AB43C" w14:textId="77777777" w:rsidR="008A4220" w:rsidRPr="008A4220" w:rsidRDefault="008A4220" w:rsidP="008A4220">
      <w:pPr>
        <w:pStyle w:val="EndNoteBibliography"/>
        <w:ind w:left="720" w:hanging="720"/>
      </w:pPr>
      <w:r w:rsidRPr="008A4220">
        <w:t>41.</w:t>
      </w:r>
      <w:r w:rsidRPr="008A4220">
        <w:tab/>
        <w:t xml:space="preserve">INSP. </w:t>
      </w:r>
      <w:r w:rsidRPr="008A4220">
        <w:rPr>
          <w:i/>
        </w:rPr>
        <w:t>Metodologie evaluarea comportamentelor la risc- studiu YRBSS</w:t>
      </w:r>
      <w:r w:rsidRPr="008A4220">
        <w:t>; București, 2024.</w:t>
      </w:r>
    </w:p>
    <w:p w14:paraId="55369207" w14:textId="77777777" w:rsidR="008A4220" w:rsidRPr="008A4220" w:rsidRDefault="008A4220" w:rsidP="008A4220">
      <w:pPr>
        <w:pStyle w:val="EndNoteBibliography"/>
        <w:ind w:left="720" w:hanging="720"/>
      </w:pPr>
      <w:r w:rsidRPr="008A4220">
        <w:t>42.</w:t>
      </w:r>
      <w:r w:rsidRPr="008A4220">
        <w:tab/>
        <w:t xml:space="preserve">INSP. </w:t>
      </w:r>
      <w:r w:rsidRPr="008A4220">
        <w:rPr>
          <w:i/>
        </w:rPr>
        <w:t>Youth Risk Behavior Surveillance System (YRBSS), România 2022-2023</w:t>
      </w:r>
      <w:r w:rsidRPr="008A4220">
        <w:t>; 2023.</w:t>
      </w:r>
    </w:p>
    <w:p w14:paraId="73669BAD" w14:textId="791A38B3" w:rsidR="008A4220" w:rsidRPr="008A4220" w:rsidRDefault="008A4220" w:rsidP="008A4220">
      <w:pPr>
        <w:pStyle w:val="EndNoteBibliography"/>
        <w:ind w:left="720" w:hanging="720"/>
      </w:pPr>
      <w:r w:rsidRPr="008A4220">
        <w:t>43.</w:t>
      </w:r>
      <w:r w:rsidRPr="008A4220">
        <w:tab/>
        <w:t xml:space="preserve">FCTC, W. WHO FRAMEWORK CONVENTION ON TOBACCO CONTROL. Available online: </w:t>
      </w:r>
      <w:hyperlink r:id="rId118" w:history="1">
        <w:r w:rsidRPr="008A4220">
          <w:rPr>
            <w:rStyle w:val="Hyperlink"/>
          </w:rPr>
          <w:t>https://iris.who.int/bitstream/handle/10665/42811/9241591013.pdf?sequence=1</w:t>
        </w:r>
      </w:hyperlink>
      <w:r w:rsidRPr="008A4220">
        <w:t xml:space="preserve"> (accessed on </w:t>
      </w:r>
    </w:p>
    <w:p w14:paraId="3DADAF82" w14:textId="77777777" w:rsidR="008A4220" w:rsidRPr="008A4220" w:rsidRDefault="008A4220" w:rsidP="008A4220">
      <w:pPr>
        <w:pStyle w:val="EndNoteBibliography"/>
        <w:ind w:left="720" w:hanging="720"/>
      </w:pPr>
      <w:r w:rsidRPr="008A4220">
        <w:t>44.</w:t>
      </w:r>
      <w:r w:rsidRPr="008A4220">
        <w:tab/>
        <w:t xml:space="preserve">WHO. Nicotine- and tobacco-free schools: policy development and implementation toolkit. </w:t>
      </w:r>
      <w:r w:rsidRPr="008A4220">
        <w:rPr>
          <w:b/>
        </w:rPr>
        <w:t>2023</w:t>
      </w:r>
      <w:r w:rsidRPr="008A4220">
        <w:t>.</w:t>
      </w:r>
    </w:p>
    <w:p w14:paraId="2AEFF7F5" w14:textId="77777777" w:rsidR="008A4220" w:rsidRPr="008A4220" w:rsidRDefault="008A4220" w:rsidP="008A4220">
      <w:pPr>
        <w:pStyle w:val="EndNoteBibliography"/>
        <w:ind w:left="720" w:hanging="720"/>
      </w:pPr>
      <w:r w:rsidRPr="008A4220">
        <w:t>45.</w:t>
      </w:r>
      <w:r w:rsidRPr="008A4220">
        <w:tab/>
        <w:t xml:space="preserve">WHO. Freedom from nicotine and tobacco: guide for schools. </w:t>
      </w:r>
      <w:r w:rsidRPr="008A4220">
        <w:rPr>
          <w:b/>
        </w:rPr>
        <w:t>2023</w:t>
      </w:r>
      <w:r w:rsidRPr="008A4220">
        <w:t>.</w:t>
      </w:r>
    </w:p>
    <w:p w14:paraId="587AC015" w14:textId="77777777" w:rsidR="008A4220" w:rsidRPr="008A4220" w:rsidRDefault="008A4220" w:rsidP="008A4220">
      <w:pPr>
        <w:pStyle w:val="EndNoteBibliography"/>
        <w:ind w:left="720" w:hanging="720"/>
      </w:pPr>
      <w:r w:rsidRPr="008A4220">
        <w:t>46.</w:t>
      </w:r>
      <w:r w:rsidRPr="008A4220">
        <w:tab/>
        <w:t xml:space="preserve">Mylocopos, G.; Wennberg, E.; Reiter, A.; Hebert-Losier, A.; Filion, K.B.; Windle, S.B.; Gore, G.; O'Loughlin, J.L.; Grad, R.; Eisenberg, M.J. Interventions for Preventing E-Cigarette Use Among Children and Youth: A Systematic Review. </w:t>
      </w:r>
      <w:r w:rsidRPr="008A4220">
        <w:rPr>
          <w:i/>
        </w:rPr>
        <w:t xml:space="preserve">American journal of preventive medicine </w:t>
      </w:r>
      <w:r w:rsidRPr="008A4220">
        <w:rPr>
          <w:b/>
        </w:rPr>
        <w:t>2024</w:t>
      </w:r>
      <w:r w:rsidRPr="008A4220">
        <w:t xml:space="preserve">, </w:t>
      </w:r>
      <w:r w:rsidRPr="008A4220">
        <w:rPr>
          <w:i/>
        </w:rPr>
        <w:t>66</w:t>
      </w:r>
      <w:r w:rsidRPr="008A4220">
        <w:t>, 351-370, doi:10.1016/j.amepre.2023.09.028.</w:t>
      </w:r>
    </w:p>
    <w:p w14:paraId="76FA080F" w14:textId="77777777" w:rsidR="008A4220" w:rsidRPr="008A4220" w:rsidRDefault="008A4220" w:rsidP="008A4220">
      <w:pPr>
        <w:pStyle w:val="EndNoteBibliography"/>
        <w:ind w:left="720" w:hanging="720"/>
      </w:pPr>
      <w:r w:rsidRPr="008A4220">
        <w:t>47.</w:t>
      </w:r>
      <w:r w:rsidRPr="008A4220">
        <w:tab/>
        <w:t xml:space="preserve">Barnes, C.; Turon, H.; McCrabb, S.; Hodder, R.K.; Yoong, S.L.; Stockings, E.; Hall, A.E.; Bialek, C.; Morrison, J.L.; Wolfenden, L. Interventions to prevent or cease electronic cigarette use in children and adolescents. </w:t>
      </w:r>
      <w:r w:rsidRPr="008A4220">
        <w:rPr>
          <w:i/>
        </w:rPr>
        <w:t xml:space="preserve">Cochrane Database Syst Rev </w:t>
      </w:r>
      <w:r w:rsidRPr="008A4220">
        <w:rPr>
          <w:b/>
        </w:rPr>
        <w:t>2023</w:t>
      </w:r>
      <w:r w:rsidRPr="008A4220">
        <w:t xml:space="preserve">, </w:t>
      </w:r>
      <w:r w:rsidRPr="008A4220">
        <w:rPr>
          <w:i/>
        </w:rPr>
        <w:t>11</w:t>
      </w:r>
      <w:r w:rsidRPr="008A4220">
        <w:t>, CD015511, doi:10.1002/14651858.CD015511.pub2.</w:t>
      </w:r>
    </w:p>
    <w:p w14:paraId="01B86BD7" w14:textId="77777777" w:rsidR="008A4220" w:rsidRPr="008A4220" w:rsidRDefault="008A4220" w:rsidP="008A4220">
      <w:pPr>
        <w:pStyle w:val="EndNoteBibliography"/>
        <w:ind w:left="720" w:hanging="720"/>
      </w:pPr>
      <w:r w:rsidRPr="008A4220">
        <w:t>48.</w:t>
      </w:r>
      <w:r w:rsidRPr="008A4220">
        <w:tab/>
        <w:t xml:space="preserve">Champion, K.E.; Gardner, L.A.; McCann, K.; Hunter, E.; Parmenter, B.; Aitken, T.; Chapman, C.; Spring, B.; Thornton, L.; Slade, T.; et al. Parent-based interventions to improve multiple lifestyle risk behaviors among adolescents: A systematic review and meta-analysis. </w:t>
      </w:r>
      <w:r w:rsidRPr="008A4220">
        <w:rPr>
          <w:i/>
        </w:rPr>
        <w:t xml:space="preserve">Preventive medicine </w:t>
      </w:r>
      <w:r w:rsidRPr="008A4220">
        <w:rPr>
          <w:b/>
        </w:rPr>
        <w:t>2022</w:t>
      </w:r>
      <w:r w:rsidRPr="008A4220">
        <w:t xml:space="preserve">, </w:t>
      </w:r>
      <w:r w:rsidRPr="008A4220">
        <w:rPr>
          <w:i/>
        </w:rPr>
        <w:t>164</w:t>
      </w:r>
      <w:r w:rsidRPr="008A4220">
        <w:t>, 107247, doi:10.1016/j.ypmed.2022.107247.</w:t>
      </w:r>
    </w:p>
    <w:p w14:paraId="115725E6" w14:textId="77777777" w:rsidR="008A4220" w:rsidRPr="008A4220" w:rsidRDefault="008A4220" w:rsidP="008A4220">
      <w:pPr>
        <w:pStyle w:val="EndNoteBibliography"/>
        <w:ind w:left="720" w:hanging="720"/>
      </w:pPr>
      <w:r w:rsidRPr="008A4220">
        <w:t>49.</w:t>
      </w:r>
      <w:r w:rsidRPr="008A4220">
        <w:tab/>
        <w:t xml:space="preserve">Rifat, M.A.; Orsini, N.; Qazi, B.; Galanti, M.R. Smoking Prevention and Cessation Programs for Children and Adolescents Focusing on Parental Involvement: A Systematic Review and Meta-Analysis. </w:t>
      </w:r>
      <w:r w:rsidRPr="008A4220">
        <w:rPr>
          <w:i/>
        </w:rPr>
        <w:t xml:space="preserve">J Adolesc Health </w:t>
      </w:r>
      <w:r w:rsidRPr="008A4220">
        <w:rPr>
          <w:b/>
        </w:rPr>
        <w:t>2025</w:t>
      </w:r>
      <w:r w:rsidRPr="008A4220">
        <w:t xml:space="preserve">, </w:t>
      </w:r>
      <w:r w:rsidRPr="008A4220">
        <w:rPr>
          <w:i/>
        </w:rPr>
        <w:t>76</w:t>
      </w:r>
      <w:r w:rsidRPr="008A4220">
        <w:t>, 532-541, doi:10.1016/j.jadohealth.2024.10.032.</w:t>
      </w:r>
    </w:p>
    <w:p w14:paraId="42F0D0BE" w14:textId="7B554579" w:rsidR="00CD3152" w:rsidRPr="006E0160" w:rsidRDefault="00CD3152" w:rsidP="00CD3152">
      <w:pPr>
        <w:pStyle w:val="Signature"/>
      </w:pPr>
      <w:r w:rsidRPr="006E0160">
        <w:fldChar w:fldCharType="end"/>
      </w:r>
    </w:p>
    <w:p w14:paraId="6EDF34E6" w14:textId="77777777" w:rsidR="004E0D48" w:rsidRPr="006E0160" w:rsidRDefault="004E0D48" w:rsidP="004E0D48">
      <w:pPr>
        <w:pStyle w:val="Signature"/>
      </w:pPr>
    </w:p>
    <w:p w14:paraId="03FD4C8D" w14:textId="77777777" w:rsidR="00D64492" w:rsidRDefault="00D64492" w:rsidP="00ED6BE7">
      <w:pPr>
        <w:spacing w:line="319" w:lineRule="auto"/>
        <w:ind w:left="-288" w:firstLine="0"/>
        <w:rPr>
          <w:b/>
          <w:color w:val="262262"/>
          <w:sz w:val="18"/>
          <w:szCs w:val="18"/>
          <w:bdr w:val="none" w:sz="0" w:space="0" w:color="auto" w:frame="1"/>
        </w:rPr>
      </w:pPr>
    </w:p>
    <w:p w14:paraId="276E6D67" w14:textId="147A6926" w:rsidR="008B17D6" w:rsidRPr="008B17D6" w:rsidRDefault="00140EC6" w:rsidP="00FD581C">
      <w:pPr>
        <w:spacing w:line="319" w:lineRule="auto"/>
        <w:ind w:left="-288" w:firstLine="173"/>
      </w:pPr>
      <w:r w:rsidRPr="00F44887">
        <w:rPr>
          <w:szCs w:val="20"/>
        </w:rPr>
        <w:br w:type="page"/>
      </w:r>
      <w:r w:rsidR="00451F85">
        <w:rPr>
          <w:noProof/>
        </w:rPr>
        <w:lastRenderedPageBreak/>
        <mc:AlternateContent>
          <mc:Choice Requires="wpg">
            <w:drawing>
              <wp:anchor distT="0" distB="0" distL="114300" distR="114300" simplePos="0" relativeHeight="251660288" behindDoc="0" locked="0" layoutInCell="1" allowOverlap="1" wp14:anchorId="4894F079" wp14:editId="200FAD5C">
                <wp:simplePos x="0" y="0"/>
                <wp:positionH relativeFrom="page">
                  <wp:posOffset>682625</wp:posOffset>
                </wp:positionH>
                <wp:positionV relativeFrom="page">
                  <wp:posOffset>456565</wp:posOffset>
                </wp:positionV>
                <wp:extent cx="363855" cy="527685"/>
                <wp:effectExtent l="0" t="0" r="0" b="0"/>
                <wp:wrapNone/>
                <wp:docPr id="31586434" name="Group 20"/>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363855" cy="527685"/>
                          <a:chOff x="0" y="0"/>
                          <a:chExt cx="272700" cy="395763"/>
                        </a:xfrm>
                        <a:solidFill>
                          <a:srgbClr val="FFFFFF"/>
                        </a:solidFill>
                      </wpg:grpSpPr>
                      <wpg:grpSp>
                        <wpg:cNvPr id="492149772" name="Graphic 1"/>
                        <wpg:cNvGrpSpPr/>
                        <wpg:grpSpPr>
                          <a:xfrm>
                            <a:off x="0" y="38957"/>
                            <a:ext cx="272700" cy="356806"/>
                            <a:chOff x="0" y="38957"/>
                            <a:chExt cx="272700" cy="356806"/>
                          </a:xfrm>
                          <a:solidFill>
                            <a:srgbClr val="FFFFFF"/>
                          </a:solidFill>
                        </wpg:grpSpPr>
                        <wps:wsp>
                          <wps:cNvPr id="773071273" name="Freeform: Shape 773071273"/>
                          <wps:cNvSpPr/>
                          <wps:spPr>
                            <a:xfrm>
                              <a:off x="207359" y="79057"/>
                              <a:ext cx="42100" cy="42100"/>
                            </a:xfrm>
                            <a:custGeom>
                              <a:avLst/>
                              <a:gdLst>
                                <a:gd name="connsiteX0" fmla="*/ 21050 w 42100"/>
                                <a:gd name="connsiteY0" fmla="*/ 42101 h 42100"/>
                                <a:gd name="connsiteX1" fmla="*/ 42101 w 42100"/>
                                <a:gd name="connsiteY1" fmla="*/ 21050 h 42100"/>
                                <a:gd name="connsiteX2" fmla="*/ 21050 w 42100"/>
                                <a:gd name="connsiteY2" fmla="*/ 0 h 42100"/>
                                <a:gd name="connsiteX3" fmla="*/ 0 w 42100"/>
                                <a:gd name="connsiteY3" fmla="*/ 21050 h 42100"/>
                                <a:gd name="connsiteX4" fmla="*/ 21050 w 42100"/>
                                <a:gd name="connsiteY4" fmla="*/ 42101 h 4210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42100" h="42100">
                                  <a:moveTo>
                                    <a:pt x="21050" y="42101"/>
                                  </a:moveTo>
                                  <a:cubicBezTo>
                                    <a:pt x="32671" y="42101"/>
                                    <a:pt x="42101" y="32671"/>
                                    <a:pt x="42101" y="21050"/>
                                  </a:cubicBezTo>
                                  <a:cubicBezTo>
                                    <a:pt x="42101" y="9430"/>
                                    <a:pt x="32671" y="0"/>
                                    <a:pt x="21050" y="0"/>
                                  </a:cubicBezTo>
                                  <a:cubicBezTo>
                                    <a:pt x="9430" y="0"/>
                                    <a:pt x="0" y="9430"/>
                                    <a:pt x="0" y="21050"/>
                                  </a:cubicBezTo>
                                  <a:cubicBezTo>
                                    <a:pt x="0" y="32671"/>
                                    <a:pt x="9430" y="42101"/>
                                    <a:pt x="21050" y="42101"/>
                                  </a:cubicBez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912277986" name="Freeform: Shape 1912277986"/>
                          <wps:cNvSpPr/>
                          <wps:spPr>
                            <a:xfrm>
                              <a:off x="149923" y="69342"/>
                              <a:ext cx="44386" cy="44386"/>
                            </a:xfrm>
                            <a:custGeom>
                              <a:avLst/>
                              <a:gdLst>
                                <a:gd name="connsiteX0" fmla="*/ 22193 w 44386"/>
                                <a:gd name="connsiteY0" fmla="*/ 44386 h 44386"/>
                                <a:gd name="connsiteX1" fmla="*/ 44387 w 44386"/>
                                <a:gd name="connsiteY1" fmla="*/ 22193 h 44386"/>
                                <a:gd name="connsiteX2" fmla="*/ 22193 w 44386"/>
                                <a:gd name="connsiteY2" fmla="*/ 0 h 44386"/>
                                <a:gd name="connsiteX3" fmla="*/ 0 w 44386"/>
                                <a:gd name="connsiteY3" fmla="*/ 22193 h 44386"/>
                                <a:gd name="connsiteX4" fmla="*/ 22193 w 44386"/>
                                <a:gd name="connsiteY4" fmla="*/ 44386 h 44386"/>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44386" h="44386">
                                  <a:moveTo>
                                    <a:pt x="22193" y="44386"/>
                                  </a:moveTo>
                                  <a:cubicBezTo>
                                    <a:pt x="34481" y="44386"/>
                                    <a:pt x="44387" y="34480"/>
                                    <a:pt x="44387" y="22193"/>
                                  </a:cubicBezTo>
                                  <a:cubicBezTo>
                                    <a:pt x="44387" y="9906"/>
                                    <a:pt x="34481" y="0"/>
                                    <a:pt x="22193" y="0"/>
                                  </a:cubicBezTo>
                                  <a:cubicBezTo>
                                    <a:pt x="9906" y="0"/>
                                    <a:pt x="0" y="9906"/>
                                    <a:pt x="0" y="22193"/>
                                  </a:cubicBezTo>
                                  <a:cubicBezTo>
                                    <a:pt x="0" y="34480"/>
                                    <a:pt x="9906" y="44386"/>
                                    <a:pt x="22193" y="44386"/>
                                  </a:cubicBez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405015508" name="Freeform: Shape 1405015508"/>
                          <wps:cNvSpPr/>
                          <wps:spPr>
                            <a:xfrm>
                              <a:off x="0" y="38957"/>
                              <a:ext cx="272700" cy="356806"/>
                            </a:xfrm>
                            <a:custGeom>
                              <a:avLst/>
                              <a:gdLst>
                                <a:gd name="connsiteX0" fmla="*/ 136398 w 272700"/>
                                <a:gd name="connsiteY0" fmla="*/ 0 h 356806"/>
                                <a:gd name="connsiteX1" fmla="*/ 136398 w 272700"/>
                                <a:gd name="connsiteY1" fmla="*/ 0 h 356806"/>
                                <a:gd name="connsiteX2" fmla="*/ 136398 w 272700"/>
                                <a:gd name="connsiteY2" fmla="*/ 0 h 356806"/>
                                <a:gd name="connsiteX3" fmla="*/ 129064 w 272700"/>
                                <a:gd name="connsiteY3" fmla="*/ 95 h 356806"/>
                                <a:gd name="connsiteX4" fmla="*/ 122873 w 272700"/>
                                <a:gd name="connsiteY4" fmla="*/ 190 h 356806"/>
                                <a:gd name="connsiteX5" fmla="*/ 122873 w 272700"/>
                                <a:gd name="connsiteY5" fmla="*/ 190 h 356806"/>
                                <a:gd name="connsiteX6" fmla="*/ 0 w 272700"/>
                                <a:gd name="connsiteY6" fmla="*/ 16764 h 356806"/>
                                <a:gd name="connsiteX7" fmla="*/ 0 w 272700"/>
                                <a:gd name="connsiteY7" fmla="*/ 218599 h 356806"/>
                                <a:gd name="connsiteX8" fmla="*/ 40291 w 272700"/>
                                <a:gd name="connsiteY8" fmla="*/ 293370 h 356806"/>
                                <a:gd name="connsiteX9" fmla="*/ 136398 w 272700"/>
                                <a:gd name="connsiteY9" fmla="*/ 356807 h 356806"/>
                                <a:gd name="connsiteX10" fmla="*/ 232410 w 272700"/>
                                <a:gd name="connsiteY10" fmla="*/ 293465 h 356806"/>
                                <a:gd name="connsiteX11" fmla="*/ 272701 w 272700"/>
                                <a:gd name="connsiteY11" fmla="*/ 218694 h 356806"/>
                                <a:gd name="connsiteX12" fmla="*/ 272701 w 272700"/>
                                <a:gd name="connsiteY12" fmla="*/ 16764 h 356806"/>
                                <a:gd name="connsiteX13" fmla="*/ 136398 w 272700"/>
                                <a:gd name="connsiteY13" fmla="*/ 0 h 356806"/>
                                <a:gd name="connsiteX14" fmla="*/ 100584 w 272700"/>
                                <a:gd name="connsiteY14" fmla="*/ 30480 h 356806"/>
                                <a:gd name="connsiteX15" fmla="*/ 122777 w 272700"/>
                                <a:gd name="connsiteY15" fmla="*/ 52673 h 356806"/>
                                <a:gd name="connsiteX16" fmla="*/ 100584 w 272700"/>
                                <a:gd name="connsiteY16" fmla="*/ 74867 h 356806"/>
                                <a:gd name="connsiteX17" fmla="*/ 78391 w 272700"/>
                                <a:gd name="connsiteY17" fmla="*/ 52673 h 356806"/>
                                <a:gd name="connsiteX18" fmla="*/ 100584 w 272700"/>
                                <a:gd name="connsiteY18" fmla="*/ 30480 h 356806"/>
                                <a:gd name="connsiteX19" fmla="*/ 41053 w 272700"/>
                                <a:gd name="connsiteY19" fmla="*/ 40100 h 356806"/>
                                <a:gd name="connsiteX20" fmla="*/ 62103 w 272700"/>
                                <a:gd name="connsiteY20" fmla="*/ 61151 h 356806"/>
                                <a:gd name="connsiteX21" fmla="*/ 41053 w 272700"/>
                                <a:gd name="connsiteY21" fmla="*/ 82201 h 356806"/>
                                <a:gd name="connsiteX22" fmla="*/ 20003 w 272700"/>
                                <a:gd name="connsiteY22" fmla="*/ 61151 h 356806"/>
                                <a:gd name="connsiteX23" fmla="*/ 41053 w 272700"/>
                                <a:gd name="connsiteY23" fmla="*/ 40100 h 356806"/>
                                <a:gd name="connsiteX24" fmla="*/ 259937 w 272700"/>
                                <a:gd name="connsiteY24" fmla="*/ 114681 h 356806"/>
                                <a:gd name="connsiteX25" fmla="*/ 136398 w 272700"/>
                                <a:gd name="connsiteY25" fmla="*/ 100965 h 356806"/>
                                <a:gd name="connsiteX26" fmla="*/ 136398 w 272700"/>
                                <a:gd name="connsiteY26" fmla="*/ 100965 h 356806"/>
                                <a:gd name="connsiteX27" fmla="*/ 136398 w 272700"/>
                                <a:gd name="connsiteY27" fmla="*/ 161639 h 356806"/>
                                <a:gd name="connsiteX28" fmla="*/ 169164 w 272700"/>
                                <a:gd name="connsiteY28" fmla="*/ 143637 h 356806"/>
                                <a:gd name="connsiteX29" fmla="*/ 208026 w 272700"/>
                                <a:gd name="connsiteY29" fmla="*/ 182594 h 356806"/>
                                <a:gd name="connsiteX30" fmla="*/ 136398 w 272700"/>
                                <a:gd name="connsiteY30" fmla="*/ 272224 h 356806"/>
                                <a:gd name="connsiteX31" fmla="*/ 136398 w 272700"/>
                                <a:gd name="connsiteY31" fmla="*/ 341662 h 356806"/>
                                <a:gd name="connsiteX32" fmla="*/ 123634 w 272700"/>
                                <a:gd name="connsiteY32" fmla="*/ 333185 h 356806"/>
                                <a:gd name="connsiteX33" fmla="*/ 47244 w 272700"/>
                                <a:gd name="connsiteY33" fmla="*/ 282797 h 356806"/>
                                <a:gd name="connsiteX34" fmla="*/ 12668 w 272700"/>
                                <a:gd name="connsiteY34" fmla="*/ 218694 h 356806"/>
                                <a:gd name="connsiteX35" fmla="*/ 12668 w 272700"/>
                                <a:gd name="connsiteY35" fmla="*/ 114681 h 356806"/>
                                <a:gd name="connsiteX36" fmla="*/ 136208 w 272700"/>
                                <a:gd name="connsiteY36" fmla="*/ 100965 h 356806"/>
                                <a:gd name="connsiteX37" fmla="*/ 136303 w 272700"/>
                                <a:gd name="connsiteY37" fmla="*/ 100965 h 356806"/>
                                <a:gd name="connsiteX38" fmla="*/ 136303 w 272700"/>
                                <a:gd name="connsiteY38" fmla="*/ 12668 h 356806"/>
                                <a:gd name="connsiteX39" fmla="*/ 136303 w 272700"/>
                                <a:gd name="connsiteY39" fmla="*/ 12668 h 356806"/>
                                <a:gd name="connsiteX40" fmla="*/ 259842 w 272700"/>
                                <a:gd name="connsiteY40" fmla="*/ 26670 h 356806"/>
                                <a:gd name="connsiteX41" fmla="*/ 259842 w 272700"/>
                                <a:gd name="connsiteY41" fmla="*/ 114681 h 35680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Lst>
                              <a:rect l="l" t="t" r="r" b="b"/>
                              <a:pathLst>
                                <a:path w="272700" h="356806">
                                  <a:moveTo>
                                    <a:pt x="136398" y="0"/>
                                  </a:moveTo>
                                  <a:cubicBezTo>
                                    <a:pt x="136303" y="0"/>
                                    <a:pt x="136303" y="0"/>
                                    <a:pt x="136398" y="0"/>
                                  </a:cubicBezTo>
                                  <a:cubicBezTo>
                                    <a:pt x="136303" y="0"/>
                                    <a:pt x="136303" y="0"/>
                                    <a:pt x="136398" y="0"/>
                                  </a:cubicBezTo>
                                  <a:cubicBezTo>
                                    <a:pt x="133922" y="0"/>
                                    <a:pt x="131445" y="0"/>
                                    <a:pt x="129064" y="95"/>
                                  </a:cubicBezTo>
                                  <a:cubicBezTo>
                                    <a:pt x="126968" y="95"/>
                                    <a:pt x="124968" y="190"/>
                                    <a:pt x="122873" y="190"/>
                                  </a:cubicBezTo>
                                  <a:cubicBezTo>
                                    <a:pt x="122873" y="190"/>
                                    <a:pt x="122873" y="190"/>
                                    <a:pt x="122873" y="190"/>
                                  </a:cubicBezTo>
                                  <a:cubicBezTo>
                                    <a:pt x="78772" y="1143"/>
                                    <a:pt x="37148" y="7048"/>
                                    <a:pt x="0" y="16764"/>
                                  </a:cubicBezTo>
                                  <a:lnTo>
                                    <a:pt x="0" y="218599"/>
                                  </a:lnTo>
                                  <a:cubicBezTo>
                                    <a:pt x="0" y="248698"/>
                                    <a:pt x="15145" y="276797"/>
                                    <a:pt x="40291" y="293370"/>
                                  </a:cubicBezTo>
                                  <a:lnTo>
                                    <a:pt x="136398" y="356807"/>
                                  </a:lnTo>
                                  <a:lnTo>
                                    <a:pt x="232410" y="293465"/>
                                  </a:lnTo>
                                  <a:cubicBezTo>
                                    <a:pt x="257556" y="276892"/>
                                    <a:pt x="272701" y="248793"/>
                                    <a:pt x="272701" y="218694"/>
                                  </a:cubicBezTo>
                                  <a:lnTo>
                                    <a:pt x="272701" y="16764"/>
                                  </a:lnTo>
                                  <a:cubicBezTo>
                                    <a:pt x="231743" y="6096"/>
                                    <a:pt x="185452" y="0"/>
                                    <a:pt x="136398" y="0"/>
                                  </a:cubicBezTo>
                                  <a:close/>
                                  <a:moveTo>
                                    <a:pt x="100584" y="30480"/>
                                  </a:moveTo>
                                  <a:cubicBezTo>
                                    <a:pt x="112776" y="30480"/>
                                    <a:pt x="122777" y="40386"/>
                                    <a:pt x="122777" y="52673"/>
                                  </a:cubicBezTo>
                                  <a:cubicBezTo>
                                    <a:pt x="122777" y="64865"/>
                                    <a:pt x="112871" y="74867"/>
                                    <a:pt x="100584" y="74867"/>
                                  </a:cubicBezTo>
                                  <a:cubicBezTo>
                                    <a:pt x="88297" y="74867"/>
                                    <a:pt x="78391" y="64960"/>
                                    <a:pt x="78391" y="52673"/>
                                  </a:cubicBezTo>
                                  <a:cubicBezTo>
                                    <a:pt x="78486" y="40386"/>
                                    <a:pt x="88392" y="30480"/>
                                    <a:pt x="100584" y="30480"/>
                                  </a:cubicBezTo>
                                  <a:close/>
                                  <a:moveTo>
                                    <a:pt x="41053" y="40100"/>
                                  </a:moveTo>
                                  <a:cubicBezTo>
                                    <a:pt x="52673" y="40100"/>
                                    <a:pt x="62103" y="49530"/>
                                    <a:pt x="62103" y="61151"/>
                                  </a:cubicBezTo>
                                  <a:cubicBezTo>
                                    <a:pt x="62103" y="72771"/>
                                    <a:pt x="52673" y="82201"/>
                                    <a:pt x="41053" y="82201"/>
                                  </a:cubicBezTo>
                                  <a:cubicBezTo>
                                    <a:pt x="29432" y="82201"/>
                                    <a:pt x="20003" y="72771"/>
                                    <a:pt x="20003" y="61151"/>
                                  </a:cubicBezTo>
                                  <a:cubicBezTo>
                                    <a:pt x="20003" y="49435"/>
                                    <a:pt x="29432" y="40100"/>
                                    <a:pt x="41053" y="40100"/>
                                  </a:cubicBezTo>
                                  <a:close/>
                                  <a:moveTo>
                                    <a:pt x="259937" y="114681"/>
                                  </a:moveTo>
                                  <a:cubicBezTo>
                                    <a:pt x="222314" y="105918"/>
                                    <a:pt x="180499" y="100965"/>
                                    <a:pt x="136398" y="100965"/>
                                  </a:cubicBezTo>
                                  <a:cubicBezTo>
                                    <a:pt x="136398" y="100965"/>
                                    <a:pt x="136398" y="100965"/>
                                    <a:pt x="136398" y="100965"/>
                                  </a:cubicBezTo>
                                  <a:lnTo>
                                    <a:pt x="136398" y="161639"/>
                                  </a:lnTo>
                                  <a:cubicBezTo>
                                    <a:pt x="143256" y="150876"/>
                                    <a:pt x="155353" y="143637"/>
                                    <a:pt x="169164" y="143637"/>
                                  </a:cubicBezTo>
                                  <a:cubicBezTo>
                                    <a:pt x="190595" y="143637"/>
                                    <a:pt x="208026" y="161068"/>
                                    <a:pt x="208026" y="182594"/>
                                  </a:cubicBezTo>
                                  <a:cubicBezTo>
                                    <a:pt x="208026" y="233077"/>
                                    <a:pt x="136398" y="272224"/>
                                    <a:pt x="136398" y="272224"/>
                                  </a:cubicBezTo>
                                  <a:lnTo>
                                    <a:pt x="136398" y="341662"/>
                                  </a:lnTo>
                                  <a:lnTo>
                                    <a:pt x="123634" y="333185"/>
                                  </a:lnTo>
                                  <a:lnTo>
                                    <a:pt x="47244" y="282797"/>
                                  </a:lnTo>
                                  <a:cubicBezTo>
                                    <a:pt x="25622" y="268510"/>
                                    <a:pt x="12668" y="244602"/>
                                    <a:pt x="12668" y="218694"/>
                                  </a:cubicBezTo>
                                  <a:lnTo>
                                    <a:pt x="12668" y="114681"/>
                                  </a:lnTo>
                                  <a:cubicBezTo>
                                    <a:pt x="50292" y="105918"/>
                                    <a:pt x="92202" y="100965"/>
                                    <a:pt x="136208" y="100965"/>
                                  </a:cubicBezTo>
                                  <a:cubicBezTo>
                                    <a:pt x="136208" y="100965"/>
                                    <a:pt x="136208" y="100965"/>
                                    <a:pt x="136303" y="100965"/>
                                  </a:cubicBezTo>
                                  <a:lnTo>
                                    <a:pt x="136303" y="12668"/>
                                  </a:lnTo>
                                  <a:lnTo>
                                    <a:pt x="136303" y="12668"/>
                                  </a:lnTo>
                                  <a:cubicBezTo>
                                    <a:pt x="178975" y="12668"/>
                                    <a:pt x="221456" y="17526"/>
                                    <a:pt x="259842" y="26670"/>
                                  </a:cubicBezTo>
                                  <a:lnTo>
                                    <a:pt x="259842" y="114681"/>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369770296" name="Freeform: Shape 369770296"/>
                          <wps:cNvSpPr/>
                          <wps:spPr>
                            <a:xfrm>
                              <a:off x="64674" y="182498"/>
                              <a:ext cx="71628" cy="128587"/>
                            </a:xfrm>
                            <a:custGeom>
                              <a:avLst/>
                              <a:gdLst>
                                <a:gd name="connsiteX0" fmla="*/ 71628 w 71628"/>
                                <a:gd name="connsiteY0" fmla="*/ 18097 h 128587"/>
                                <a:gd name="connsiteX1" fmla="*/ 71628 w 71628"/>
                                <a:gd name="connsiteY1" fmla="*/ 128588 h 128587"/>
                                <a:gd name="connsiteX2" fmla="*/ 0 w 71628"/>
                                <a:gd name="connsiteY2" fmla="*/ 38957 h 128587"/>
                                <a:gd name="connsiteX3" fmla="*/ 38862 w 71628"/>
                                <a:gd name="connsiteY3" fmla="*/ 0 h 128587"/>
                                <a:gd name="connsiteX4" fmla="*/ 71628 w 71628"/>
                                <a:gd name="connsiteY4" fmla="*/ 18097 h 128587"/>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71628" h="128587">
                                  <a:moveTo>
                                    <a:pt x="71628" y="18097"/>
                                  </a:moveTo>
                                  <a:lnTo>
                                    <a:pt x="71628" y="128588"/>
                                  </a:lnTo>
                                  <a:cubicBezTo>
                                    <a:pt x="71628" y="128588"/>
                                    <a:pt x="0" y="89440"/>
                                    <a:pt x="0" y="38957"/>
                                  </a:cubicBezTo>
                                  <a:cubicBezTo>
                                    <a:pt x="0" y="17431"/>
                                    <a:pt x="17431" y="0"/>
                                    <a:pt x="38862" y="0"/>
                                  </a:cubicBezTo>
                                  <a:cubicBezTo>
                                    <a:pt x="52673" y="95"/>
                                    <a:pt x="64770" y="7334"/>
                                    <a:pt x="71628" y="18097"/>
                                  </a:cubicBez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s:wsp>
                        <wps:cNvPr id="162696623" name="Freeform: Shape 162696623"/>
                        <wps:cNvSpPr/>
                        <wps:spPr>
                          <a:xfrm>
                            <a:off x="67341" y="0"/>
                            <a:ext cx="137921" cy="22478"/>
                          </a:xfrm>
                          <a:custGeom>
                            <a:avLst/>
                            <a:gdLst>
                              <a:gd name="connsiteX0" fmla="*/ 0 w 137921"/>
                              <a:gd name="connsiteY0" fmla="*/ 0 h 22478"/>
                              <a:gd name="connsiteX1" fmla="*/ 0 w 137921"/>
                              <a:gd name="connsiteY1" fmla="*/ 22479 h 22478"/>
                              <a:gd name="connsiteX2" fmla="*/ 137922 w 137921"/>
                              <a:gd name="connsiteY2" fmla="*/ 22479 h 22478"/>
                              <a:gd name="connsiteX3" fmla="*/ 137922 w 137921"/>
                              <a:gd name="connsiteY3" fmla="*/ 0 h 22478"/>
                              <a:gd name="connsiteX4" fmla="*/ 0 w 137921"/>
                              <a:gd name="connsiteY4" fmla="*/ 0 h 22478"/>
                              <a:gd name="connsiteX5" fmla="*/ 68961 w 137921"/>
                              <a:gd name="connsiteY5" fmla="*/ 15050 h 22478"/>
                              <a:gd name="connsiteX6" fmla="*/ 7525 w 137921"/>
                              <a:gd name="connsiteY6" fmla="*/ 15050 h 22478"/>
                              <a:gd name="connsiteX7" fmla="*/ 7525 w 137921"/>
                              <a:gd name="connsiteY7" fmla="*/ 7525 h 22478"/>
                              <a:gd name="connsiteX8" fmla="*/ 68961 w 137921"/>
                              <a:gd name="connsiteY8" fmla="*/ 7525 h 22478"/>
                              <a:gd name="connsiteX9" fmla="*/ 68961 w 137921"/>
                              <a:gd name="connsiteY9" fmla="*/ 15050 h 2247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137921" h="22478">
                                <a:moveTo>
                                  <a:pt x="0" y="0"/>
                                </a:moveTo>
                                <a:lnTo>
                                  <a:pt x="0" y="22479"/>
                                </a:lnTo>
                                <a:lnTo>
                                  <a:pt x="137922" y="22479"/>
                                </a:lnTo>
                                <a:lnTo>
                                  <a:pt x="137922" y="0"/>
                                </a:lnTo>
                                <a:lnTo>
                                  <a:pt x="0" y="0"/>
                                </a:lnTo>
                                <a:close/>
                                <a:moveTo>
                                  <a:pt x="68961" y="15050"/>
                                </a:moveTo>
                                <a:lnTo>
                                  <a:pt x="7525" y="15050"/>
                                </a:lnTo>
                                <a:lnTo>
                                  <a:pt x="7525" y="7525"/>
                                </a:lnTo>
                                <a:lnTo>
                                  <a:pt x="68961" y="7525"/>
                                </a:lnTo>
                                <a:lnTo>
                                  <a:pt x="68961" y="1505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7505C94" id="Group 20" o:spid="_x0000_s1026" style="position:absolute;margin-left:53.75pt;margin-top:35.95pt;width:28.65pt;height:41.55pt;z-index:251660288;mso-position-horizontal-relative:page;mso-position-vertical-relative:page;mso-width-relative:margin;mso-height-relative:margin" coordsize="272700,3957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">
                <o:lock v:ext="edit" aspectratio="t"/>
                <v:group id="Graphic 1" o:spid="_x0000_s1027" style="position:absolute;top:38957;width:272700;height:356806" coordorigin=",38957" coordsize="272700,356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">
                  <v:shape id="Freeform: Shape 773071273" o:spid="_x0000_s1028" style="position:absolute;left:207359;top:79057;width:42100;height:42100;visibility:visible;mso-wrap-style:square;v-text-anchor:middle" coordsize="42100,42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" path="m21050,42101v11621,,21051,-9430,21051,-21051c42101,9430,32671,,21050,,9430,,,9430,,21050,,32671,9430,42101,21050,42101xe" stroked="f">
                    <v:stroke joinstyle="miter"/>
                    <v:path arrowok="t" o:connecttype="custom" o:connectlocs="21050,42101;42101,21050;21050,0;0,21050;21050,42101" o:connectangles="0,0,0,0,0"/>
                  </v:shape>
                  <v:shape id="Freeform: Shape 1912277986" o:spid="_x0000_s1029" style="position:absolute;left:149923;top:69342;width:44386;height:44386;visibility:visible;mso-wrap-style:square;v-text-anchor:middle" coordsize="44386,443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" path="m22193,44386v12288,,22194,-9906,22194,-22193c44387,9906,34481,,22193,,9906,,,9906,,22193,,34480,9906,44386,22193,44386xe" stroked="f">
                    <v:stroke joinstyle="miter"/>
                    <v:path arrowok="t" o:connecttype="custom" o:connectlocs="22193,44386;44387,22193;22193,0;0,22193;22193,44386" o:connectangles="0,0,0,0,0"/>
                  </v:shape>
                  <v:shape id="Freeform: Shape 1405015508" o:spid="_x0000_s1030" style="position:absolute;top:38957;width:272700;height:356806;visibility:visible;mso-wrap-style:square;v-text-anchor:middle" coordsize="272700,356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" path="m136398,v-95,,-95,,,c136303,,136303,,136398,v-2476,,-4953,,-7334,95c126968,95,124968,190,122873,190v,,,,,c78772,1143,37148,7048,,16764l,218599v,30099,15145,58198,40291,74771l136398,356807r96012,-63342c257556,276892,272701,248793,272701,218694r,-201930c231743,6096,185452,,136398,xm100584,30480v12192,,22193,9906,22193,22193c122777,64865,112871,74867,100584,74867v-12287,,-22193,-9907,-22193,-22194c78486,40386,88392,30480,100584,30480xm41053,40100v11620,,21050,9430,21050,21051c62103,72771,52673,82201,41053,82201v-11621,,-21050,-9430,-21050,-21050c20003,49435,29432,40100,41053,40100xm259937,114681c222314,105918,180499,100965,136398,100965v,,,,,l136398,161639v6858,-10763,18955,-18002,32766,-18002c190595,143637,208026,161068,208026,182594v,50483,-71628,89630,-71628,89630l136398,341662r-12764,-8477l47244,282797c25622,268510,12668,244602,12668,218694r,-104013c50292,105918,92202,100965,136208,100965v,,,,95,l136303,12668r,c178975,12668,221456,17526,259842,26670r,88011l259937,114681xe" stroked="f">
                    <v:stroke joinstyle="miter"/>
                    <v:path arrowok="t" o:connecttype="custom" o:connectlocs="136398,0;136398,0;136398,0;129064,95;122873,190;122873,190;0,16764;0,218599;40291,293370;136398,356807;232410,293465;272701,218694;272701,16764;136398,0;100584,30480;122777,52673;100584,74867;78391,52673;100584,30480;41053,40100;62103,61151;41053,82201;20003,61151;41053,40100;259937,114681;136398,100965;136398,100965;136398,161639;169164,143637;208026,182594;136398,272224;136398,341662;123634,333185;47244,282797;12668,218694;12668,114681;136208,100965;136303,100965;136303,12668;136303,12668;259842,26670;259842,114681" o:connectangles="0,0,0,0,0,0,0,0,0,0,0,0,0,0,0,0,0,0,0,0,0,0,0,0,0,0,0,0,0,0,0,0,0,0,0,0,0,0,0,0,0,0"/>
                  </v:shape>
                  <v:shape id="Freeform: Shape 369770296" o:spid="_x0000_s1031" style="position:absolute;left:64674;top:182498;width:71628;height:128587;visibility:visible;mso-wrap-style:square;v-text-anchor:middle" coordsize="71628,1285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" path="m71628,18097r,110491c71628,128588,,89440,,38957,,17431,17431,,38862,,52673,95,64770,7334,71628,18097xe" stroked="f">
                    <v:stroke joinstyle="miter"/>
                    <v:path arrowok="t" o:connecttype="custom" o:connectlocs="71628,18097;71628,128588;0,38957;38862,0;71628,18097" o:connectangles="0,0,0,0,0"/>
                  </v:shape>
                </v:group>
                <v:shape id="Freeform: Shape 162696623" o:spid="_x0000_s1032" style="position:absolute;left:67341;width:137921;height:22478;visibility:visible;mso-wrap-style:square;v-text-anchor:middle" coordsize="137921,224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" path="m,l,22479r137922,l137922,,,xm68961,15050r-61436,l7525,7525r61436,l68961,15050xe" stroked="f">
                  <v:stroke joinstyle="miter"/>
                  <v:path arrowok="t" o:connecttype="custom" o:connectlocs="0,0;0,22479;137922,22479;137922,0;0,0;68961,15050;7525,15050;7525,7525;68961,7525;68961,15050" o:connectangles="0,0,0,0,0,0,0,0,0,0"/>
                </v:shape>
                <w10:wrap anchorx="page" anchory="page"/>
              </v:group>
            </w:pict>
          </mc:Fallback>
        </mc:AlternateContent>
      </w:r>
      <w:r w:rsidR="00451F85">
        <w:rPr>
          <w:noProof/>
        </w:rPr>
        <mc:AlternateContent>
          <mc:Choice Requires="wps">
            <w:drawing>
              <wp:anchor distT="0" distB="0" distL="114300" distR="114300" simplePos="0" relativeHeight="251654144" behindDoc="1" locked="1" layoutInCell="1" allowOverlap="1" wp14:anchorId="14DA2DE6" wp14:editId="1AEE0042">
                <wp:simplePos x="0" y="0"/>
                <wp:positionH relativeFrom="page">
                  <wp:posOffset>0</wp:posOffset>
                </wp:positionH>
                <wp:positionV relativeFrom="page">
                  <wp:posOffset>0</wp:posOffset>
                </wp:positionV>
                <wp:extent cx="7558405" cy="10691495"/>
                <wp:effectExtent l="0" t="0" r="0" b="0"/>
                <wp:wrapNone/>
                <wp:docPr id="1867867847"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58405" cy="10691495"/>
                        </a:xfrm>
                        <a:prstGeom prst="rect">
                          <a:avLst/>
                        </a:prstGeom>
                        <a:solidFill>
                          <a:srgbClr val="262262"/>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1E4FC8D" id="Rectangle 13" o:spid="_x0000_s1026" style="position:absolute;margin-left:0;margin-top:0;width:595.15pt;height:841.85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" fillcolor="#262262" stroked="f" strokeweight="1pt">
                <w10:wrap anchorx="page" anchory="page"/>
                <w10:anchorlock/>
              </v:rect>
            </w:pict>
          </mc:Fallback>
        </mc:AlternateContent>
      </w:r>
      <w:r w:rsidR="00451F85">
        <w:rPr>
          <w:noProof/>
        </w:rPr>
        <mc:AlternateContent>
          <mc:Choice Requires="wpg">
            <w:drawing>
              <wp:anchor distT="0" distB="0" distL="114300" distR="114300" simplePos="0" relativeHeight="251662336" behindDoc="0" locked="1" layoutInCell="1" allowOverlap="1" wp14:anchorId="111F7F2A" wp14:editId="11E65345">
                <wp:simplePos x="0" y="0"/>
                <wp:positionH relativeFrom="page">
                  <wp:posOffset>5118100</wp:posOffset>
                </wp:positionH>
                <wp:positionV relativeFrom="page">
                  <wp:posOffset>9496425</wp:posOffset>
                </wp:positionV>
                <wp:extent cx="1939290" cy="628015"/>
                <wp:effectExtent l="0" t="0" r="0" b="0"/>
                <wp:wrapNone/>
                <wp:docPr id="2096702229" name="Group 11"/>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1939290" cy="628015"/>
                          <a:chOff x="0" y="0"/>
                          <a:chExt cx="1454181" cy="471201"/>
                        </a:xfrm>
                        <a:solidFill>
                          <a:srgbClr val="160D47"/>
                        </a:solidFill>
                      </wpg:grpSpPr>
                      <wps:wsp>
                        <wps:cNvPr id="928393977" name="Freeform: Shape 928393977"/>
                        <wps:cNvSpPr/>
                        <wps:spPr>
                          <a:xfrm>
                            <a:off x="0" y="5143"/>
                            <a:ext cx="178022" cy="459105"/>
                          </a:xfrm>
                          <a:custGeom>
                            <a:avLst/>
                            <a:gdLst>
                              <a:gd name="connsiteX0" fmla="*/ 0 w 178022"/>
                              <a:gd name="connsiteY0" fmla="*/ 459105 h 459105"/>
                              <a:gd name="connsiteX1" fmla="*/ 0 w 178022"/>
                              <a:gd name="connsiteY1" fmla="*/ 425958 h 459105"/>
                              <a:gd name="connsiteX2" fmla="*/ 54578 w 178022"/>
                              <a:gd name="connsiteY2" fmla="*/ 417767 h 459105"/>
                              <a:gd name="connsiteX3" fmla="*/ 54578 w 178022"/>
                              <a:gd name="connsiteY3" fmla="*/ 41243 h 459105"/>
                              <a:gd name="connsiteX4" fmla="*/ 0 w 178022"/>
                              <a:gd name="connsiteY4" fmla="*/ 33147 h 459105"/>
                              <a:gd name="connsiteX5" fmla="*/ 0 w 178022"/>
                              <a:gd name="connsiteY5" fmla="*/ 0 h 459105"/>
                              <a:gd name="connsiteX6" fmla="*/ 178022 w 178022"/>
                              <a:gd name="connsiteY6" fmla="*/ 0 h 459105"/>
                              <a:gd name="connsiteX7" fmla="*/ 178022 w 178022"/>
                              <a:gd name="connsiteY7" fmla="*/ 33147 h 459105"/>
                              <a:gd name="connsiteX8" fmla="*/ 124016 w 178022"/>
                              <a:gd name="connsiteY8" fmla="*/ 41243 h 459105"/>
                              <a:gd name="connsiteX9" fmla="*/ 124016 w 178022"/>
                              <a:gd name="connsiteY9" fmla="*/ 417767 h 459105"/>
                              <a:gd name="connsiteX10" fmla="*/ 178022 w 178022"/>
                              <a:gd name="connsiteY10" fmla="*/ 427101 h 459105"/>
                              <a:gd name="connsiteX11" fmla="*/ 178022 w 178022"/>
                              <a:gd name="connsiteY11" fmla="*/ 459105 h 459105"/>
                              <a:gd name="connsiteX12" fmla="*/ 0 w 178022"/>
                              <a:gd name="connsiteY12" fmla="*/ 459105 h 45910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178022" h="459105">
                                <a:moveTo>
                                  <a:pt x="0" y="459105"/>
                                </a:moveTo>
                                <a:lnTo>
                                  <a:pt x="0" y="425958"/>
                                </a:lnTo>
                                <a:lnTo>
                                  <a:pt x="54578" y="417767"/>
                                </a:lnTo>
                                <a:lnTo>
                                  <a:pt x="54578" y="41243"/>
                                </a:lnTo>
                                <a:lnTo>
                                  <a:pt x="0" y="33147"/>
                                </a:lnTo>
                                <a:lnTo>
                                  <a:pt x="0" y="0"/>
                                </a:lnTo>
                                <a:lnTo>
                                  <a:pt x="178022" y="0"/>
                                </a:lnTo>
                                <a:lnTo>
                                  <a:pt x="178022" y="33147"/>
                                </a:lnTo>
                                <a:lnTo>
                                  <a:pt x="124016" y="41243"/>
                                </a:lnTo>
                                <a:lnTo>
                                  <a:pt x="124016" y="417767"/>
                                </a:lnTo>
                                <a:lnTo>
                                  <a:pt x="178022" y="427101"/>
                                </a:lnTo>
                                <a:lnTo>
                                  <a:pt x="178022" y="459105"/>
                                </a:lnTo>
                                <a:lnTo>
                                  <a:pt x="0" y="459105"/>
                                </a:lnTo>
                                <a:close/>
                              </a:path>
                            </a:pathLst>
                          </a:custGeom>
                          <a:solidFill>
                            <a:srgbClr val="160D47"/>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916589971" name="Freeform: Shape 916589971"/>
                        <wps:cNvSpPr/>
                        <wps:spPr>
                          <a:xfrm>
                            <a:off x="242887" y="5143"/>
                            <a:ext cx="449770" cy="459200"/>
                          </a:xfrm>
                          <a:custGeom>
                            <a:avLst/>
                            <a:gdLst>
                              <a:gd name="connsiteX0" fmla="*/ 0 w 449770"/>
                              <a:gd name="connsiteY0" fmla="*/ 459105 h 459200"/>
                              <a:gd name="connsiteX1" fmla="*/ 0 w 449770"/>
                              <a:gd name="connsiteY1" fmla="*/ 425958 h 459200"/>
                              <a:gd name="connsiteX2" fmla="*/ 50387 w 449770"/>
                              <a:gd name="connsiteY2" fmla="*/ 417767 h 459200"/>
                              <a:gd name="connsiteX3" fmla="*/ 50387 w 449770"/>
                              <a:gd name="connsiteY3" fmla="*/ 41243 h 459200"/>
                              <a:gd name="connsiteX4" fmla="*/ 0 w 449770"/>
                              <a:gd name="connsiteY4" fmla="*/ 33147 h 459200"/>
                              <a:gd name="connsiteX5" fmla="*/ 0 w 449770"/>
                              <a:gd name="connsiteY5" fmla="*/ 0 h 459200"/>
                              <a:gd name="connsiteX6" fmla="*/ 116776 w 449770"/>
                              <a:gd name="connsiteY6" fmla="*/ 0 h 459200"/>
                              <a:gd name="connsiteX7" fmla="*/ 322802 w 449770"/>
                              <a:gd name="connsiteY7" fmla="*/ 297466 h 459200"/>
                              <a:gd name="connsiteX8" fmla="*/ 352616 w 449770"/>
                              <a:gd name="connsiteY8" fmla="*/ 353282 h 459200"/>
                              <a:gd name="connsiteX9" fmla="*/ 352616 w 449770"/>
                              <a:gd name="connsiteY9" fmla="*/ 41339 h 459200"/>
                              <a:gd name="connsiteX10" fmla="*/ 298037 w 449770"/>
                              <a:gd name="connsiteY10" fmla="*/ 33242 h 459200"/>
                              <a:gd name="connsiteX11" fmla="*/ 298037 w 449770"/>
                              <a:gd name="connsiteY11" fmla="*/ 95 h 459200"/>
                              <a:gd name="connsiteX12" fmla="*/ 449771 w 449770"/>
                              <a:gd name="connsiteY12" fmla="*/ 95 h 459200"/>
                              <a:gd name="connsiteX13" fmla="*/ 449771 w 449770"/>
                              <a:gd name="connsiteY13" fmla="*/ 33242 h 459200"/>
                              <a:gd name="connsiteX14" fmla="*/ 398812 w 449770"/>
                              <a:gd name="connsiteY14" fmla="*/ 41720 h 459200"/>
                              <a:gd name="connsiteX15" fmla="*/ 398812 w 449770"/>
                              <a:gd name="connsiteY15" fmla="*/ 459200 h 459200"/>
                              <a:gd name="connsiteX16" fmla="*/ 354140 w 449770"/>
                              <a:gd name="connsiteY16" fmla="*/ 459200 h 459200"/>
                              <a:gd name="connsiteX17" fmla="*/ 143542 w 449770"/>
                              <a:gd name="connsiteY17" fmla="*/ 157258 h 459200"/>
                              <a:gd name="connsiteX18" fmla="*/ 96488 w 449770"/>
                              <a:gd name="connsiteY18" fmla="*/ 76676 h 459200"/>
                              <a:gd name="connsiteX19" fmla="*/ 96488 w 449770"/>
                              <a:gd name="connsiteY19" fmla="*/ 417862 h 459200"/>
                              <a:gd name="connsiteX20" fmla="*/ 152305 w 449770"/>
                              <a:gd name="connsiteY20" fmla="*/ 426053 h 459200"/>
                              <a:gd name="connsiteX21" fmla="*/ 152305 w 449770"/>
                              <a:gd name="connsiteY21" fmla="*/ 459200 h 459200"/>
                              <a:gd name="connsiteX22" fmla="*/ 0 w 449770"/>
                              <a:gd name="connsiteY22" fmla="*/ 459105 h 4592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Lst>
                            <a:rect l="l" t="t" r="r" b="b"/>
                            <a:pathLst>
                              <a:path w="449770" h="459200">
                                <a:moveTo>
                                  <a:pt x="0" y="459105"/>
                                </a:moveTo>
                                <a:lnTo>
                                  <a:pt x="0" y="425958"/>
                                </a:lnTo>
                                <a:lnTo>
                                  <a:pt x="50387" y="417767"/>
                                </a:lnTo>
                                <a:lnTo>
                                  <a:pt x="50387" y="41243"/>
                                </a:lnTo>
                                <a:lnTo>
                                  <a:pt x="0" y="33147"/>
                                </a:lnTo>
                                <a:lnTo>
                                  <a:pt x="0" y="0"/>
                                </a:lnTo>
                                <a:lnTo>
                                  <a:pt x="116776" y="0"/>
                                </a:lnTo>
                                <a:lnTo>
                                  <a:pt x="322802" y="297466"/>
                                </a:lnTo>
                                <a:lnTo>
                                  <a:pt x="352616" y="353282"/>
                                </a:lnTo>
                                <a:lnTo>
                                  <a:pt x="352616" y="41339"/>
                                </a:lnTo>
                                <a:lnTo>
                                  <a:pt x="298037" y="33242"/>
                                </a:lnTo>
                                <a:lnTo>
                                  <a:pt x="298037" y="95"/>
                                </a:lnTo>
                                <a:lnTo>
                                  <a:pt x="449771" y="95"/>
                                </a:lnTo>
                                <a:lnTo>
                                  <a:pt x="449771" y="33242"/>
                                </a:lnTo>
                                <a:lnTo>
                                  <a:pt x="398812" y="41720"/>
                                </a:lnTo>
                                <a:lnTo>
                                  <a:pt x="398812" y="459200"/>
                                </a:lnTo>
                                <a:lnTo>
                                  <a:pt x="354140" y="459200"/>
                                </a:lnTo>
                                <a:lnTo>
                                  <a:pt x="143542" y="157258"/>
                                </a:lnTo>
                                <a:lnTo>
                                  <a:pt x="96488" y="76676"/>
                                </a:lnTo>
                                <a:lnTo>
                                  <a:pt x="96488" y="417862"/>
                                </a:lnTo>
                                <a:lnTo>
                                  <a:pt x="152305" y="426053"/>
                                </a:lnTo>
                                <a:lnTo>
                                  <a:pt x="152305" y="459200"/>
                                </a:lnTo>
                                <a:lnTo>
                                  <a:pt x="0" y="459105"/>
                                </a:lnTo>
                                <a:close/>
                              </a:path>
                            </a:pathLst>
                          </a:custGeom>
                          <a:solidFill>
                            <a:srgbClr val="160D47"/>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599522345" name="Freeform: Shape 1599522345"/>
                        <wps:cNvSpPr/>
                        <wps:spPr>
                          <a:xfrm>
                            <a:off x="745140" y="0"/>
                            <a:ext cx="303847" cy="471201"/>
                          </a:xfrm>
                          <a:custGeom>
                            <a:avLst/>
                            <a:gdLst>
                              <a:gd name="connsiteX0" fmla="*/ 140303 w 303847"/>
                              <a:gd name="connsiteY0" fmla="*/ 471202 h 471201"/>
                              <a:gd name="connsiteX1" fmla="*/ 90964 w 303847"/>
                              <a:gd name="connsiteY1" fmla="*/ 467106 h 471201"/>
                              <a:gd name="connsiteX2" fmla="*/ 50673 w 303847"/>
                              <a:gd name="connsiteY2" fmla="*/ 457867 h 471201"/>
                              <a:gd name="connsiteX3" fmla="*/ 20098 w 303847"/>
                              <a:gd name="connsiteY3" fmla="*/ 448247 h 471201"/>
                              <a:gd name="connsiteX4" fmla="*/ 0 w 303847"/>
                              <a:gd name="connsiteY4" fmla="*/ 443103 h 471201"/>
                              <a:gd name="connsiteX5" fmla="*/ 5143 w 303847"/>
                              <a:gd name="connsiteY5" fmla="*/ 331756 h 471201"/>
                              <a:gd name="connsiteX6" fmla="*/ 46768 w 303847"/>
                              <a:gd name="connsiteY6" fmla="*/ 331756 h 471201"/>
                              <a:gd name="connsiteX7" fmla="*/ 59436 w 303847"/>
                              <a:gd name="connsiteY7" fmla="*/ 406527 h 471201"/>
                              <a:gd name="connsiteX8" fmla="*/ 73057 w 303847"/>
                              <a:gd name="connsiteY8" fmla="*/ 417386 h 471201"/>
                              <a:gd name="connsiteX9" fmla="*/ 92392 w 303847"/>
                              <a:gd name="connsiteY9" fmla="*/ 426244 h 471201"/>
                              <a:gd name="connsiteX10" fmla="*/ 115919 w 303847"/>
                              <a:gd name="connsiteY10" fmla="*/ 432149 h 471201"/>
                              <a:gd name="connsiteX11" fmla="*/ 142208 w 303847"/>
                              <a:gd name="connsiteY11" fmla="*/ 434245 h 471201"/>
                              <a:gd name="connsiteX12" fmla="*/ 209359 w 303847"/>
                              <a:gd name="connsiteY12" fmla="*/ 414147 h 471201"/>
                              <a:gd name="connsiteX13" fmla="*/ 230886 w 303847"/>
                              <a:gd name="connsiteY13" fmla="*/ 359093 h 471201"/>
                              <a:gd name="connsiteX14" fmla="*/ 223838 w 303847"/>
                              <a:gd name="connsiteY14" fmla="*/ 326803 h 471201"/>
                              <a:gd name="connsiteX15" fmla="*/ 203359 w 303847"/>
                              <a:gd name="connsiteY15" fmla="*/ 301466 h 471201"/>
                              <a:gd name="connsiteX16" fmla="*/ 170878 w 303847"/>
                              <a:gd name="connsiteY16" fmla="*/ 279940 h 471201"/>
                              <a:gd name="connsiteX17" fmla="*/ 128302 w 303847"/>
                              <a:gd name="connsiteY17" fmla="*/ 258985 h 471201"/>
                              <a:gd name="connsiteX18" fmla="*/ 88297 w 303847"/>
                              <a:gd name="connsiteY18" fmla="*/ 238792 h 471201"/>
                              <a:gd name="connsiteX19" fmla="*/ 48958 w 303847"/>
                              <a:gd name="connsiteY19" fmla="*/ 210026 h 471201"/>
                              <a:gd name="connsiteX20" fmla="*/ 18764 w 303847"/>
                              <a:gd name="connsiteY20" fmla="*/ 170307 h 471201"/>
                              <a:gd name="connsiteX21" fmla="*/ 6667 w 303847"/>
                              <a:gd name="connsiteY21" fmla="*/ 117539 h 471201"/>
                              <a:gd name="connsiteX22" fmla="*/ 17335 w 303847"/>
                              <a:gd name="connsiteY22" fmla="*/ 70009 h 471201"/>
                              <a:gd name="connsiteX23" fmla="*/ 47530 w 303847"/>
                              <a:gd name="connsiteY23" fmla="*/ 32766 h 471201"/>
                              <a:gd name="connsiteX24" fmla="*/ 94297 w 303847"/>
                              <a:gd name="connsiteY24" fmla="*/ 8477 h 471201"/>
                              <a:gd name="connsiteX25" fmla="*/ 155067 w 303847"/>
                              <a:gd name="connsiteY25" fmla="*/ 0 h 471201"/>
                              <a:gd name="connsiteX26" fmla="*/ 194596 w 303847"/>
                              <a:gd name="connsiteY26" fmla="*/ 3048 h 471201"/>
                              <a:gd name="connsiteX27" fmla="*/ 228790 w 303847"/>
                              <a:gd name="connsiteY27" fmla="*/ 9811 h 471201"/>
                              <a:gd name="connsiteX28" fmla="*/ 256127 w 303847"/>
                              <a:gd name="connsiteY28" fmla="*/ 17336 h 471201"/>
                              <a:gd name="connsiteX29" fmla="*/ 274796 w 303847"/>
                              <a:gd name="connsiteY29" fmla="*/ 22289 h 471201"/>
                              <a:gd name="connsiteX30" fmla="*/ 270891 w 303847"/>
                              <a:gd name="connsiteY30" fmla="*/ 124587 h 471201"/>
                              <a:gd name="connsiteX31" fmla="*/ 230791 w 303847"/>
                              <a:gd name="connsiteY31" fmla="*/ 124587 h 471201"/>
                              <a:gd name="connsiteX32" fmla="*/ 216027 w 303847"/>
                              <a:gd name="connsiteY32" fmla="*/ 53721 h 471201"/>
                              <a:gd name="connsiteX33" fmla="*/ 207169 w 303847"/>
                              <a:gd name="connsiteY33" fmla="*/ 47530 h 471201"/>
                              <a:gd name="connsiteX34" fmla="*/ 192691 w 303847"/>
                              <a:gd name="connsiteY34" fmla="*/ 41910 h 471201"/>
                              <a:gd name="connsiteX35" fmla="*/ 174117 w 303847"/>
                              <a:gd name="connsiteY35" fmla="*/ 37814 h 471201"/>
                              <a:gd name="connsiteX36" fmla="*/ 152971 w 303847"/>
                              <a:gd name="connsiteY36" fmla="*/ 36195 h 471201"/>
                              <a:gd name="connsiteX37" fmla="*/ 92488 w 303847"/>
                              <a:gd name="connsiteY37" fmla="*/ 52197 h 471201"/>
                              <a:gd name="connsiteX38" fmla="*/ 73342 w 303847"/>
                              <a:gd name="connsiteY38" fmla="*/ 100775 h 471201"/>
                              <a:gd name="connsiteX39" fmla="*/ 80105 w 303847"/>
                              <a:gd name="connsiteY39" fmla="*/ 131350 h 471201"/>
                              <a:gd name="connsiteX40" fmla="*/ 99917 w 303847"/>
                              <a:gd name="connsiteY40" fmla="*/ 155448 h 471201"/>
                              <a:gd name="connsiteX41" fmla="*/ 132207 w 303847"/>
                              <a:gd name="connsiteY41" fmla="*/ 176975 h 471201"/>
                              <a:gd name="connsiteX42" fmla="*/ 176213 w 303847"/>
                              <a:gd name="connsiteY42" fmla="*/ 199930 h 471201"/>
                              <a:gd name="connsiteX43" fmla="*/ 221361 w 303847"/>
                              <a:gd name="connsiteY43" fmla="*/ 223933 h 471201"/>
                              <a:gd name="connsiteX44" fmla="*/ 262414 w 303847"/>
                              <a:gd name="connsiteY44" fmla="*/ 253079 h 471201"/>
                              <a:gd name="connsiteX45" fmla="*/ 292227 w 303847"/>
                              <a:gd name="connsiteY45" fmla="*/ 290322 h 471201"/>
                              <a:gd name="connsiteX46" fmla="*/ 303847 w 303847"/>
                              <a:gd name="connsiteY46" fmla="*/ 339090 h 471201"/>
                              <a:gd name="connsiteX47" fmla="*/ 293275 w 303847"/>
                              <a:gd name="connsiteY47" fmla="*/ 386620 h 471201"/>
                              <a:gd name="connsiteX48" fmla="*/ 262223 w 303847"/>
                              <a:gd name="connsiteY48" fmla="*/ 429197 h 471201"/>
                              <a:gd name="connsiteX49" fmla="*/ 211074 w 303847"/>
                              <a:gd name="connsiteY49" fmla="*/ 459676 h 471201"/>
                              <a:gd name="connsiteX50" fmla="*/ 140303 w 303847"/>
                              <a:gd name="connsiteY50" fmla="*/ 471202 h 47120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Lst>
                            <a:rect l="l" t="t" r="r" b="b"/>
                            <a:pathLst>
                              <a:path w="303847" h="471201">
                                <a:moveTo>
                                  <a:pt x="140303" y="471202"/>
                                </a:moveTo>
                                <a:cubicBezTo>
                                  <a:pt x="122396" y="471202"/>
                                  <a:pt x="105918" y="469868"/>
                                  <a:pt x="90964" y="467106"/>
                                </a:cubicBezTo>
                                <a:cubicBezTo>
                                  <a:pt x="76009" y="464439"/>
                                  <a:pt x="62579" y="461296"/>
                                  <a:pt x="50673" y="457867"/>
                                </a:cubicBezTo>
                                <a:cubicBezTo>
                                  <a:pt x="38767" y="454438"/>
                                  <a:pt x="28575" y="451199"/>
                                  <a:pt x="20098" y="448247"/>
                                </a:cubicBezTo>
                                <a:cubicBezTo>
                                  <a:pt x="11525" y="445199"/>
                                  <a:pt x="4858" y="443484"/>
                                  <a:pt x="0" y="443103"/>
                                </a:cubicBezTo>
                                <a:lnTo>
                                  <a:pt x="5143" y="331756"/>
                                </a:lnTo>
                                <a:lnTo>
                                  <a:pt x="46768" y="331756"/>
                                </a:lnTo>
                                <a:lnTo>
                                  <a:pt x="59436" y="406527"/>
                                </a:lnTo>
                                <a:cubicBezTo>
                                  <a:pt x="62865" y="410337"/>
                                  <a:pt x="67342" y="413957"/>
                                  <a:pt x="73057" y="417386"/>
                                </a:cubicBezTo>
                                <a:cubicBezTo>
                                  <a:pt x="78676" y="420815"/>
                                  <a:pt x="85153" y="423767"/>
                                  <a:pt x="92392" y="426244"/>
                                </a:cubicBezTo>
                                <a:cubicBezTo>
                                  <a:pt x="99631" y="428720"/>
                                  <a:pt x="107442" y="430721"/>
                                  <a:pt x="115919" y="432149"/>
                                </a:cubicBezTo>
                                <a:cubicBezTo>
                                  <a:pt x="124396" y="433578"/>
                                  <a:pt x="133159" y="434245"/>
                                  <a:pt x="142208" y="434245"/>
                                </a:cubicBezTo>
                                <a:cubicBezTo>
                                  <a:pt x="172593" y="434245"/>
                                  <a:pt x="194977" y="427577"/>
                                  <a:pt x="209359" y="414147"/>
                                </a:cubicBezTo>
                                <a:cubicBezTo>
                                  <a:pt x="223742" y="400812"/>
                                  <a:pt x="230886" y="382429"/>
                                  <a:pt x="230886" y="359093"/>
                                </a:cubicBezTo>
                                <a:cubicBezTo>
                                  <a:pt x="230886" y="346805"/>
                                  <a:pt x="228505" y="336042"/>
                                  <a:pt x="223838" y="326803"/>
                                </a:cubicBezTo>
                                <a:cubicBezTo>
                                  <a:pt x="219075" y="317564"/>
                                  <a:pt x="212312" y="309086"/>
                                  <a:pt x="203359" y="301466"/>
                                </a:cubicBezTo>
                                <a:cubicBezTo>
                                  <a:pt x="194405" y="293846"/>
                                  <a:pt x="183547" y="286607"/>
                                  <a:pt x="170878" y="279940"/>
                                </a:cubicBezTo>
                                <a:cubicBezTo>
                                  <a:pt x="158210" y="273177"/>
                                  <a:pt x="144018" y="266224"/>
                                  <a:pt x="128302" y="258985"/>
                                </a:cubicBezTo>
                                <a:cubicBezTo>
                                  <a:pt x="115824" y="253365"/>
                                  <a:pt x="102489" y="246602"/>
                                  <a:pt x="88297" y="238792"/>
                                </a:cubicBezTo>
                                <a:cubicBezTo>
                                  <a:pt x="74104" y="230981"/>
                                  <a:pt x="60960" y="221361"/>
                                  <a:pt x="48958" y="210026"/>
                                </a:cubicBezTo>
                                <a:cubicBezTo>
                                  <a:pt x="36862" y="198692"/>
                                  <a:pt x="26860" y="185452"/>
                                  <a:pt x="18764" y="170307"/>
                                </a:cubicBezTo>
                                <a:cubicBezTo>
                                  <a:pt x="10668" y="155258"/>
                                  <a:pt x="6667" y="137636"/>
                                  <a:pt x="6667" y="117539"/>
                                </a:cubicBezTo>
                                <a:cubicBezTo>
                                  <a:pt x="6667" y="100203"/>
                                  <a:pt x="10192" y="84392"/>
                                  <a:pt x="17335" y="70009"/>
                                </a:cubicBezTo>
                                <a:cubicBezTo>
                                  <a:pt x="24479" y="55626"/>
                                  <a:pt x="34480" y="43244"/>
                                  <a:pt x="47530" y="32766"/>
                                </a:cubicBezTo>
                                <a:cubicBezTo>
                                  <a:pt x="60484" y="22289"/>
                                  <a:pt x="76105" y="14192"/>
                                  <a:pt x="94297" y="8477"/>
                                </a:cubicBezTo>
                                <a:cubicBezTo>
                                  <a:pt x="112490" y="2858"/>
                                  <a:pt x="132778" y="0"/>
                                  <a:pt x="155067" y="0"/>
                                </a:cubicBezTo>
                                <a:cubicBezTo>
                                  <a:pt x="168973" y="0"/>
                                  <a:pt x="182118" y="1048"/>
                                  <a:pt x="194596" y="3048"/>
                                </a:cubicBezTo>
                                <a:cubicBezTo>
                                  <a:pt x="207073" y="5048"/>
                                  <a:pt x="218503" y="7334"/>
                                  <a:pt x="228790" y="9811"/>
                                </a:cubicBezTo>
                                <a:cubicBezTo>
                                  <a:pt x="239173" y="12287"/>
                                  <a:pt x="248221" y="14859"/>
                                  <a:pt x="256127" y="17336"/>
                                </a:cubicBezTo>
                                <a:cubicBezTo>
                                  <a:pt x="263938" y="19812"/>
                                  <a:pt x="270224" y="21527"/>
                                  <a:pt x="274796" y="22289"/>
                                </a:cubicBezTo>
                                <a:lnTo>
                                  <a:pt x="270891" y="124587"/>
                                </a:lnTo>
                                <a:lnTo>
                                  <a:pt x="230791" y="124587"/>
                                </a:lnTo>
                                <a:lnTo>
                                  <a:pt x="216027" y="53721"/>
                                </a:lnTo>
                                <a:cubicBezTo>
                                  <a:pt x="214217" y="51721"/>
                                  <a:pt x="211265" y="49625"/>
                                  <a:pt x="207169" y="47530"/>
                                </a:cubicBezTo>
                                <a:cubicBezTo>
                                  <a:pt x="203073" y="45434"/>
                                  <a:pt x="198215" y="43529"/>
                                  <a:pt x="192691" y="41910"/>
                                </a:cubicBezTo>
                                <a:cubicBezTo>
                                  <a:pt x="187166" y="40291"/>
                                  <a:pt x="180975" y="38957"/>
                                  <a:pt x="174117" y="37814"/>
                                </a:cubicBezTo>
                                <a:cubicBezTo>
                                  <a:pt x="167259" y="36671"/>
                                  <a:pt x="160211" y="36195"/>
                                  <a:pt x="152971" y="36195"/>
                                </a:cubicBezTo>
                                <a:cubicBezTo>
                                  <a:pt x="125444" y="36195"/>
                                  <a:pt x="105251" y="41529"/>
                                  <a:pt x="92488" y="52197"/>
                                </a:cubicBezTo>
                                <a:cubicBezTo>
                                  <a:pt x="79724" y="62865"/>
                                  <a:pt x="73342" y="79058"/>
                                  <a:pt x="73342" y="100775"/>
                                </a:cubicBezTo>
                                <a:cubicBezTo>
                                  <a:pt x="73342" y="112395"/>
                                  <a:pt x="75628" y="122682"/>
                                  <a:pt x="80105" y="131350"/>
                                </a:cubicBezTo>
                                <a:cubicBezTo>
                                  <a:pt x="84582" y="140018"/>
                                  <a:pt x="91249" y="148114"/>
                                  <a:pt x="99917" y="155448"/>
                                </a:cubicBezTo>
                                <a:cubicBezTo>
                                  <a:pt x="108585" y="162782"/>
                                  <a:pt x="119348" y="170021"/>
                                  <a:pt x="132207" y="176975"/>
                                </a:cubicBezTo>
                                <a:cubicBezTo>
                                  <a:pt x="145066" y="184023"/>
                                  <a:pt x="159734" y="191643"/>
                                  <a:pt x="176213" y="199930"/>
                                </a:cubicBezTo>
                                <a:cubicBezTo>
                                  <a:pt x="191071" y="207359"/>
                                  <a:pt x="206121" y="215360"/>
                                  <a:pt x="221361" y="223933"/>
                                </a:cubicBezTo>
                                <a:cubicBezTo>
                                  <a:pt x="236506" y="232505"/>
                                  <a:pt x="250222" y="242221"/>
                                  <a:pt x="262414" y="253079"/>
                                </a:cubicBezTo>
                                <a:cubicBezTo>
                                  <a:pt x="274606" y="263938"/>
                                  <a:pt x="284512" y="276320"/>
                                  <a:pt x="292227" y="290322"/>
                                </a:cubicBezTo>
                                <a:cubicBezTo>
                                  <a:pt x="299942" y="304324"/>
                                  <a:pt x="303847" y="320516"/>
                                  <a:pt x="303847" y="339090"/>
                                </a:cubicBezTo>
                                <a:cubicBezTo>
                                  <a:pt x="303847" y="354997"/>
                                  <a:pt x="300323" y="370808"/>
                                  <a:pt x="293275" y="386620"/>
                                </a:cubicBezTo>
                                <a:cubicBezTo>
                                  <a:pt x="286226" y="402431"/>
                                  <a:pt x="275844" y="416624"/>
                                  <a:pt x="262223" y="429197"/>
                                </a:cubicBezTo>
                                <a:cubicBezTo>
                                  <a:pt x="248507" y="441770"/>
                                  <a:pt x="231457" y="451961"/>
                                  <a:pt x="211074" y="459676"/>
                                </a:cubicBezTo>
                                <a:cubicBezTo>
                                  <a:pt x="190595" y="467392"/>
                                  <a:pt x="167068" y="471202"/>
                                  <a:pt x="140303" y="471202"/>
                                </a:cubicBezTo>
                                <a:close/>
                              </a:path>
                            </a:pathLst>
                          </a:custGeom>
                          <a:solidFill>
                            <a:srgbClr val="160D47"/>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764459747" name="Freeform: Shape 1764459747"/>
                        <wps:cNvSpPr/>
                        <wps:spPr>
                          <a:xfrm>
                            <a:off x="1102614" y="952"/>
                            <a:ext cx="351567" cy="463296"/>
                          </a:xfrm>
                          <a:custGeom>
                            <a:avLst/>
                            <a:gdLst>
                              <a:gd name="connsiteX0" fmla="*/ 0 w 351567"/>
                              <a:gd name="connsiteY0" fmla="*/ 463296 h 463296"/>
                              <a:gd name="connsiteX1" fmla="*/ 0 w 351567"/>
                              <a:gd name="connsiteY1" fmla="*/ 430149 h 463296"/>
                              <a:gd name="connsiteX2" fmla="*/ 50673 w 351567"/>
                              <a:gd name="connsiteY2" fmla="*/ 422339 h 463296"/>
                              <a:gd name="connsiteX3" fmla="*/ 50673 w 351567"/>
                              <a:gd name="connsiteY3" fmla="*/ 45530 h 463296"/>
                              <a:gd name="connsiteX4" fmla="*/ 3619 w 351567"/>
                              <a:gd name="connsiteY4" fmla="*/ 37433 h 463296"/>
                              <a:gd name="connsiteX5" fmla="*/ 3619 w 351567"/>
                              <a:gd name="connsiteY5" fmla="*/ 4191 h 463296"/>
                              <a:gd name="connsiteX6" fmla="*/ 85344 w 351567"/>
                              <a:gd name="connsiteY6" fmla="*/ 4191 h 463296"/>
                              <a:gd name="connsiteX7" fmla="*/ 111252 w 351567"/>
                              <a:gd name="connsiteY7" fmla="*/ 3620 h 463296"/>
                              <a:gd name="connsiteX8" fmla="*/ 133255 w 351567"/>
                              <a:gd name="connsiteY8" fmla="*/ 2096 h 463296"/>
                              <a:gd name="connsiteX9" fmla="*/ 157829 w 351567"/>
                              <a:gd name="connsiteY9" fmla="*/ 571 h 463296"/>
                              <a:gd name="connsiteX10" fmla="*/ 191167 w 351567"/>
                              <a:gd name="connsiteY10" fmla="*/ 0 h 463296"/>
                              <a:gd name="connsiteX11" fmla="*/ 267938 w 351567"/>
                              <a:gd name="connsiteY11" fmla="*/ 8858 h 463296"/>
                              <a:gd name="connsiteX12" fmla="*/ 317373 w 351567"/>
                              <a:gd name="connsiteY12" fmla="*/ 34481 h 463296"/>
                              <a:gd name="connsiteX13" fmla="*/ 343757 w 351567"/>
                              <a:gd name="connsiteY13" fmla="*/ 75629 h 463296"/>
                              <a:gd name="connsiteX14" fmla="*/ 351568 w 351567"/>
                              <a:gd name="connsiteY14" fmla="*/ 131159 h 463296"/>
                              <a:gd name="connsiteX15" fmla="*/ 337947 w 351567"/>
                              <a:gd name="connsiteY15" fmla="*/ 199358 h 463296"/>
                              <a:gd name="connsiteX16" fmla="*/ 300419 w 351567"/>
                              <a:gd name="connsiteY16" fmla="*/ 249746 h 463296"/>
                              <a:gd name="connsiteX17" fmla="*/ 243840 w 351567"/>
                              <a:gd name="connsiteY17" fmla="*/ 280988 h 463296"/>
                              <a:gd name="connsiteX18" fmla="*/ 173260 w 351567"/>
                              <a:gd name="connsiteY18" fmla="*/ 291656 h 463296"/>
                              <a:gd name="connsiteX19" fmla="*/ 155734 w 351567"/>
                              <a:gd name="connsiteY19" fmla="*/ 291370 h 463296"/>
                              <a:gd name="connsiteX20" fmla="*/ 139636 w 351567"/>
                              <a:gd name="connsiteY20" fmla="*/ 290798 h 463296"/>
                              <a:gd name="connsiteX21" fmla="*/ 126778 w 351567"/>
                              <a:gd name="connsiteY21" fmla="*/ 289846 h 463296"/>
                              <a:gd name="connsiteX22" fmla="*/ 119253 w 351567"/>
                              <a:gd name="connsiteY22" fmla="*/ 288989 h 463296"/>
                              <a:gd name="connsiteX23" fmla="*/ 119253 w 351567"/>
                              <a:gd name="connsiteY23" fmla="*/ 421958 h 463296"/>
                              <a:gd name="connsiteX24" fmla="*/ 198882 w 351567"/>
                              <a:gd name="connsiteY24" fmla="*/ 430149 h 463296"/>
                              <a:gd name="connsiteX25" fmla="*/ 198882 w 351567"/>
                              <a:gd name="connsiteY25" fmla="*/ 463296 h 463296"/>
                              <a:gd name="connsiteX26" fmla="*/ 0 w 351567"/>
                              <a:gd name="connsiteY26" fmla="*/ 463296 h 463296"/>
                              <a:gd name="connsiteX27" fmla="*/ 119539 w 351567"/>
                              <a:gd name="connsiteY27" fmla="*/ 252794 h 463296"/>
                              <a:gd name="connsiteX28" fmla="*/ 128873 w 351567"/>
                              <a:gd name="connsiteY28" fmla="*/ 254127 h 463296"/>
                              <a:gd name="connsiteX29" fmla="*/ 140018 w 351567"/>
                              <a:gd name="connsiteY29" fmla="*/ 254889 h 463296"/>
                              <a:gd name="connsiteX30" fmla="*/ 154686 w 351567"/>
                              <a:gd name="connsiteY30" fmla="*/ 255365 h 463296"/>
                              <a:gd name="connsiteX31" fmla="*/ 174117 w 351567"/>
                              <a:gd name="connsiteY31" fmla="*/ 255556 h 463296"/>
                              <a:gd name="connsiteX32" fmla="*/ 212693 w 351567"/>
                              <a:gd name="connsiteY32" fmla="*/ 249841 h 463296"/>
                              <a:gd name="connsiteX33" fmla="*/ 246221 w 351567"/>
                              <a:gd name="connsiteY33" fmla="*/ 229934 h 463296"/>
                              <a:gd name="connsiteX34" fmla="*/ 269939 w 351567"/>
                              <a:gd name="connsiteY34" fmla="*/ 191643 h 463296"/>
                              <a:gd name="connsiteX35" fmla="*/ 278892 w 351567"/>
                              <a:gd name="connsiteY35" fmla="*/ 131350 h 463296"/>
                              <a:gd name="connsiteX36" fmla="*/ 272129 w 351567"/>
                              <a:gd name="connsiteY36" fmla="*/ 86963 h 463296"/>
                              <a:gd name="connsiteX37" fmla="*/ 252031 w 351567"/>
                              <a:gd name="connsiteY37" fmla="*/ 57055 h 463296"/>
                              <a:gd name="connsiteX38" fmla="*/ 218694 w 351567"/>
                              <a:gd name="connsiteY38" fmla="*/ 40291 h 463296"/>
                              <a:gd name="connsiteX39" fmla="*/ 171736 w 351567"/>
                              <a:gd name="connsiteY39" fmla="*/ 35052 h 463296"/>
                              <a:gd name="connsiteX40" fmla="*/ 153448 w 351567"/>
                              <a:gd name="connsiteY40" fmla="*/ 35528 h 463296"/>
                              <a:gd name="connsiteX41" fmla="*/ 140303 w 351567"/>
                              <a:gd name="connsiteY41" fmla="*/ 36767 h 463296"/>
                              <a:gd name="connsiteX42" fmla="*/ 129731 w 351567"/>
                              <a:gd name="connsiteY42" fmla="*/ 38100 h 463296"/>
                              <a:gd name="connsiteX43" fmla="*/ 119444 w 351567"/>
                              <a:gd name="connsiteY43" fmla="*/ 38672 h 463296"/>
                              <a:gd name="connsiteX44" fmla="*/ 119539 w 351567"/>
                              <a:gd name="connsiteY44" fmla="*/ 252794 h 46329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Lst>
                            <a:rect l="l" t="t" r="r" b="b"/>
                            <a:pathLst>
                              <a:path w="351567" h="463296">
                                <a:moveTo>
                                  <a:pt x="0" y="463296"/>
                                </a:moveTo>
                                <a:lnTo>
                                  <a:pt x="0" y="430149"/>
                                </a:lnTo>
                                <a:lnTo>
                                  <a:pt x="50673" y="422339"/>
                                </a:lnTo>
                                <a:lnTo>
                                  <a:pt x="50673" y="45530"/>
                                </a:lnTo>
                                <a:lnTo>
                                  <a:pt x="3619" y="37433"/>
                                </a:lnTo>
                                <a:lnTo>
                                  <a:pt x="3619" y="4191"/>
                                </a:lnTo>
                                <a:lnTo>
                                  <a:pt x="85344" y="4191"/>
                                </a:lnTo>
                                <a:cubicBezTo>
                                  <a:pt x="95440" y="4191"/>
                                  <a:pt x="104013" y="4000"/>
                                  <a:pt x="111252" y="3620"/>
                                </a:cubicBezTo>
                                <a:cubicBezTo>
                                  <a:pt x="118491" y="3239"/>
                                  <a:pt x="125825" y="2762"/>
                                  <a:pt x="133255" y="2096"/>
                                </a:cubicBezTo>
                                <a:cubicBezTo>
                                  <a:pt x="140684" y="1524"/>
                                  <a:pt x="148876" y="953"/>
                                  <a:pt x="157829" y="571"/>
                                </a:cubicBezTo>
                                <a:cubicBezTo>
                                  <a:pt x="166783" y="190"/>
                                  <a:pt x="177927" y="0"/>
                                  <a:pt x="191167" y="0"/>
                                </a:cubicBezTo>
                                <a:cubicBezTo>
                                  <a:pt x="221742" y="0"/>
                                  <a:pt x="247364" y="2953"/>
                                  <a:pt x="267938" y="8858"/>
                                </a:cubicBezTo>
                                <a:cubicBezTo>
                                  <a:pt x="288512" y="14764"/>
                                  <a:pt x="305086" y="23336"/>
                                  <a:pt x="317373" y="34481"/>
                                </a:cubicBezTo>
                                <a:cubicBezTo>
                                  <a:pt x="329756" y="45625"/>
                                  <a:pt x="338519" y="59341"/>
                                  <a:pt x="343757" y="75629"/>
                                </a:cubicBezTo>
                                <a:cubicBezTo>
                                  <a:pt x="348996" y="91916"/>
                                  <a:pt x="351568" y="110395"/>
                                  <a:pt x="351568" y="131159"/>
                                </a:cubicBezTo>
                                <a:cubicBezTo>
                                  <a:pt x="351568" y="156686"/>
                                  <a:pt x="346996" y="179451"/>
                                  <a:pt x="337947" y="199358"/>
                                </a:cubicBezTo>
                                <a:cubicBezTo>
                                  <a:pt x="328898" y="219266"/>
                                  <a:pt x="316420" y="236029"/>
                                  <a:pt x="300419" y="249746"/>
                                </a:cubicBezTo>
                                <a:cubicBezTo>
                                  <a:pt x="284416" y="263462"/>
                                  <a:pt x="265557" y="273844"/>
                                  <a:pt x="243840" y="280988"/>
                                </a:cubicBezTo>
                                <a:cubicBezTo>
                                  <a:pt x="222123" y="288131"/>
                                  <a:pt x="198596" y="291656"/>
                                  <a:pt x="173260" y="291656"/>
                                </a:cubicBezTo>
                                <a:cubicBezTo>
                                  <a:pt x="167449" y="291656"/>
                                  <a:pt x="161544" y="291560"/>
                                  <a:pt x="155734" y="291370"/>
                                </a:cubicBezTo>
                                <a:cubicBezTo>
                                  <a:pt x="149923" y="291179"/>
                                  <a:pt x="144494" y="290989"/>
                                  <a:pt x="139636" y="290798"/>
                                </a:cubicBezTo>
                                <a:cubicBezTo>
                                  <a:pt x="134683" y="290608"/>
                                  <a:pt x="130397" y="290322"/>
                                  <a:pt x="126778" y="289846"/>
                                </a:cubicBezTo>
                                <a:cubicBezTo>
                                  <a:pt x="123158" y="289465"/>
                                  <a:pt x="120682" y="289179"/>
                                  <a:pt x="119253" y="288989"/>
                                </a:cubicBezTo>
                                <a:lnTo>
                                  <a:pt x="119253" y="421958"/>
                                </a:lnTo>
                                <a:lnTo>
                                  <a:pt x="198882" y="430149"/>
                                </a:lnTo>
                                <a:lnTo>
                                  <a:pt x="198882" y="463296"/>
                                </a:lnTo>
                                <a:lnTo>
                                  <a:pt x="0" y="463296"/>
                                </a:lnTo>
                                <a:close/>
                                <a:moveTo>
                                  <a:pt x="119539" y="252794"/>
                                </a:moveTo>
                                <a:cubicBezTo>
                                  <a:pt x="122587" y="253365"/>
                                  <a:pt x="125635" y="253841"/>
                                  <a:pt x="128873" y="254127"/>
                                </a:cubicBezTo>
                                <a:cubicBezTo>
                                  <a:pt x="132112" y="254413"/>
                                  <a:pt x="135827" y="254699"/>
                                  <a:pt x="140018" y="254889"/>
                                </a:cubicBezTo>
                                <a:cubicBezTo>
                                  <a:pt x="144208" y="255079"/>
                                  <a:pt x="149066" y="255270"/>
                                  <a:pt x="154686" y="255365"/>
                                </a:cubicBezTo>
                                <a:cubicBezTo>
                                  <a:pt x="160211" y="255461"/>
                                  <a:pt x="166687" y="255556"/>
                                  <a:pt x="174117" y="255556"/>
                                </a:cubicBezTo>
                                <a:cubicBezTo>
                                  <a:pt x="187357" y="255556"/>
                                  <a:pt x="200215" y="253651"/>
                                  <a:pt x="212693" y="249841"/>
                                </a:cubicBezTo>
                                <a:cubicBezTo>
                                  <a:pt x="225171" y="246031"/>
                                  <a:pt x="236315" y="239363"/>
                                  <a:pt x="246221" y="229934"/>
                                </a:cubicBezTo>
                                <a:cubicBezTo>
                                  <a:pt x="256032" y="220504"/>
                                  <a:pt x="263938" y="207740"/>
                                  <a:pt x="269939" y="191643"/>
                                </a:cubicBezTo>
                                <a:cubicBezTo>
                                  <a:pt x="275844" y="175546"/>
                                  <a:pt x="278892" y="155448"/>
                                  <a:pt x="278892" y="131350"/>
                                </a:cubicBezTo>
                                <a:cubicBezTo>
                                  <a:pt x="278892" y="114014"/>
                                  <a:pt x="276606" y="99251"/>
                                  <a:pt x="272129" y="86963"/>
                                </a:cubicBezTo>
                                <a:cubicBezTo>
                                  <a:pt x="267557" y="74676"/>
                                  <a:pt x="260890" y="64770"/>
                                  <a:pt x="252031" y="57055"/>
                                </a:cubicBezTo>
                                <a:cubicBezTo>
                                  <a:pt x="243173" y="49435"/>
                                  <a:pt x="232029" y="43815"/>
                                  <a:pt x="218694" y="40291"/>
                                </a:cubicBezTo>
                                <a:cubicBezTo>
                                  <a:pt x="205359" y="36767"/>
                                  <a:pt x="189643" y="35052"/>
                                  <a:pt x="171736" y="35052"/>
                                </a:cubicBezTo>
                                <a:cubicBezTo>
                                  <a:pt x="164497" y="35052"/>
                                  <a:pt x="158401" y="35243"/>
                                  <a:pt x="153448" y="35528"/>
                                </a:cubicBezTo>
                                <a:cubicBezTo>
                                  <a:pt x="148495" y="35814"/>
                                  <a:pt x="144113" y="36195"/>
                                  <a:pt x="140303" y="36767"/>
                                </a:cubicBezTo>
                                <a:cubicBezTo>
                                  <a:pt x="136493" y="37243"/>
                                  <a:pt x="132969" y="37719"/>
                                  <a:pt x="129731" y="38100"/>
                                </a:cubicBezTo>
                                <a:cubicBezTo>
                                  <a:pt x="126492" y="38481"/>
                                  <a:pt x="123063" y="38672"/>
                                  <a:pt x="119444" y="38672"/>
                                </a:cubicBezTo>
                                <a:lnTo>
                                  <a:pt x="119539" y="252794"/>
                                </a:lnTo>
                                <a:close/>
                              </a:path>
                            </a:pathLst>
                          </a:custGeom>
                          <a:solidFill>
                            <a:srgbClr val="160D47"/>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9A7EF7A" id="Group 11" o:spid="_x0000_s1026" style="position:absolute;margin-left:403pt;margin-top:747.75pt;width:152.7pt;height:49.45pt;z-index:251662336;mso-position-horizontal-relative:page;mso-position-vertical-relative:page;mso-width-relative:margin;mso-height-relative:margin" coordsize="14541,47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">
                <o:lock v:ext="edit" aspectratio="t"/>
                <v:shape id="Freeform: Shape 928393977" o:spid="_x0000_s1027" style="position:absolute;top:51;width:1780;height:4591;visibility:visible;mso-wrap-style:square;v-text-anchor:middle" coordsize="178022,459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" path="m,459105l,425958r54578,-8191l54578,41243,,33147,,,178022,r,33147l124016,41243r,376524l178022,427101r,32004l,459105xe" fillcolor="#160d47" stroked="f">
                  <v:stroke joinstyle="miter"/>
                  <v:path arrowok="t" o:connecttype="custom" o:connectlocs="0,459105;0,425958;54578,417767;54578,41243;0,33147;0,0;178022,0;178022,33147;124016,41243;124016,417767;178022,427101;178022,459105;0,459105" o:connectangles="0,0,0,0,0,0,0,0,0,0,0,0,0"/>
                </v:shape>
                <v:shape id="Freeform: Shape 916589971" o:spid="_x0000_s1028" style="position:absolute;left:2428;top:51;width:4498;height:4592;visibility:visible;mso-wrap-style:square;v-text-anchor:middle" coordsize="449770,459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" path="m,459105l,425958r50387,-8191l50387,41243,,33147,,,116776,,322802,297466r29814,55816l352616,41339,298037,33242r,-33147l449771,95r,33147l398812,41720r,417480l354140,459200,143542,157258,96488,76676r,341186l152305,426053r,33147l,459105xe" fillcolor="#160d47" stroked="f">
                  <v:stroke joinstyle="miter"/>
                  <v:path arrowok="t" o:connecttype="custom" o:connectlocs="0,459105;0,425958;50387,417767;50387,41243;0,33147;0,0;116776,0;322802,297466;352616,353282;352616,41339;298037,33242;298037,95;449771,95;449771,33242;398812,41720;398812,459200;354140,459200;143542,157258;96488,76676;96488,417862;152305,426053;152305,459200;0,459105" o:connectangles="0,0,0,0,0,0,0,0,0,0,0,0,0,0,0,0,0,0,0,0,0,0,0"/>
                </v:shape>
                <v:shape id="Freeform: Shape 1599522345" o:spid="_x0000_s1029" style="position:absolute;left:7451;width:3038;height:4712;visibility:visible;mso-wrap-style:square;v-text-anchor:middle" coordsize="303847,4712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" path="m140303,471202v-17907,,-34385,-1334,-49339,-4096c76009,464439,62579,461296,50673,457867,38767,454438,28575,451199,20098,448247,11525,445199,4858,443484,,443103l5143,331756r41625,l59436,406527v3429,3810,7906,7430,13621,10859c78676,420815,85153,423767,92392,426244v7239,2476,15050,4477,23527,5905c124396,433578,133159,434245,142208,434245v30385,,52769,-6668,67151,-20098c223742,400812,230886,382429,230886,359093v,-12288,-2381,-23051,-7048,-32290c219075,317564,212312,309086,203359,301466v-8954,-7620,-19812,-14859,-32481,-21526c158210,273177,144018,266224,128302,258985,115824,253365,102489,246602,88297,238792,74104,230981,60960,221361,48958,210026,36862,198692,26860,185452,18764,170307,10668,155258,6667,137636,6667,117539v,-17336,3525,-33147,10668,-47530c24479,55626,34480,43244,47530,32766,60484,22289,76105,14192,94297,8477,112490,2858,132778,,155067,v13906,,27051,1048,39529,3048c207073,5048,218503,7334,228790,9811v10383,2476,19431,5048,27337,7525c263938,19812,270224,21527,274796,22289r-3905,102298l230791,124587,216027,53721v-1810,-2000,-4762,-4096,-8858,-6191c203073,45434,198215,43529,192691,41910v-5525,-1619,-11716,-2953,-18574,-4096c167259,36671,160211,36195,152971,36195v-27527,,-47720,5334,-60483,16002c79724,62865,73342,79058,73342,100775v,11620,2286,21907,6763,30575c84582,140018,91249,148114,99917,155448v8668,7334,19431,14573,32290,21527c145066,184023,159734,191643,176213,199930v14858,7429,29908,15430,45148,24003c236506,232505,250222,242221,262414,253079v12192,10859,22098,23241,29813,37243c299942,304324,303847,320516,303847,339090v,15907,-3524,31718,-10572,47530c286226,402431,275844,416624,262223,429197v-13716,12573,-30766,22764,-51149,30479c190595,467392,167068,471202,140303,471202xe" fillcolor="#160d47" stroked="f">
                  <v:stroke joinstyle="miter"/>
                  <v:path arrowok="t" o:connecttype="custom" o:connectlocs="140303,471202;90964,467106;50673,457867;20098,448247;0,443103;5143,331756;46768,331756;59436,406527;73057,417386;92392,426244;115919,432149;142208,434245;209359,414147;230886,359093;223838,326803;203359,301466;170878,279940;128302,258985;88297,238792;48958,210026;18764,170307;6667,117539;17335,70009;47530,32766;94297,8477;155067,0;194596,3048;228790,9811;256127,17336;274796,22289;270891,124587;230791,124587;216027,53721;207169,47530;192691,41910;174117,37814;152971,36195;92488,52197;73342,100775;80105,131350;99917,155448;132207,176975;176213,199930;221361,223933;262414,253079;292227,290322;303847,339090;293275,386620;262223,429197;211074,459676;140303,471202" o:connectangles="0,0,0,0,0,0,0,0,0,0,0,0,0,0,0,0,0,0,0,0,0,0,0,0,0,0,0,0,0,0,0,0,0,0,0,0,0,0,0,0,0,0,0,0,0,0,0,0,0,0,0"/>
                </v:shape>
                <v:shape id="Freeform: Shape 1764459747" o:spid="_x0000_s1030" style="position:absolute;left:11026;top:9;width:3515;height:4633;visibility:visible;mso-wrap-style:square;v-text-anchor:middle" coordsize="351567,4632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" path="m,463296l,430149r50673,-7810l50673,45530,3619,37433r,-33242l85344,4191v10096,,18669,-191,25908,-571c118491,3239,125825,2762,133255,2096,140684,1524,148876,953,157829,571,166783,190,177927,,191167,v30575,,56197,2953,76771,8858c288512,14764,305086,23336,317373,34481v12383,11144,21146,24860,26384,41148c348996,91916,351568,110395,351568,131159v,25527,-4572,48292,-13621,68199c328898,219266,316420,236029,300419,249746v-16003,13716,-34862,24098,-56579,31242c222123,288131,198596,291656,173260,291656v-5811,,-11716,-96,-17526,-286c149923,291179,144494,290989,139636,290798v-4953,-190,-9239,-476,-12858,-952c123158,289465,120682,289179,119253,288989r,132969l198882,430149r,33147l,463296xm119539,252794v3048,571,6096,1047,9334,1333c132112,254413,135827,254699,140018,254889v4190,190,9048,381,14668,476c160211,255461,166687,255556,174117,255556v13240,,26098,-1905,38576,-5715c225171,246031,236315,239363,246221,229934v9811,-9430,17717,-22194,23718,-38291c275844,175546,278892,155448,278892,131350v,-17336,-2286,-32099,-6763,-44387c267557,74676,260890,64770,252031,57055,243173,49435,232029,43815,218694,40291,205359,36767,189643,35052,171736,35052v-7239,,-13335,191,-18288,476c148495,35814,144113,36195,140303,36767v-3810,476,-7334,952,-10572,1333c126492,38481,123063,38672,119444,38672r95,214122xe" fillcolor="#160d47" stroked="f">
                  <v:stroke joinstyle="miter"/>
                  <v:path arrowok="t" o:connecttype="custom" o:connectlocs="0,463296;0,430149;50673,422339;50673,45530;3619,37433;3619,4191;85344,4191;111252,3620;133255,2096;157829,571;191167,0;267938,8858;317373,34481;343757,75629;351568,131159;337947,199358;300419,249746;243840,280988;173260,291656;155734,291370;139636,290798;126778,289846;119253,288989;119253,421958;198882,430149;198882,463296;0,463296;119539,252794;128873,254127;140018,254889;154686,255365;174117,255556;212693,249841;246221,229934;269939,191643;278892,131350;272129,86963;252031,57055;218694,40291;171736,35052;153448,35528;140303,36767;129731,38100;119444,38672;119539,252794" o:connectangles="0,0,0,0,0,0,0,0,0,0,0,0,0,0,0,0,0,0,0,0,0,0,0,0,0,0,0,0,0,0,0,0,0,0,0,0,0,0,0,0,0,0,0,0,0"/>
                </v:shape>
                <w10:wrap anchorx="page" anchory="page"/>
                <w10:anchorlock/>
              </v:group>
            </w:pict>
          </mc:Fallback>
        </mc:AlternateContent>
      </w:r>
      <w:r w:rsidR="00451F85">
        <w:rPr>
          <w:noProof/>
        </w:rPr>
        <mc:AlternateContent>
          <mc:Choice Requires="wps">
            <w:drawing>
              <wp:anchor distT="45720" distB="45720" distL="114300" distR="114300" simplePos="0" relativeHeight="251661312" behindDoc="0" locked="1" layoutInCell="1" allowOverlap="1" wp14:anchorId="005E20FD" wp14:editId="4607E35B">
                <wp:simplePos x="0" y="0"/>
                <wp:positionH relativeFrom="page">
                  <wp:posOffset>647065</wp:posOffset>
                </wp:positionH>
                <wp:positionV relativeFrom="page">
                  <wp:posOffset>9427845</wp:posOffset>
                </wp:positionV>
                <wp:extent cx="2743200" cy="721360"/>
                <wp:effectExtent l="0" t="0" r="0" b="0"/>
                <wp:wrapSquare wrapText="bothSides"/>
                <wp:docPr id="104155418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0" cy="721360"/>
                        </a:xfrm>
                        <a:prstGeom prst="rect">
                          <a:avLst/>
                        </a:prstGeom>
                        <a:noFill/>
                        <a:ln w="9525">
                          <a:noFill/>
                          <a:miter lim="800000"/>
                          <a:headEnd/>
                          <a:tailEnd/>
                        </a:ln>
                      </wps:spPr>
                      <wps:txbx>
                        <w:txbxContent>
                          <w:p w14:paraId="1D7691BC" w14:textId="77777777" w:rsidR="00D64492" w:rsidRPr="00B32CC0" w:rsidRDefault="00D64492" w:rsidP="00B32CC0">
                            <w:pPr>
                              <w:pStyle w:val="Addres2"/>
                            </w:pPr>
                            <w:r w:rsidRPr="00B32CC0">
                              <w:rPr>
                                <w:b/>
                                <w:bCs/>
                              </w:rPr>
                              <w:t>Adresa:</w:t>
                            </w:r>
                            <w:r w:rsidRPr="00B32CC0">
                              <w:t xml:space="preserve"> str. Dr. Leonte Anastasievici </w:t>
                            </w:r>
                            <w:r>
                              <w:t>n</w:t>
                            </w:r>
                            <w:r w:rsidRPr="00B32CC0">
                              <w:t>r.</w:t>
                            </w:r>
                            <w:r>
                              <w:t xml:space="preserve"> </w:t>
                            </w:r>
                            <w:r w:rsidRPr="00B32CC0">
                              <w:t xml:space="preserve">1-3, </w:t>
                            </w:r>
                            <w:r>
                              <w:t>s</w:t>
                            </w:r>
                            <w:r w:rsidRPr="00B32CC0">
                              <w:t>ector 5, cod poștal 050463, Bucure</w:t>
                            </w:r>
                            <w:r>
                              <w:t>ș</w:t>
                            </w:r>
                            <w:r w:rsidRPr="00B32CC0">
                              <w:t>ti, Rom</w:t>
                            </w:r>
                            <w:r>
                              <w:t>â</w:t>
                            </w:r>
                            <w:r w:rsidRPr="00B32CC0">
                              <w:t>nia</w:t>
                            </w:r>
                          </w:p>
                          <w:p w14:paraId="68C18FC5" w14:textId="77777777" w:rsidR="00D64492" w:rsidRPr="00B32CC0" w:rsidRDefault="00D64492" w:rsidP="00B32CC0">
                            <w:pPr>
                              <w:pStyle w:val="Addres2"/>
                            </w:pPr>
                            <w:r w:rsidRPr="00B32CC0">
                              <w:rPr>
                                <w:b/>
                                <w:bCs/>
                              </w:rPr>
                              <w:t>Telefon secretariat:</w:t>
                            </w:r>
                            <w:r w:rsidRPr="00B32CC0">
                              <w:t xml:space="preserve"> +4</w:t>
                            </w:r>
                            <w:r>
                              <w:t xml:space="preserve"> </w:t>
                            </w:r>
                            <w:r w:rsidRPr="00B32CC0">
                              <w:t>0213</w:t>
                            </w:r>
                            <w:r>
                              <w:t xml:space="preserve"> </w:t>
                            </w:r>
                            <w:r w:rsidRPr="00B32CC0">
                              <w:t>183</w:t>
                            </w:r>
                            <w:r>
                              <w:t xml:space="preserve"> </w:t>
                            </w:r>
                            <w:r w:rsidRPr="00B32CC0">
                              <w:t>620, +4</w:t>
                            </w:r>
                            <w:r>
                              <w:t xml:space="preserve"> </w:t>
                            </w:r>
                            <w:r w:rsidRPr="00B32CC0">
                              <w:t>0213</w:t>
                            </w:r>
                            <w:r>
                              <w:t xml:space="preserve"> </w:t>
                            </w:r>
                            <w:r w:rsidRPr="00B32CC0">
                              <w:t>183</w:t>
                            </w:r>
                            <w:r>
                              <w:t xml:space="preserve"> </w:t>
                            </w:r>
                            <w:r w:rsidRPr="00B32CC0">
                              <w:t>619</w:t>
                            </w:r>
                          </w:p>
                          <w:p w14:paraId="64B5546D" w14:textId="77777777" w:rsidR="00D64492" w:rsidRPr="00B32CC0" w:rsidRDefault="00D64492" w:rsidP="00B32CC0">
                            <w:pPr>
                              <w:pStyle w:val="Addres2"/>
                              <w:rPr>
                                <w:caps/>
                              </w:rPr>
                            </w:pPr>
                            <w:r w:rsidRPr="00B32CC0">
                              <w:rPr>
                                <w:b/>
                                <w:bCs/>
                              </w:rPr>
                              <w:t>Fax:</w:t>
                            </w:r>
                            <w:r w:rsidRPr="00B32CC0">
                              <w:t xml:space="preserve"> +4</w:t>
                            </w:r>
                            <w:r>
                              <w:t xml:space="preserve"> </w:t>
                            </w:r>
                            <w:r w:rsidRPr="00B32CC0">
                              <w:t>0213</w:t>
                            </w:r>
                            <w:r>
                              <w:t xml:space="preserve"> </w:t>
                            </w:r>
                            <w:r w:rsidRPr="00B32CC0">
                              <w:t>123</w:t>
                            </w:r>
                            <w:r>
                              <w:t xml:space="preserve"> </w:t>
                            </w:r>
                            <w:r w:rsidRPr="00B32CC0">
                              <w:t>426</w:t>
                            </w:r>
                          </w:p>
                          <w:p w14:paraId="1B74CDF7" w14:textId="77777777" w:rsidR="00D64492" w:rsidRPr="00B32CC0" w:rsidRDefault="00D64492" w:rsidP="00B32CC0">
                            <w:pPr>
                              <w:pStyle w:val="Addres2"/>
                            </w:pPr>
                            <w:r w:rsidRPr="00B32CC0">
                              <w:rPr>
                                <w:b/>
                                <w:bCs/>
                              </w:rPr>
                              <w:t>E-mail:</w:t>
                            </w:r>
                            <w:r w:rsidRPr="00B32CC0">
                              <w:t xml:space="preserve"> directie.generala@insp.gov.ro</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05E20FD" id="Text Box 5" o:spid="_x0000_s1033" type="#_x0000_t202" style="position:absolute;left:0;text-align:left;margin-left:50.95pt;margin-top:742.35pt;width:3in;height:56.8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" filled="f" stroked="f">
                <v:textbox style="mso-fit-shape-to-text:t" inset="0,0,0,0">
                  <w:txbxContent>
                    <w:p w14:paraId="1D7691BC" w14:textId="77777777" w:rsidR="00D64492" w:rsidRPr="00B32CC0" w:rsidRDefault="00D64492" w:rsidP="00B32CC0">
                      <w:pPr>
                        <w:pStyle w:val="Addres2"/>
                      </w:pPr>
                      <w:r w:rsidRPr="00B32CC0">
                        <w:rPr>
                          <w:b/>
                          <w:bCs/>
                        </w:rPr>
                        <w:t>Adresa:</w:t>
                      </w:r>
                      <w:r w:rsidRPr="00B32CC0">
                        <w:t xml:space="preserve"> str. Dr. Leonte Anastasievici </w:t>
                      </w:r>
                      <w:r>
                        <w:t>n</w:t>
                      </w:r>
                      <w:r w:rsidRPr="00B32CC0">
                        <w:t>r.</w:t>
                      </w:r>
                      <w:r>
                        <w:t xml:space="preserve"> </w:t>
                      </w:r>
                      <w:r w:rsidRPr="00B32CC0">
                        <w:t xml:space="preserve">1-3, </w:t>
                      </w:r>
                      <w:r>
                        <w:t>s</w:t>
                      </w:r>
                      <w:r w:rsidRPr="00B32CC0">
                        <w:t>ector 5, cod poștal 050463, Bucure</w:t>
                      </w:r>
                      <w:r>
                        <w:t>ș</w:t>
                      </w:r>
                      <w:r w:rsidRPr="00B32CC0">
                        <w:t>ti, Rom</w:t>
                      </w:r>
                      <w:r>
                        <w:t>â</w:t>
                      </w:r>
                      <w:r w:rsidRPr="00B32CC0">
                        <w:t>nia</w:t>
                      </w:r>
                    </w:p>
                    <w:p w14:paraId="68C18FC5" w14:textId="77777777" w:rsidR="00D64492" w:rsidRPr="00B32CC0" w:rsidRDefault="00D64492" w:rsidP="00B32CC0">
                      <w:pPr>
                        <w:pStyle w:val="Addres2"/>
                      </w:pPr>
                      <w:r w:rsidRPr="00B32CC0">
                        <w:rPr>
                          <w:b/>
                          <w:bCs/>
                        </w:rPr>
                        <w:t>Telefon secretariat:</w:t>
                      </w:r>
                      <w:r w:rsidRPr="00B32CC0">
                        <w:t xml:space="preserve"> +4</w:t>
                      </w:r>
                      <w:r>
                        <w:t xml:space="preserve"> </w:t>
                      </w:r>
                      <w:r w:rsidRPr="00B32CC0">
                        <w:t>0213</w:t>
                      </w:r>
                      <w:r>
                        <w:t xml:space="preserve"> </w:t>
                      </w:r>
                      <w:r w:rsidRPr="00B32CC0">
                        <w:t>183</w:t>
                      </w:r>
                      <w:r>
                        <w:t xml:space="preserve"> </w:t>
                      </w:r>
                      <w:r w:rsidRPr="00B32CC0">
                        <w:t>620, +4</w:t>
                      </w:r>
                      <w:r>
                        <w:t xml:space="preserve"> </w:t>
                      </w:r>
                      <w:r w:rsidRPr="00B32CC0">
                        <w:t>0213</w:t>
                      </w:r>
                      <w:r>
                        <w:t xml:space="preserve"> </w:t>
                      </w:r>
                      <w:r w:rsidRPr="00B32CC0">
                        <w:t>183</w:t>
                      </w:r>
                      <w:r>
                        <w:t xml:space="preserve"> </w:t>
                      </w:r>
                      <w:r w:rsidRPr="00B32CC0">
                        <w:t>619</w:t>
                      </w:r>
                    </w:p>
                    <w:p w14:paraId="64B5546D" w14:textId="77777777" w:rsidR="00D64492" w:rsidRPr="00B32CC0" w:rsidRDefault="00D64492" w:rsidP="00B32CC0">
                      <w:pPr>
                        <w:pStyle w:val="Addres2"/>
                        <w:rPr>
                          <w:caps/>
                        </w:rPr>
                      </w:pPr>
                      <w:r w:rsidRPr="00B32CC0">
                        <w:rPr>
                          <w:b/>
                          <w:bCs/>
                        </w:rPr>
                        <w:t>Fax:</w:t>
                      </w:r>
                      <w:r w:rsidRPr="00B32CC0">
                        <w:t xml:space="preserve"> +4</w:t>
                      </w:r>
                      <w:r>
                        <w:t xml:space="preserve"> </w:t>
                      </w:r>
                      <w:r w:rsidRPr="00B32CC0">
                        <w:t>0213</w:t>
                      </w:r>
                      <w:r>
                        <w:t xml:space="preserve"> </w:t>
                      </w:r>
                      <w:r w:rsidRPr="00B32CC0">
                        <w:t>123</w:t>
                      </w:r>
                      <w:r>
                        <w:t xml:space="preserve"> </w:t>
                      </w:r>
                      <w:r w:rsidRPr="00B32CC0">
                        <w:t>426</w:t>
                      </w:r>
                    </w:p>
                    <w:p w14:paraId="1B74CDF7" w14:textId="77777777" w:rsidR="00D64492" w:rsidRPr="00B32CC0" w:rsidRDefault="00D64492" w:rsidP="00B32CC0">
                      <w:pPr>
                        <w:pStyle w:val="Addres2"/>
                      </w:pPr>
                      <w:r w:rsidRPr="00B32CC0">
                        <w:rPr>
                          <w:b/>
                          <w:bCs/>
                        </w:rPr>
                        <w:t>E-mail:</w:t>
                      </w:r>
                      <w:r w:rsidRPr="00B32CC0">
                        <w:t xml:space="preserve"> directie.generala@insp.gov.ro</w:t>
                      </w:r>
                    </w:p>
                  </w:txbxContent>
                </v:textbox>
                <w10:wrap type="square" anchorx="page" anchory="page"/>
                <w10:anchorlock/>
              </v:shape>
            </w:pict>
          </mc:Fallback>
        </mc:AlternateContent>
      </w:r>
    </w:p>
    <w:sectPr w:rsidR="008B17D6" w:rsidRPr="008B17D6" w:rsidSect="004E0D48">
      <w:headerReference w:type="default" r:id="rId119"/>
      <w:footerReference w:type="default" r:id="rId120"/>
      <w:headerReference w:type="first" r:id="rId121"/>
      <w:footerReference w:type="first" r:id="rId122"/>
      <w:pgSz w:w="11906" w:h="16838" w:code="9"/>
      <w:pgMar w:top="737" w:right="709" w:bottom="1418" w:left="1985" w:header="533"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905D21" w14:textId="77777777" w:rsidR="00CA772D" w:rsidRDefault="00CA772D" w:rsidP="00AA2EE8">
      <w:r>
        <w:separator/>
      </w:r>
    </w:p>
  </w:endnote>
  <w:endnote w:type="continuationSeparator" w:id="0">
    <w:p w14:paraId="1A22A883" w14:textId="77777777" w:rsidR="00CA772D" w:rsidRDefault="00CA772D" w:rsidP="00AA2E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Emoji">
    <w:panose1 w:val="020B0502040204020203"/>
    <w:charset w:val="00"/>
    <w:family w:val="swiss"/>
    <w:pitch w:val="variable"/>
    <w:sig w:usb0="00000003" w:usb1="02000000" w:usb2="08000000" w:usb3="00000000" w:csb0="00000001"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Modern No. 20">
    <w:panose1 w:val="020707040705050203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B66D46" w14:textId="77777777" w:rsidR="00D64492" w:rsidRPr="001E65CC" w:rsidRDefault="00D64492" w:rsidP="00AA2EE8">
    <w:pPr>
      <w:pStyle w:val="Footer"/>
    </w:pPr>
    <w:r w:rsidRPr="00F458EB">
      <w:t>insp.gov.ro</w:t>
    </w:r>
    <w:r w:rsidRPr="00F458EB">
      <w:tab/>
    </w:r>
    <w:r w:rsidRPr="00BA0153">
      <w:rPr>
        <w:color w:val="707070"/>
      </w:rPr>
      <w:fldChar w:fldCharType="begin"/>
    </w:r>
    <w:r w:rsidRPr="00BA0153">
      <w:rPr>
        <w:color w:val="707070"/>
      </w:rPr>
      <w:instrText xml:space="preserve"> PAGE   \* MERGEFORMAT </w:instrText>
    </w:r>
    <w:r w:rsidRPr="00BA0153">
      <w:rPr>
        <w:color w:val="707070"/>
      </w:rPr>
      <w:fldChar w:fldCharType="separate"/>
    </w:r>
    <w:r w:rsidR="00952BE0">
      <w:rPr>
        <w:noProof/>
        <w:color w:val="707070"/>
      </w:rPr>
      <w:t>35</w:t>
    </w:r>
    <w:r w:rsidRPr="00BA0153">
      <w:rPr>
        <w:noProof/>
        <w:color w:val="70707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35C29C" w14:textId="77777777" w:rsidR="00D64492" w:rsidRDefault="00D64492">
    <w:pPr>
      <w:pStyle w:val="Footer"/>
    </w:pPr>
    <w:r w:rsidRPr="00F458EB">
      <w:t>insp.gov.ro</w:t>
    </w:r>
    <w:r w:rsidRPr="00F458EB">
      <w:tab/>
    </w:r>
    <w:r w:rsidRPr="00BA0153">
      <w:rPr>
        <w:color w:val="707070"/>
      </w:rPr>
      <w:fldChar w:fldCharType="begin"/>
    </w:r>
    <w:r w:rsidRPr="00BA0153">
      <w:rPr>
        <w:color w:val="707070"/>
      </w:rPr>
      <w:instrText xml:space="preserve"> PAGE   \* MERGEFORMAT </w:instrText>
    </w:r>
    <w:r w:rsidRPr="00BA0153">
      <w:rPr>
        <w:color w:val="707070"/>
      </w:rPr>
      <w:fldChar w:fldCharType="separate"/>
    </w:r>
    <w:r w:rsidR="00952BE0">
      <w:rPr>
        <w:noProof/>
        <w:color w:val="707070"/>
      </w:rPr>
      <w:t>1</w:t>
    </w:r>
    <w:r w:rsidRPr="00BA0153">
      <w:rPr>
        <w:noProof/>
        <w:color w:val="70707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FBC76B" w14:textId="77777777" w:rsidR="00CA772D" w:rsidRDefault="00CA772D" w:rsidP="00AA2EE8">
      <w:r>
        <w:separator/>
      </w:r>
    </w:p>
  </w:footnote>
  <w:footnote w:type="continuationSeparator" w:id="0">
    <w:p w14:paraId="57846883" w14:textId="77777777" w:rsidR="00CA772D" w:rsidRDefault="00CA772D" w:rsidP="00AA2E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7AC12" w14:textId="7CE8F30A" w:rsidR="00D64492" w:rsidRDefault="00451F85" w:rsidP="00AA2EE8">
    <w:pPr>
      <w:pStyle w:val="Header"/>
    </w:pPr>
    <w:r>
      <w:rPr>
        <w:noProof/>
      </w:rPr>
      <w:drawing>
        <wp:anchor distT="0" distB="0" distL="114300" distR="114300" simplePos="0" relativeHeight="251659264" behindDoc="0" locked="1" layoutInCell="0" allowOverlap="1" wp14:anchorId="79D7E9EC" wp14:editId="34B0C7AC">
          <wp:simplePos x="0" y="0"/>
          <wp:positionH relativeFrom="page">
            <wp:posOffset>647700</wp:posOffset>
          </wp:positionH>
          <wp:positionV relativeFrom="page">
            <wp:posOffset>457200</wp:posOffset>
          </wp:positionV>
          <wp:extent cx="365760" cy="524510"/>
          <wp:effectExtent l="0" t="0" r="0" b="0"/>
          <wp:wrapNone/>
          <wp:docPr id="161838476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5760" cy="52451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299" distR="114299" simplePos="0" relativeHeight="251656192" behindDoc="0" locked="1" layoutInCell="1" allowOverlap="1" wp14:anchorId="6B360508" wp14:editId="4A82F17B">
              <wp:simplePos x="0" y="0"/>
              <wp:positionH relativeFrom="page">
                <wp:posOffset>828674</wp:posOffset>
              </wp:positionH>
              <wp:positionV relativeFrom="page">
                <wp:posOffset>1248410</wp:posOffset>
              </wp:positionV>
              <wp:extent cx="0" cy="9002395"/>
              <wp:effectExtent l="0" t="0" r="19050" b="8255"/>
              <wp:wrapNone/>
              <wp:docPr id="766352207"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9002395"/>
                      </a:xfrm>
                      <a:prstGeom prst="line">
                        <a:avLst/>
                      </a:prstGeom>
                      <a:noFill/>
                      <a:ln w="6350" cap="flat" cmpd="sng" algn="ctr">
                        <a:solidFill>
                          <a:srgbClr val="6D6D6D"/>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CDD7903" id="Straight Connector 2" o:spid="_x0000_s1026" style="position:absolute;z-index:251656192;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page;mso-width-percent:0;mso-height-percent:0;mso-width-relative:margin;mso-height-relative:margin" from="65.25pt,98.3pt" to="65.25pt,80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" strokecolor="#6d6d6d" strokeweight=".5pt">
              <v:stroke joinstyle="miter"/>
              <o:lock v:ext="edit" shapetype="f"/>
              <w10:wrap anchorx="page" anchory="page"/>
              <w10:anchorlock/>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C908E8" w14:textId="3D7383E5" w:rsidR="00D64492" w:rsidRDefault="00451F85">
    <w:pPr>
      <w:pStyle w:val="Header"/>
    </w:pPr>
    <w:r>
      <w:rPr>
        <w:noProof/>
      </w:rPr>
      <w:drawing>
        <wp:anchor distT="0" distB="0" distL="114300" distR="114300" simplePos="0" relativeHeight="251658240" behindDoc="0" locked="1" layoutInCell="0" allowOverlap="1" wp14:anchorId="126BFF51" wp14:editId="49D64DCD">
          <wp:simplePos x="0" y="0"/>
          <wp:positionH relativeFrom="page">
            <wp:posOffset>647700</wp:posOffset>
          </wp:positionH>
          <wp:positionV relativeFrom="page">
            <wp:posOffset>457200</wp:posOffset>
          </wp:positionV>
          <wp:extent cx="365760" cy="524510"/>
          <wp:effectExtent l="0" t="0" r="0" b="0"/>
          <wp:wrapNone/>
          <wp:docPr id="15592395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5760" cy="52451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7216" behindDoc="0" locked="1" layoutInCell="0" allowOverlap="1" wp14:anchorId="542E8032" wp14:editId="14A22534">
              <wp:simplePos x="0" y="0"/>
              <wp:positionH relativeFrom="page">
                <wp:posOffset>827405</wp:posOffset>
              </wp:positionH>
              <wp:positionV relativeFrom="page">
                <wp:posOffset>1249045</wp:posOffset>
              </wp:positionV>
              <wp:extent cx="0" cy="9002395"/>
              <wp:effectExtent l="8255" t="10795" r="10795" b="6985"/>
              <wp:wrapNone/>
              <wp:docPr id="1732384709"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002395"/>
                      </a:xfrm>
                      <a:prstGeom prst="line">
                        <a:avLst/>
                      </a:prstGeom>
                      <a:noFill/>
                      <a:ln w="6350" algn="ctr">
                        <a:solidFill>
                          <a:srgbClr val="6D6D6D"/>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AB74EC" id="Straight Connector 3" o:spid="_x0000_s1026" style="position:absolute;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65.15pt,98.35pt" to="65.15pt,80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" o:allowincell="f" strokecolor="#6d6d6d" strokeweight=".5pt">
              <v:stroke joinstyle="miter"/>
              <w10:wrap anchorx="page" anchory="page"/>
              <w10:anchorlock/>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F024D"/>
    <w:multiLevelType w:val="hybridMultilevel"/>
    <w:tmpl w:val="CD70C320"/>
    <w:lvl w:ilvl="0" w:tplc="04090001">
      <w:start w:val="1"/>
      <w:numFmt w:val="bullet"/>
      <w:lvlText w:val=""/>
      <w:lvlJc w:val="left"/>
      <w:pPr>
        <w:ind w:left="1287" w:hanging="360"/>
      </w:pPr>
      <w:rPr>
        <w:rFonts w:ascii="Symbol" w:hAnsi="Symbol" w:hint="default"/>
      </w:rPr>
    </w:lvl>
    <w:lvl w:ilvl="1" w:tplc="04180003" w:tentative="1">
      <w:start w:val="1"/>
      <w:numFmt w:val="bullet"/>
      <w:lvlText w:val="o"/>
      <w:lvlJc w:val="left"/>
      <w:pPr>
        <w:ind w:left="2007" w:hanging="360"/>
      </w:pPr>
      <w:rPr>
        <w:rFonts w:ascii="Courier New" w:hAnsi="Courier New" w:cs="Courier New" w:hint="default"/>
      </w:rPr>
    </w:lvl>
    <w:lvl w:ilvl="2" w:tplc="04180005" w:tentative="1">
      <w:start w:val="1"/>
      <w:numFmt w:val="bullet"/>
      <w:lvlText w:val=""/>
      <w:lvlJc w:val="left"/>
      <w:pPr>
        <w:ind w:left="2727" w:hanging="360"/>
      </w:pPr>
      <w:rPr>
        <w:rFonts w:ascii="Wingdings" w:hAnsi="Wingdings" w:hint="default"/>
      </w:rPr>
    </w:lvl>
    <w:lvl w:ilvl="3" w:tplc="04180001" w:tentative="1">
      <w:start w:val="1"/>
      <w:numFmt w:val="bullet"/>
      <w:lvlText w:val=""/>
      <w:lvlJc w:val="left"/>
      <w:pPr>
        <w:ind w:left="3447" w:hanging="360"/>
      </w:pPr>
      <w:rPr>
        <w:rFonts w:ascii="Symbol" w:hAnsi="Symbol" w:hint="default"/>
      </w:rPr>
    </w:lvl>
    <w:lvl w:ilvl="4" w:tplc="04180003" w:tentative="1">
      <w:start w:val="1"/>
      <w:numFmt w:val="bullet"/>
      <w:lvlText w:val="o"/>
      <w:lvlJc w:val="left"/>
      <w:pPr>
        <w:ind w:left="4167" w:hanging="360"/>
      </w:pPr>
      <w:rPr>
        <w:rFonts w:ascii="Courier New" w:hAnsi="Courier New" w:cs="Courier New" w:hint="default"/>
      </w:rPr>
    </w:lvl>
    <w:lvl w:ilvl="5" w:tplc="04180005" w:tentative="1">
      <w:start w:val="1"/>
      <w:numFmt w:val="bullet"/>
      <w:lvlText w:val=""/>
      <w:lvlJc w:val="left"/>
      <w:pPr>
        <w:ind w:left="4887" w:hanging="360"/>
      </w:pPr>
      <w:rPr>
        <w:rFonts w:ascii="Wingdings" w:hAnsi="Wingdings" w:hint="default"/>
      </w:rPr>
    </w:lvl>
    <w:lvl w:ilvl="6" w:tplc="04180001" w:tentative="1">
      <w:start w:val="1"/>
      <w:numFmt w:val="bullet"/>
      <w:lvlText w:val=""/>
      <w:lvlJc w:val="left"/>
      <w:pPr>
        <w:ind w:left="5607" w:hanging="360"/>
      </w:pPr>
      <w:rPr>
        <w:rFonts w:ascii="Symbol" w:hAnsi="Symbol" w:hint="default"/>
      </w:rPr>
    </w:lvl>
    <w:lvl w:ilvl="7" w:tplc="04180003" w:tentative="1">
      <w:start w:val="1"/>
      <w:numFmt w:val="bullet"/>
      <w:lvlText w:val="o"/>
      <w:lvlJc w:val="left"/>
      <w:pPr>
        <w:ind w:left="6327" w:hanging="360"/>
      </w:pPr>
      <w:rPr>
        <w:rFonts w:ascii="Courier New" w:hAnsi="Courier New" w:cs="Courier New" w:hint="default"/>
      </w:rPr>
    </w:lvl>
    <w:lvl w:ilvl="8" w:tplc="04180005" w:tentative="1">
      <w:start w:val="1"/>
      <w:numFmt w:val="bullet"/>
      <w:lvlText w:val=""/>
      <w:lvlJc w:val="left"/>
      <w:pPr>
        <w:ind w:left="7047" w:hanging="360"/>
      </w:pPr>
      <w:rPr>
        <w:rFonts w:ascii="Wingdings" w:hAnsi="Wingdings" w:hint="default"/>
      </w:rPr>
    </w:lvl>
  </w:abstractNum>
  <w:abstractNum w:abstractNumId="1" w15:restartNumberingAfterBreak="0">
    <w:nsid w:val="04696491"/>
    <w:multiLevelType w:val="hybridMultilevel"/>
    <w:tmpl w:val="ABD80C8C"/>
    <w:lvl w:ilvl="0" w:tplc="0409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15:restartNumberingAfterBreak="0">
    <w:nsid w:val="04F30D73"/>
    <w:multiLevelType w:val="hybridMultilevel"/>
    <w:tmpl w:val="67742B32"/>
    <w:lvl w:ilvl="0" w:tplc="0409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15:restartNumberingAfterBreak="0">
    <w:nsid w:val="0907709E"/>
    <w:multiLevelType w:val="hybridMultilevel"/>
    <w:tmpl w:val="6F6614AA"/>
    <w:lvl w:ilvl="0" w:tplc="0409000B">
      <w:start w:val="1"/>
      <w:numFmt w:val="bullet"/>
      <w:lvlText w:val=""/>
      <w:lvlJc w:val="left"/>
      <w:pPr>
        <w:ind w:left="1287" w:hanging="360"/>
      </w:pPr>
      <w:rPr>
        <w:rFonts w:ascii="Wingdings" w:hAnsi="Wingdings" w:hint="default"/>
      </w:rPr>
    </w:lvl>
    <w:lvl w:ilvl="1" w:tplc="04180003" w:tentative="1">
      <w:start w:val="1"/>
      <w:numFmt w:val="bullet"/>
      <w:lvlText w:val="o"/>
      <w:lvlJc w:val="left"/>
      <w:pPr>
        <w:ind w:left="2007" w:hanging="360"/>
      </w:pPr>
      <w:rPr>
        <w:rFonts w:ascii="Courier New" w:hAnsi="Courier New" w:cs="Courier New" w:hint="default"/>
      </w:rPr>
    </w:lvl>
    <w:lvl w:ilvl="2" w:tplc="04180005" w:tentative="1">
      <w:start w:val="1"/>
      <w:numFmt w:val="bullet"/>
      <w:lvlText w:val=""/>
      <w:lvlJc w:val="left"/>
      <w:pPr>
        <w:ind w:left="2727" w:hanging="360"/>
      </w:pPr>
      <w:rPr>
        <w:rFonts w:ascii="Wingdings" w:hAnsi="Wingdings" w:hint="default"/>
      </w:rPr>
    </w:lvl>
    <w:lvl w:ilvl="3" w:tplc="04180001" w:tentative="1">
      <w:start w:val="1"/>
      <w:numFmt w:val="bullet"/>
      <w:lvlText w:val=""/>
      <w:lvlJc w:val="left"/>
      <w:pPr>
        <w:ind w:left="3447" w:hanging="360"/>
      </w:pPr>
      <w:rPr>
        <w:rFonts w:ascii="Symbol" w:hAnsi="Symbol" w:hint="default"/>
      </w:rPr>
    </w:lvl>
    <w:lvl w:ilvl="4" w:tplc="04180003" w:tentative="1">
      <w:start w:val="1"/>
      <w:numFmt w:val="bullet"/>
      <w:lvlText w:val="o"/>
      <w:lvlJc w:val="left"/>
      <w:pPr>
        <w:ind w:left="4167" w:hanging="360"/>
      </w:pPr>
      <w:rPr>
        <w:rFonts w:ascii="Courier New" w:hAnsi="Courier New" w:cs="Courier New" w:hint="default"/>
      </w:rPr>
    </w:lvl>
    <w:lvl w:ilvl="5" w:tplc="04180005" w:tentative="1">
      <w:start w:val="1"/>
      <w:numFmt w:val="bullet"/>
      <w:lvlText w:val=""/>
      <w:lvlJc w:val="left"/>
      <w:pPr>
        <w:ind w:left="4887" w:hanging="360"/>
      </w:pPr>
      <w:rPr>
        <w:rFonts w:ascii="Wingdings" w:hAnsi="Wingdings" w:hint="default"/>
      </w:rPr>
    </w:lvl>
    <w:lvl w:ilvl="6" w:tplc="04180001" w:tentative="1">
      <w:start w:val="1"/>
      <w:numFmt w:val="bullet"/>
      <w:lvlText w:val=""/>
      <w:lvlJc w:val="left"/>
      <w:pPr>
        <w:ind w:left="5607" w:hanging="360"/>
      </w:pPr>
      <w:rPr>
        <w:rFonts w:ascii="Symbol" w:hAnsi="Symbol" w:hint="default"/>
      </w:rPr>
    </w:lvl>
    <w:lvl w:ilvl="7" w:tplc="04180003" w:tentative="1">
      <w:start w:val="1"/>
      <w:numFmt w:val="bullet"/>
      <w:lvlText w:val="o"/>
      <w:lvlJc w:val="left"/>
      <w:pPr>
        <w:ind w:left="6327" w:hanging="360"/>
      </w:pPr>
      <w:rPr>
        <w:rFonts w:ascii="Courier New" w:hAnsi="Courier New" w:cs="Courier New" w:hint="default"/>
      </w:rPr>
    </w:lvl>
    <w:lvl w:ilvl="8" w:tplc="04180005" w:tentative="1">
      <w:start w:val="1"/>
      <w:numFmt w:val="bullet"/>
      <w:lvlText w:val=""/>
      <w:lvlJc w:val="left"/>
      <w:pPr>
        <w:ind w:left="7047" w:hanging="360"/>
      </w:pPr>
      <w:rPr>
        <w:rFonts w:ascii="Wingdings" w:hAnsi="Wingdings" w:hint="default"/>
      </w:rPr>
    </w:lvl>
  </w:abstractNum>
  <w:abstractNum w:abstractNumId="4" w15:restartNumberingAfterBreak="0">
    <w:nsid w:val="109E289C"/>
    <w:multiLevelType w:val="hybridMultilevel"/>
    <w:tmpl w:val="480C74A4"/>
    <w:lvl w:ilvl="0" w:tplc="0409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 w15:restartNumberingAfterBreak="0">
    <w:nsid w:val="12353B85"/>
    <w:multiLevelType w:val="hybridMultilevel"/>
    <w:tmpl w:val="24008F5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33E5E1F"/>
    <w:multiLevelType w:val="hybridMultilevel"/>
    <w:tmpl w:val="3EF2240E"/>
    <w:lvl w:ilvl="0" w:tplc="D2CC66F0">
      <w:start w:val="1"/>
      <w:numFmt w:val="decimal"/>
      <w:lvlText w:val="%1."/>
      <w:lvlJc w:val="left"/>
      <w:pPr>
        <w:ind w:left="1068" w:hanging="360"/>
      </w:pPr>
      <w:rPr>
        <w:rFonts w:hint="default"/>
      </w:rPr>
    </w:lvl>
    <w:lvl w:ilvl="1" w:tplc="8CD2D9C6">
      <w:start w:val="1"/>
      <w:numFmt w:val="decimal"/>
      <w:lvlText w:val="%2."/>
      <w:lvlJc w:val="left"/>
      <w:pPr>
        <w:ind w:left="1788" w:hanging="360"/>
      </w:pPr>
      <w:rPr>
        <w:rFonts w:hint="default"/>
      </w:r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7" w15:restartNumberingAfterBreak="0">
    <w:nsid w:val="139B4458"/>
    <w:multiLevelType w:val="hybridMultilevel"/>
    <w:tmpl w:val="31FE274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43B3D1D"/>
    <w:multiLevelType w:val="hybridMultilevel"/>
    <w:tmpl w:val="89BC8A16"/>
    <w:lvl w:ilvl="0" w:tplc="04090001">
      <w:start w:val="1"/>
      <w:numFmt w:val="bullet"/>
      <w:lvlText w:val=""/>
      <w:lvlJc w:val="left"/>
      <w:pPr>
        <w:ind w:left="1038" w:hanging="360"/>
      </w:pPr>
      <w:rPr>
        <w:rFonts w:ascii="Symbol" w:hAnsi="Symbol" w:hint="default"/>
      </w:rPr>
    </w:lvl>
    <w:lvl w:ilvl="1" w:tplc="04180003" w:tentative="1">
      <w:start w:val="1"/>
      <w:numFmt w:val="bullet"/>
      <w:lvlText w:val="o"/>
      <w:lvlJc w:val="left"/>
      <w:pPr>
        <w:ind w:left="1758" w:hanging="360"/>
      </w:pPr>
      <w:rPr>
        <w:rFonts w:ascii="Courier New" w:hAnsi="Courier New" w:cs="Courier New" w:hint="default"/>
      </w:rPr>
    </w:lvl>
    <w:lvl w:ilvl="2" w:tplc="04180005" w:tentative="1">
      <w:start w:val="1"/>
      <w:numFmt w:val="bullet"/>
      <w:lvlText w:val=""/>
      <w:lvlJc w:val="left"/>
      <w:pPr>
        <w:ind w:left="2478" w:hanging="360"/>
      </w:pPr>
      <w:rPr>
        <w:rFonts w:ascii="Wingdings" w:hAnsi="Wingdings" w:hint="default"/>
      </w:rPr>
    </w:lvl>
    <w:lvl w:ilvl="3" w:tplc="04180001" w:tentative="1">
      <w:start w:val="1"/>
      <w:numFmt w:val="bullet"/>
      <w:lvlText w:val=""/>
      <w:lvlJc w:val="left"/>
      <w:pPr>
        <w:ind w:left="3198" w:hanging="360"/>
      </w:pPr>
      <w:rPr>
        <w:rFonts w:ascii="Symbol" w:hAnsi="Symbol" w:hint="default"/>
      </w:rPr>
    </w:lvl>
    <w:lvl w:ilvl="4" w:tplc="04180003" w:tentative="1">
      <w:start w:val="1"/>
      <w:numFmt w:val="bullet"/>
      <w:lvlText w:val="o"/>
      <w:lvlJc w:val="left"/>
      <w:pPr>
        <w:ind w:left="3918" w:hanging="360"/>
      </w:pPr>
      <w:rPr>
        <w:rFonts w:ascii="Courier New" w:hAnsi="Courier New" w:cs="Courier New" w:hint="default"/>
      </w:rPr>
    </w:lvl>
    <w:lvl w:ilvl="5" w:tplc="04180005" w:tentative="1">
      <w:start w:val="1"/>
      <w:numFmt w:val="bullet"/>
      <w:lvlText w:val=""/>
      <w:lvlJc w:val="left"/>
      <w:pPr>
        <w:ind w:left="4638" w:hanging="360"/>
      </w:pPr>
      <w:rPr>
        <w:rFonts w:ascii="Wingdings" w:hAnsi="Wingdings" w:hint="default"/>
      </w:rPr>
    </w:lvl>
    <w:lvl w:ilvl="6" w:tplc="04180001" w:tentative="1">
      <w:start w:val="1"/>
      <w:numFmt w:val="bullet"/>
      <w:lvlText w:val=""/>
      <w:lvlJc w:val="left"/>
      <w:pPr>
        <w:ind w:left="5358" w:hanging="360"/>
      </w:pPr>
      <w:rPr>
        <w:rFonts w:ascii="Symbol" w:hAnsi="Symbol" w:hint="default"/>
      </w:rPr>
    </w:lvl>
    <w:lvl w:ilvl="7" w:tplc="04180003" w:tentative="1">
      <w:start w:val="1"/>
      <w:numFmt w:val="bullet"/>
      <w:lvlText w:val="o"/>
      <w:lvlJc w:val="left"/>
      <w:pPr>
        <w:ind w:left="6078" w:hanging="360"/>
      </w:pPr>
      <w:rPr>
        <w:rFonts w:ascii="Courier New" w:hAnsi="Courier New" w:cs="Courier New" w:hint="default"/>
      </w:rPr>
    </w:lvl>
    <w:lvl w:ilvl="8" w:tplc="04180005" w:tentative="1">
      <w:start w:val="1"/>
      <w:numFmt w:val="bullet"/>
      <w:lvlText w:val=""/>
      <w:lvlJc w:val="left"/>
      <w:pPr>
        <w:ind w:left="6798" w:hanging="360"/>
      </w:pPr>
      <w:rPr>
        <w:rFonts w:ascii="Wingdings" w:hAnsi="Wingdings" w:hint="default"/>
      </w:rPr>
    </w:lvl>
  </w:abstractNum>
  <w:abstractNum w:abstractNumId="9" w15:restartNumberingAfterBreak="0">
    <w:nsid w:val="14611483"/>
    <w:multiLevelType w:val="hybridMultilevel"/>
    <w:tmpl w:val="3356CFD0"/>
    <w:lvl w:ilvl="0" w:tplc="04090009">
      <w:start w:val="1"/>
      <w:numFmt w:val="bullet"/>
      <w:lvlText w:val=""/>
      <w:lvlJc w:val="left"/>
      <w:pPr>
        <w:ind w:left="1428" w:hanging="360"/>
      </w:pPr>
      <w:rPr>
        <w:rFonts w:ascii="Wingdings" w:hAnsi="Wingdings" w:hint="default"/>
      </w:rPr>
    </w:lvl>
    <w:lvl w:ilvl="1" w:tplc="04180003" w:tentative="1">
      <w:start w:val="1"/>
      <w:numFmt w:val="bullet"/>
      <w:lvlText w:val="o"/>
      <w:lvlJc w:val="left"/>
      <w:pPr>
        <w:ind w:left="2148" w:hanging="360"/>
      </w:pPr>
      <w:rPr>
        <w:rFonts w:ascii="Courier New" w:hAnsi="Courier New" w:cs="Courier New" w:hint="default"/>
      </w:rPr>
    </w:lvl>
    <w:lvl w:ilvl="2" w:tplc="04180005" w:tentative="1">
      <w:start w:val="1"/>
      <w:numFmt w:val="bullet"/>
      <w:lvlText w:val=""/>
      <w:lvlJc w:val="left"/>
      <w:pPr>
        <w:ind w:left="2868" w:hanging="360"/>
      </w:pPr>
      <w:rPr>
        <w:rFonts w:ascii="Wingdings" w:hAnsi="Wingdings" w:hint="default"/>
      </w:rPr>
    </w:lvl>
    <w:lvl w:ilvl="3" w:tplc="04180001" w:tentative="1">
      <w:start w:val="1"/>
      <w:numFmt w:val="bullet"/>
      <w:lvlText w:val=""/>
      <w:lvlJc w:val="left"/>
      <w:pPr>
        <w:ind w:left="3588" w:hanging="360"/>
      </w:pPr>
      <w:rPr>
        <w:rFonts w:ascii="Symbol" w:hAnsi="Symbol" w:hint="default"/>
      </w:rPr>
    </w:lvl>
    <w:lvl w:ilvl="4" w:tplc="04180003" w:tentative="1">
      <w:start w:val="1"/>
      <w:numFmt w:val="bullet"/>
      <w:lvlText w:val="o"/>
      <w:lvlJc w:val="left"/>
      <w:pPr>
        <w:ind w:left="4308" w:hanging="360"/>
      </w:pPr>
      <w:rPr>
        <w:rFonts w:ascii="Courier New" w:hAnsi="Courier New" w:cs="Courier New" w:hint="default"/>
      </w:rPr>
    </w:lvl>
    <w:lvl w:ilvl="5" w:tplc="04180005" w:tentative="1">
      <w:start w:val="1"/>
      <w:numFmt w:val="bullet"/>
      <w:lvlText w:val=""/>
      <w:lvlJc w:val="left"/>
      <w:pPr>
        <w:ind w:left="5028" w:hanging="360"/>
      </w:pPr>
      <w:rPr>
        <w:rFonts w:ascii="Wingdings" w:hAnsi="Wingdings" w:hint="default"/>
      </w:rPr>
    </w:lvl>
    <w:lvl w:ilvl="6" w:tplc="04180001" w:tentative="1">
      <w:start w:val="1"/>
      <w:numFmt w:val="bullet"/>
      <w:lvlText w:val=""/>
      <w:lvlJc w:val="left"/>
      <w:pPr>
        <w:ind w:left="5748" w:hanging="360"/>
      </w:pPr>
      <w:rPr>
        <w:rFonts w:ascii="Symbol" w:hAnsi="Symbol" w:hint="default"/>
      </w:rPr>
    </w:lvl>
    <w:lvl w:ilvl="7" w:tplc="04180003" w:tentative="1">
      <w:start w:val="1"/>
      <w:numFmt w:val="bullet"/>
      <w:lvlText w:val="o"/>
      <w:lvlJc w:val="left"/>
      <w:pPr>
        <w:ind w:left="6468" w:hanging="360"/>
      </w:pPr>
      <w:rPr>
        <w:rFonts w:ascii="Courier New" w:hAnsi="Courier New" w:cs="Courier New" w:hint="default"/>
      </w:rPr>
    </w:lvl>
    <w:lvl w:ilvl="8" w:tplc="04180005" w:tentative="1">
      <w:start w:val="1"/>
      <w:numFmt w:val="bullet"/>
      <w:lvlText w:val=""/>
      <w:lvlJc w:val="left"/>
      <w:pPr>
        <w:ind w:left="7188" w:hanging="360"/>
      </w:pPr>
      <w:rPr>
        <w:rFonts w:ascii="Wingdings" w:hAnsi="Wingdings" w:hint="default"/>
      </w:rPr>
    </w:lvl>
  </w:abstractNum>
  <w:abstractNum w:abstractNumId="10" w15:restartNumberingAfterBreak="0">
    <w:nsid w:val="15CB4E99"/>
    <w:multiLevelType w:val="hybridMultilevel"/>
    <w:tmpl w:val="1440189C"/>
    <w:lvl w:ilvl="0" w:tplc="A2A63A1C">
      <w:start w:val="1"/>
      <w:numFmt w:val="bullet"/>
      <w:lvlText w:val=""/>
      <w:lvlJc w:val="left"/>
      <w:pPr>
        <w:ind w:left="1287" w:hanging="360"/>
      </w:pPr>
      <w:rPr>
        <w:rFonts w:ascii="Symbol" w:hAnsi="Symbol" w:hint="default"/>
      </w:rPr>
    </w:lvl>
    <w:lvl w:ilvl="1" w:tplc="04180003" w:tentative="1">
      <w:start w:val="1"/>
      <w:numFmt w:val="bullet"/>
      <w:lvlText w:val="o"/>
      <w:lvlJc w:val="left"/>
      <w:pPr>
        <w:ind w:left="2007" w:hanging="360"/>
      </w:pPr>
      <w:rPr>
        <w:rFonts w:ascii="Courier New" w:hAnsi="Courier New" w:cs="Courier New" w:hint="default"/>
      </w:rPr>
    </w:lvl>
    <w:lvl w:ilvl="2" w:tplc="04180005" w:tentative="1">
      <w:start w:val="1"/>
      <w:numFmt w:val="bullet"/>
      <w:lvlText w:val=""/>
      <w:lvlJc w:val="left"/>
      <w:pPr>
        <w:ind w:left="2727" w:hanging="360"/>
      </w:pPr>
      <w:rPr>
        <w:rFonts w:ascii="Wingdings" w:hAnsi="Wingdings" w:hint="default"/>
      </w:rPr>
    </w:lvl>
    <w:lvl w:ilvl="3" w:tplc="04180001" w:tentative="1">
      <w:start w:val="1"/>
      <w:numFmt w:val="bullet"/>
      <w:lvlText w:val=""/>
      <w:lvlJc w:val="left"/>
      <w:pPr>
        <w:ind w:left="3447" w:hanging="360"/>
      </w:pPr>
      <w:rPr>
        <w:rFonts w:ascii="Symbol" w:hAnsi="Symbol" w:hint="default"/>
      </w:rPr>
    </w:lvl>
    <w:lvl w:ilvl="4" w:tplc="04180003" w:tentative="1">
      <w:start w:val="1"/>
      <w:numFmt w:val="bullet"/>
      <w:lvlText w:val="o"/>
      <w:lvlJc w:val="left"/>
      <w:pPr>
        <w:ind w:left="4167" w:hanging="360"/>
      </w:pPr>
      <w:rPr>
        <w:rFonts w:ascii="Courier New" w:hAnsi="Courier New" w:cs="Courier New" w:hint="default"/>
      </w:rPr>
    </w:lvl>
    <w:lvl w:ilvl="5" w:tplc="04180005" w:tentative="1">
      <w:start w:val="1"/>
      <w:numFmt w:val="bullet"/>
      <w:lvlText w:val=""/>
      <w:lvlJc w:val="left"/>
      <w:pPr>
        <w:ind w:left="4887" w:hanging="360"/>
      </w:pPr>
      <w:rPr>
        <w:rFonts w:ascii="Wingdings" w:hAnsi="Wingdings" w:hint="default"/>
      </w:rPr>
    </w:lvl>
    <w:lvl w:ilvl="6" w:tplc="04180001" w:tentative="1">
      <w:start w:val="1"/>
      <w:numFmt w:val="bullet"/>
      <w:lvlText w:val=""/>
      <w:lvlJc w:val="left"/>
      <w:pPr>
        <w:ind w:left="5607" w:hanging="360"/>
      </w:pPr>
      <w:rPr>
        <w:rFonts w:ascii="Symbol" w:hAnsi="Symbol" w:hint="default"/>
      </w:rPr>
    </w:lvl>
    <w:lvl w:ilvl="7" w:tplc="04180003" w:tentative="1">
      <w:start w:val="1"/>
      <w:numFmt w:val="bullet"/>
      <w:lvlText w:val="o"/>
      <w:lvlJc w:val="left"/>
      <w:pPr>
        <w:ind w:left="6327" w:hanging="360"/>
      </w:pPr>
      <w:rPr>
        <w:rFonts w:ascii="Courier New" w:hAnsi="Courier New" w:cs="Courier New" w:hint="default"/>
      </w:rPr>
    </w:lvl>
    <w:lvl w:ilvl="8" w:tplc="04180005" w:tentative="1">
      <w:start w:val="1"/>
      <w:numFmt w:val="bullet"/>
      <w:lvlText w:val=""/>
      <w:lvlJc w:val="left"/>
      <w:pPr>
        <w:ind w:left="7047" w:hanging="360"/>
      </w:pPr>
      <w:rPr>
        <w:rFonts w:ascii="Wingdings" w:hAnsi="Wingdings" w:hint="default"/>
      </w:rPr>
    </w:lvl>
  </w:abstractNum>
  <w:abstractNum w:abstractNumId="11" w15:restartNumberingAfterBreak="0">
    <w:nsid w:val="1D504739"/>
    <w:multiLevelType w:val="hybridMultilevel"/>
    <w:tmpl w:val="3F54E4B6"/>
    <w:lvl w:ilvl="0" w:tplc="0409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2" w15:restartNumberingAfterBreak="0">
    <w:nsid w:val="1EA428BF"/>
    <w:multiLevelType w:val="hybridMultilevel"/>
    <w:tmpl w:val="AD3EA2CC"/>
    <w:lvl w:ilvl="0" w:tplc="04090001">
      <w:start w:val="1"/>
      <w:numFmt w:val="bullet"/>
      <w:lvlText w:val=""/>
      <w:lvlJc w:val="left"/>
      <w:pPr>
        <w:ind w:left="1038" w:hanging="360"/>
      </w:pPr>
      <w:rPr>
        <w:rFonts w:ascii="Symbol" w:hAnsi="Symbol" w:hint="default"/>
      </w:rPr>
    </w:lvl>
    <w:lvl w:ilvl="1" w:tplc="04180003" w:tentative="1">
      <w:start w:val="1"/>
      <w:numFmt w:val="bullet"/>
      <w:lvlText w:val="o"/>
      <w:lvlJc w:val="left"/>
      <w:pPr>
        <w:ind w:left="1758" w:hanging="360"/>
      </w:pPr>
      <w:rPr>
        <w:rFonts w:ascii="Courier New" w:hAnsi="Courier New" w:cs="Courier New" w:hint="default"/>
      </w:rPr>
    </w:lvl>
    <w:lvl w:ilvl="2" w:tplc="04180005" w:tentative="1">
      <w:start w:val="1"/>
      <w:numFmt w:val="bullet"/>
      <w:lvlText w:val=""/>
      <w:lvlJc w:val="left"/>
      <w:pPr>
        <w:ind w:left="2478" w:hanging="360"/>
      </w:pPr>
      <w:rPr>
        <w:rFonts w:ascii="Wingdings" w:hAnsi="Wingdings" w:hint="default"/>
      </w:rPr>
    </w:lvl>
    <w:lvl w:ilvl="3" w:tplc="04180001" w:tentative="1">
      <w:start w:val="1"/>
      <w:numFmt w:val="bullet"/>
      <w:lvlText w:val=""/>
      <w:lvlJc w:val="left"/>
      <w:pPr>
        <w:ind w:left="3198" w:hanging="360"/>
      </w:pPr>
      <w:rPr>
        <w:rFonts w:ascii="Symbol" w:hAnsi="Symbol" w:hint="default"/>
      </w:rPr>
    </w:lvl>
    <w:lvl w:ilvl="4" w:tplc="04180003" w:tentative="1">
      <w:start w:val="1"/>
      <w:numFmt w:val="bullet"/>
      <w:lvlText w:val="o"/>
      <w:lvlJc w:val="left"/>
      <w:pPr>
        <w:ind w:left="3918" w:hanging="360"/>
      </w:pPr>
      <w:rPr>
        <w:rFonts w:ascii="Courier New" w:hAnsi="Courier New" w:cs="Courier New" w:hint="default"/>
      </w:rPr>
    </w:lvl>
    <w:lvl w:ilvl="5" w:tplc="04180005" w:tentative="1">
      <w:start w:val="1"/>
      <w:numFmt w:val="bullet"/>
      <w:lvlText w:val=""/>
      <w:lvlJc w:val="left"/>
      <w:pPr>
        <w:ind w:left="4638" w:hanging="360"/>
      </w:pPr>
      <w:rPr>
        <w:rFonts w:ascii="Wingdings" w:hAnsi="Wingdings" w:hint="default"/>
      </w:rPr>
    </w:lvl>
    <w:lvl w:ilvl="6" w:tplc="04180001" w:tentative="1">
      <w:start w:val="1"/>
      <w:numFmt w:val="bullet"/>
      <w:lvlText w:val=""/>
      <w:lvlJc w:val="left"/>
      <w:pPr>
        <w:ind w:left="5358" w:hanging="360"/>
      </w:pPr>
      <w:rPr>
        <w:rFonts w:ascii="Symbol" w:hAnsi="Symbol" w:hint="default"/>
      </w:rPr>
    </w:lvl>
    <w:lvl w:ilvl="7" w:tplc="04180003" w:tentative="1">
      <w:start w:val="1"/>
      <w:numFmt w:val="bullet"/>
      <w:lvlText w:val="o"/>
      <w:lvlJc w:val="left"/>
      <w:pPr>
        <w:ind w:left="6078" w:hanging="360"/>
      </w:pPr>
      <w:rPr>
        <w:rFonts w:ascii="Courier New" w:hAnsi="Courier New" w:cs="Courier New" w:hint="default"/>
      </w:rPr>
    </w:lvl>
    <w:lvl w:ilvl="8" w:tplc="04180005" w:tentative="1">
      <w:start w:val="1"/>
      <w:numFmt w:val="bullet"/>
      <w:lvlText w:val=""/>
      <w:lvlJc w:val="left"/>
      <w:pPr>
        <w:ind w:left="6798" w:hanging="360"/>
      </w:pPr>
      <w:rPr>
        <w:rFonts w:ascii="Wingdings" w:hAnsi="Wingdings" w:hint="default"/>
      </w:rPr>
    </w:lvl>
  </w:abstractNum>
  <w:abstractNum w:abstractNumId="13" w15:restartNumberingAfterBreak="0">
    <w:nsid w:val="257826CC"/>
    <w:multiLevelType w:val="hybridMultilevel"/>
    <w:tmpl w:val="3F5871EA"/>
    <w:lvl w:ilvl="0" w:tplc="0409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4" w15:restartNumberingAfterBreak="0">
    <w:nsid w:val="271B6D14"/>
    <w:multiLevelType w:val="hybridMultilevel"/>
    <w:tmpl w:val="C07026E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C6C5418"/>
    <w:multiLevelType w:val="hybridMultilevel"/>
    <w:tmpl w:val="ADF89E12"/>
    <w:lvl w:ilvl="0" w:tplc="04090009">
      <w:start w:val="1"/>
      <w:numFmt w:val="bullet"/>
      <w:lvlText w:val=""/>
      <w:lvlJc w:val="left"/>
      <w:pPr>
        <w:ind w:left="1428" w:hanging="360"/>
      </w:pPr>
      <w:rPr>
        <w:rFonts w:ascii="Wingdings" w:hAnsi="Wingdings" w:hint="default"/>
      </w:rPr>
    </w:lvl>
    <w:lvl w:ilvl="1" w:tplc="04180003" w:tentative="1">
      <w:start w:val="1"/>
      <w:numFmt w:val="bullet"/>
      <w:lvlText w:val="o"/>
      <w:lvlJc w:val="left"/>
      <w:pPr>
        <w:ind w:left="2148" w:hanging="360"/>
      </w:pPr>
      <w:rPr>
        <w:rFonts w:ascii="Courier New" w:hAnsi="Courier New" w:cs="Courier New" w:hint="default"/>
      </w:rPr>
    </w:lvl>
    <w:lvl w:ilvl="2" w:tplc="04180005" w:tentative="1">
      <w:start w:val="1"/>
      <w:numFmt w:val="bullet"/>
      <w:lvlText w:val=""/>
      <w:lvlJc w:val="left"/>
      <w:pPr>
        <w:ind w:left="2868" w:hanging="360"/>
      </w:pPr>
      <w:rPr>
        <w:rFonts w:ascii="Wingdings" w:hAnsi="Wingdings" w:hint="default"/>
      </w:rPr>
    </w:lvl>
    <w:lvl w:ilvl="3" w:tplc="04180001" w:tentative="1">
      <w:start w:val="1"/>
      <w:numFmt w:val="bullet"/>
      <w:lvlText w:val=""/>
      <w:lvlJc w:val="left"/>
      <w:pPr>
        <w:ind w:left="3588" w:hanging="360"/>
      </w:pPr>
      <w:rPr>
        <w:rFonts w:ascii="Symbol" w:hAnsi="Symbol" w:hint="default"/>
      </w:rPr>
    </w:lvl>
    <w:lvl w:ilvl="4" w:tplc="04180003" w:tentative="1">
      <w:start w:val="1"/>
      <w:numFmt w:val="bullet"/>
      <w:lvlText w:val="o"/>
      <w:lvlJc w:val="left"/>
      <w:pPr>
        <w:ind w:left="4308" w:hanging="360"/>
      </w:pPr>
      <w:rPr>
        <w:rFonts w:ascii="Courier New" w:hAnsi="Courier New" w:cs="Courier New" w:hint="default"/>
      </w:rPr>
    </w:lvl>
    <w:lvl w:ilvl="5" w:tplc="04180005" w:tentative="1">
      <w:start w:val="1"/>
      <w:numFmt w:val="bullet"/>
      <w:lvlText w:val=""/>
      <w:lvlJc w:val="left"/>
      <w:pPr>
        <w:ind w:left="5028" w:hanging="360"/>
      </w:pPr>
      <w:rPr>
        <w:rFonts w:ascii="Wingdings" w:hAnsi="Wingdings" w:hint="default"/>
      </w:rPr>
    </w:lvl>
    <w:lvl w:ilvl="6" w:tplc="04180001" w:tentative="1">
      <w:start w:val="1"/>
      <w:numFmt w:val="bullet"/>
      <w:lvlText w:val=""/>
      <w:lvlJc w:val="left"/>
      <w:pPr>
        <w:ind w:left="5748" w:hanging="360"/>
      </w:pPr>
      <w:rPr>
        <w:rFonts w:ascii="Symbol" w:hAnsi="Symbol" w:hint="default"/>
      </w:rPr>
    </w:lvl>
    <w:lvl w:ilvl="7" w:tplc="04180003" w:tentative="1">
      <w:start w:val="1"/>
      <w:numFmt w:val="bullet"/>
      <w:lvlText w:val="o"/>
      <w:lvlJc w:val="left"/>
      <w:pPr>
        <w:ind w:left="6468" w:hanging="360"/>
      </w:pPr>
      <w:rPr>
        <w:rFonts w:ascii="Courier New" w:hAnsi="Courier New" w:cs="Courier New" w:hint="default"/>
      </w:rPr>
    </w:lvl>
    <w:lvl w:ilvl="8" w:tplc="04180005" w:tentative="1">
      <w:start w:val="1"/>
      <w:numFmt w:val="bullet"/>
      <w:lvlText w:val=""/>
      <w:lvlJc w:val="left"/>
      <w:pPr>
        <w:ind w:left="7188" w:hanging="360"/>
      </w:pPr>
      <w:rPr>
        <w:rFonts w:ascii="Wingdings" w:hAnsi="Wingdings" w:hint="default"/>
      </w:rPr>
    </w:lvl>
  </w:abstractNum>
  <w:abstractNum w:abstractNumId="16" w15:restartNumberingAfterBreak="0">
    <w:nsid w:val="2EB80D36"/>
    <w:multiLevelType w:val="hybridMultilevel"/>
    <w:tmpl w:val="2A0EDFC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15256FE"/>
    <w:multiLevelType w:val="hybridMultilevel"/>
    <w:tmpl w:val="4314D0CE"/>
    <w:lvl w:ilvl="0" w:tplc="04090001">
      <w:start w:val="1"/>
      <w:numFmt w:val="bullet"/>
      <w:lvlText w:val=""/>
      <w:lvlJc w:val="left"/>
      <w:pPr>
        <w:ind w:left="1038" w:hanging="360"/>
      </w:pPr>
      <w:rPr>
        <w:rFonts w:ascii="Symbol" w:hAnsi="Symbol" w:hint="default"/>
      </w:rPr>
    </w:lvl>
    <w:lvl w:ilvl="1" w:tplc="04180003" w:tentative="1">
      <w:start w:val="1"/>
      <w:numFmt w:val="bullet"/>
      <w:lvlText w:val="o"/>
      <w:lvlJc w:val="left"/>
      <w:pPr>
        <w:ind w:left="1758" w:hanging="360"/>
      </w:pPr>
      <w:rPr>
        <w:rFonts w:ascii="Courier New" w:hAnsi="Courier New" w:cs="Courier New" w:hint="default"/>
      </w:rPr>
    </w:lvl>
    <w:lvl w:ilvl="2" w:tplc="04180005" w:tentative="1">
      <w:start w:val="1"/>
      <w:numFmt w:val="bullet"/>
      <w:lvlText w:val=""/>
      <w:lvlJc w:val="left"/>
      <w:pPr>
        <w:ind w:left="2478" w:hanging="360"/>
      </w:pPr>
      <w:rPr>
        <w:rFonts w:ascii="Wingdings" w:hAnsi="Wingdings" w:hint="default"/>
      </w:rPr>
    </w:lvl>
    <w:lvl w:ilvl="3" w:tplc="04180001" w:tentative="1">
      <w:start w:val="1"/>
      <w:numFmt w:val="bullet"/>
      <w:lvlText w:val=""/>
      <w:lvlJc w:val="left"/>
      <w:pPr>
        <w:ind w:left="3198" w:hanging="360"/>
      </w:pPr>
      <w:rPr>
        <w:rFonts w:ascii="Symbol" w:hAnsi="Symbol" w:hint="default"/>
      </w:rPr>
    </w:lvl>
    <w:lvl w:ilvl="4" w:tplc="04180003" w:tentative="1">
      <w:start w:val="1"/>
      <w:numFmt w:val="bullet"/>
      <w:lvlText w:val="o"/>
      <w:lvlJc w:val="left"/>
      <w:pPr>
        <w:ind w:left="3918" w:hanging="360"/>
      </w:pPr>
      <w:rPr>
        <w:rFonts w:ascii="Courier New" w:hAnsi="Courier New" w:cs="Courier New" w:hint="default"/>
      </w:rPr>
    </w:lvl>
    <w:lvl w:ilvl="5" w:tplc="04180005" w:tentative="1">
      <w:start w:val="1"/>
      <w:numFmt w:val="bullet"/>
      <w:lvlText w:val=""/>
      <w:lvlJc w:val="left"/>
      <w:pPr>
        <w:ind w:left="4638" w:hanging="360"/>
      </w:pPr>
      <w:rPr>
        <w:rFonts w:ascii="Wingdings" w:hAnsi="Wingdings" w:hint="default"/>
      </w:rPr>
    </w:lvl>
    <w:lvl w:ilvl="6" w:tplc="04180001" w:tentative="1">
      <w:start w:val="1"/>
      <w:numFmt w:val="bullet"/>
      <w:lvlText w:val=""/>
      <w:lvlJc w:val="left"/>
      <w:pPr>
        <w:ind w:left="5358" w:hanging="360"/>
      </w:pPr>
      <w:rPr>
        <w:rFonts w:ascii="Symbol" w:hAnsi="Symbol" w:hint="default"/>
      </w:rPr>
    </w:lvl>
    <w:lvl w:ilvl="7" w:tplc="04180003" w:tentative="1">
      <w:start w:val="1"/>
      <w:numFmt w:val="bullet"/>
      <w:lvlText w:val="o"/>
      <w:lvlJc w:val="left"/>
      <w:pPr>
        <w:ind w:left="6078" w:hanging="360"/>
      </w:pPr>
      <w:rPr>
        <w:rFonts w:ascii="Courier New" w:hAnsi="Courier New" w:cs="Courier New" w:hint="default"/>
      </w:rPr>
    </w:lvl>
    <w:lvl w:ilvl="8" w:tplc="04180005" w:tentative="1">
      <w:start w:val="1"/>
      <w:numFmt w:val="bullet"/>
      <w:lvlText w:val=""/>
      <w:lvlJc w:val="left"/>
      <w:pPr>
        <w:ind w:left="6798" w:hanging="360"/>
      </w:pPr>
      <w:rPr>
        <w:rFonts w:ascii="Wingdings" w:hAnsi="Wingdings" w:hint="default"/>
      </w:rPr>
    </w:lvl>
  </w:abstractNum>
  <w:abstractNum w:abstractNumId="18" w15:restartNumberingAfterBreak="0">
    <w:nsid w:val="33977246"/>
    <w:multiLevelType w:val="multilevel"/>
    <w:tmpl w:val="960E131E"/>
    <w:lvl w:ilvl="0">
      <w:start w:val="1"/>
      <w:numFmt w:val="upperRoman"/>
      <w:pStyle w:val="Heading1"/>
      <w:lvlText w:val="Cap %1"/>
      <w:lvlJc w:val="left"/>
      <w:pPr>
        <w:ind w:left="0" w:firstLine="0"/>
      </w:pPr>
      <w:rPr>
        <w:rFonts w:hint="default"/>
        <w:b/>
        <w:i w:val="0"/>
      </w:rPr>
    </w:lvl>
    <w:lvl w:ilvl="1">
      <w:start w:val="1"/>
      <w:numFmt w:val="decimal"/>
      <w:pStyle w:val="Heading2"/>
      <w:lvlText w:val="%1.%2."/>
      <w:lvlJc w:val="left"/>
      <w:pPr>
        <w:tabs>
          <w:tab w:val="num" w:pos="397"/>
        </w:tabs>
        <w:ind w:left="0" w:firstLine="0"/>
      </w:pPr>
      <w:rPr>
        <w:rFonts w:hint="default"/>
      </w:rPr>
    </w:lvl>
    <w:lvl w:ilvl="2">
      <w:start w:val="1"/>
      <w:numFmt w:val="lowerLetter"/>
      <w:lvlText w:val="%3."/>
      <w:lvlJc w:val="left"/>
      <w:pPr>
        <w:tabs>
          <w:tab w:val="num" w:pos="1191"/>
        </w:tabs>
        <w:ind w:left="964" w:firstLine="0"/>
      </w:pPr>
      <w:rPr>
        <w:rFonts w:hint="default"/>
      </w:rPr>
    </w:lvl>
    <w:lvl w:ilvl="3">
      <w:start w:val="1"/>
      <w:numFmt w:val="decimal"/>
      <w:lvlText w:val="%4."/>
      <w:lvlJc w:val="left"/>
      <w:pPr>
        <w:tabs>
          <w:tab w:val="num" w:pos="1588"/>
        </w:tabs>
        <w:ind w:left="1361" w:firstLine="0"/>
      </w:pPr>
      <w:rPr>
        <w:rFonts w:hint="default"/>
      </w:rPr>
    </w:lvl>
    <w:lvl w:ilvl="4">
      <w:start w:val="1"/>
      <w:numFmt w:val="lowerLetter"/>
      <w:lvlText w:val="%5."/>
      <w:lvlJc w:val="left"/>
      <w:pPr>
        <w:ind w:left="4167" w:hanging="360"/>
      </w:pPr>
      <w:rPr>
        <w:rFonts w:hint="default"/>
      </w:rPr>
    </w:lvl>
    <w:lvl w:ilvl="5">
      <w:start w:val="1"/>
      <w:numFmt w:val="lowerRoman"/>
      <w:lvlText w:val="%6."/>
      <w:lvlJc w:val="right"/>
      <w:pPr>
        <w:ind w:left="4887" w:hanging="180"/>
      </w:pPr>
      <w:rPr>
        <w:rFonts w:hint="default"/>
      </w:rPr>
    </w:lvl>
    <w:lvl w:ilvl="6">
      <w:start w:val="1"/>
      <w:numFmt w:val="decimal"/>
      <w:lvlText w:val="%7."/>
      <w:lvlJc w:val="left"/>
      <w:pPr>
        <w:ind w:left="5607" w:hanging="360"/>
      </w:pPr>
      <w:rPr>
        <w:rFonts w:hint="default"/>
      </w:rPr>
    </w:lvl>
    <w:lvl w:ilvl="7">
      <w:start w:val="1"/>
      <w:numFmt w:val="lowerLetter"/>
      <w:lvlText w:val="%8."/>
      <w:lvlJc w:val="left"/>
      <w:pPr>
        <w:ind w:left="6327" w:hanging="360"/>
      </w:pPr>
      <w:rPr>
        <w:rFonts w:hint="default"/>
      </w:rPr>
    </w:lvl>
    <w:lvl w:ilvl="8">
      <w:start w:val="1"/>
      <w:numFmt w:val="lowerRoman"/>
      <w:lvlText w:val="%9."/>
      <w:lvlJc w:val="right"/>
      <w:pPr>
        <w:ind w:left="7047" w:hanging="180"/>
      </w:pPr>
      <w:rPr>
        <w:rFonts w:hint="default"/>
      </w:rPr>
    </w:lvl>
  </w:abstractNum>
  <w:abstractNum w:abstractNumId="19" w15:restartNumberingAfterBreak="0">
    <w:nsid w:val="367440E0"/>
    <w:multiLevelType w:val="hybridMultilevel"/>
    <w:tmpl w:val="200A78FE"/>
    <w:lvl w:ilvl="0" w:tplc="04090001">
      <w:start w:val="1"/>
      <w:numFmt w:val="bullet"/>
      <w:lvlText w:val=""/>
      <w:lvlJc w:val="left"/>
      <w:pPr>
        <w:ind w:left="1038" w:hanging="360"/>
      </w:pPr>
      <w:rPr>
        <w:rFonts w:ascii="Symbol" w:hAnsi="Symbol" w:hint="default"/>
      </w:rPr>
    </w:lvl>
    <w:lvl w:ilvl="1" w:tplc="04180003" w:tentative="1">
      <w:start w:val="1"/>
      <w:numFmt w:val="bullet"/>
      <w:lvlText w:val="o"/>
      <w:lvlJc w:val="left"/>
      <w:pPr>
        <w:ind w:left="1758" w:hanging="360"/>
      </w:pPr>
      <w:rPr>
        <w:rFonts w:ascii="Courier New" w:hAnsi="Courier New" w:cs="Courier New" w:hint="default"/>
      </w:rPr>
    </w:lvl>
    <w:lvl w:ilvl="2" w:tplc="04180005" w:tentative="1">
      <w:start w:val="1"/>
      <w:numFmt w:val="bullet"/>
      <w:lvlText w:val=""/>
      <w:lvlJc w:val="left"/>
      <w:pPr>
        <w:ind w:left="2478" w:hanging="360"/>
      </w:pPr>
      <w:rPr>
        <w:rFonts w:ascii="Wingdings" w:hAnsi="Wingdings" w:hint="default"/>
      </w:rPr>
    </w:lvl>
    <w:lvl w:ilvl="3" w:tplc="04180001" w:tentative="1">
      <w:start w:val="1"/>
      <w:numFmt w:val="bullet"/>
      <w:lvlText w:val=""/>
      <w:lvlJc w:val="left"/>
      <w:pPr>
        <w:ind w:left="3198" w:hanging="360"/>
      </w:pPr>
      <w:rPr>
        <w:rFonts w:ascii="Symbol" w:hAnsi="Symbol" w:hint="default"/>
      </w:rPr>
    </w:lvl>
    <w:lvl w:ilvl="4" w:tplc="04180003" w:tentative="1">
      <w:start w:val="1"/>
      <w:numFmt w:val="bullet"/>
      <w:lvlText w:val="o"/>
      <w:lvlJc w:val="left"/>
      <w:pPr>
        <w:ind w:left="3918" w:hanging="360"/>
      </w:pPr>
      <w:rPr>
        <w:rFonts w:ascii="Courier New" w:hAnsi="Courier New" w:cs="Courier New" w:hint="default"/>
      </w:rPr>
    </w:lvl>
    <w:lvl w:ilvl="5" w:tplc="04180005" w:tentative="1">
      <w:start w:val="1"/>
      <w:numFmt w:val="bullet"/>
      <w:lvlText w:val=""/>
      <w:lvlJc w:val="left"/>
      <w:pPr>
        <w:ind w:left="4638" w:hanging="360"/>
      </w:pPr>
      <w:rPr>
        <w:rFonts w:ascii="Wingdings" w:hAnsi="Wingdings" w:hint="default"/>
      </w:rPr>
    </w:lvl>
    <w:lvl w:ilvl="6" w:tplc="04180001" w:tentative="1">
      <w:start w:val="1"/>
      <w:numFmt w:val="bullet"/>
      <w:lvlText w:val=""/>
      <w:lvlJc w:val="left"/>
      <w:pPr>
        <w:ind w:left="5358" w:hanging="360"/>
      </w:pPr>
      <w:rPr>
        <w:rFonts w:ascii="Symbol" w:hAnsi="Symbol" w:hint="default"/>
      </w:rPr>
    </w:lvl>
    <w:lvl w:ilvl="7" w:tplc="04180003" w:tentative="1">
      <w:start w:val="1"/>
      <w:numFmt w:val="bullet"/>
      <w:lvlText w:val="o"/>
      <w:lvlJc w:val="left"/>
      <w:pPr>
        <w:ind w:left="6078" w:hanging="360"/>
      </w:pPr>
      <w:rPr>
        <w:rFonts w:ascii="Courier New" w:hAnsi="Courier New" w:cs="Courier New" w:hint="default"/>
      </w:rPr>
    </w:lvl>
    <w:lvl w:ilvl="8" w:tplc="04180005" w:tentative="1">
      <w:start w:val="1"/>
      <w:numFmt w:val="bullet"/>
      <w:lvlText w:val=""/>
      <w:lvlJc w:val="left"/>
      <w:pPr>
        <w:ind w:left="6798" w:hanging="360"/>
      </w:pPr>
      <w:rPr>
        <w:rFonts w:ascii="Wingdings" w:hAnsi="Wingdings" w:hint="default"/>
      </w:rPr>
    </w:lvl>
  </w:abstractNum>
  <w:abstractNum w:abstractNumId="20" w15:restartNumberingAfterBreak="0">
    <w:nsid w:val="36C31499"/>
    <w:multiLevelType w:val="hybridMultilevel"/>
    <w:tmpl w:val="D7E067A6"/>
    <w:lvl w:ilvl="0" w:tplc="04090001">
      <w:start w:val="1"/>
      <w:numFmt w:val="bullet"/>
      <w:lvlText w:val=""/>
      <w:lvlJc w:val="left"/>
      <w:pPr>
        <w:ind w:left="1287" w:hanging="360"/>
      </w:pPr>
      <w:rPr>
        <w:rFonts w:ascii="Symbol" w:hAnsi="Symbol" w:hint="default"/>
      </w:rPr>
    </w:lvl>
    <w:lvl w:ilvl="1" w:tplc="04180003" w:tentative="1">
      <w:start w:val="1"/>
      <w:numFmt w:val="bullet"/>
      <w:lvlText w:val="o"/>
      <w:lvlJc w:val="left"/>
      <w:pPr>
        <w:ind w:left="2007" w:hanging="360"/>
      </w:pPr>
      <w:rPr>
        <w:rFonts w:ascii="Courier New" w:hAnsi="Courier New" w:cs="Courier New" w:hint="default"/>
      </w:rPr>
    </w:lvl>
    <w:lvl w:ilvl="2" w:tplc="04180005" w:tentative="1">
      <w:start w:val="1"/>
      <w:numFmt w:val="bullet"/>
      <w:lvlText w:val=""/>
      <w:lvlJc w:val="left"/>
      <w:pPr>
        <w:ind w:left="2727" w:hanging="360"/>
      </w:pPr>
      <w:rPr>
        <w:rFonts w:ascii="Wingdings" w:hAnsi="Wingdings" w:hint="default"/>
      </w:rPr>
    </w:lvl>
    <w:lvl w:ilvl="3" w:tplc="04180001" w:tentative="1">
      <w:start w:val="1"/>
      <w:numFmt w:val="bullet"/>
      <w:lvlText w:val=""/>
      <w:lvlJc w:val="left"/>
      <w:pPr>
        <w:ind w:left="3447" w:hanging="360"/>
      </w:pPr>
      <w:rPr>
        <w:rFonts w:ascii="Symbol" w:hAnsi="Symbol" w:hint="default"/>
      </w:rPr>
    </w:lvl>
    <w:lvl w:ilvl="4" w:tplc="04180003" w:tentative="1">
      <w:start w:val="1"/>
      <w:numFmt w:val="bullet"/>
      <w:lvlText w:val="o"/>
      <w:lvlJc w:val="left"/>
      <w:pPr>
        <w:ind w:left="4167" w:hanging="360"/>
      </w:pPr>
      <w:rPr>
        <w:rFonts w:ascii="Courier New" w:hAnsi="Courier New" w:cs="Courier New" w:hint="default"/>
      </w:rPr>
    </w:lvl>
    <w:lvl w:ilvl="5" w:tplc="04180005" w:tentative="1">
      <w:start w:val="1"/>
      <w:numFmt w:val="bullet"/>
      <w:lvlText w:val=""/>
      <w:lvlJc w:val="left"/>
      <w:pPr>
        <w:ind w:left="4887" w:hanging="360"/>
      </w:pPr>
      <w:rPr>
        <w:rFonts w:ascii="Wingdings" w:hAnsi="Wingdings" w:hint="default"/>
      </w:rPr>
    </w:lvl>
    <w:lvl w:ilvl="6" w:tplc="04180001" w:tentative="1">
      <w:start w:val="1"/>
      <w:numFmt w:val="bullet"/>
      <w:lvlText w:val=""/>
      <w:lvlJc w:val="left"/>
      <w:pPr>
        <w:ind w:left="5607" w:hanging="360"/>
      </w:pPr>
      <w:rPr>
        <w:rFonts w:ascii="Symbol" w:hAnsi="Symbol" w:hint="default"/>
      </w:rPr>
    </w:lvl>
    <w:lvl w:ilvl="7" w:tplc="04180003" w:tentative="1">
      <w:start w:val="1"/>
      <w:numFmt w:val="bullet"/>
      <w:lvlText w:val="o"/>
      <w:lvlJc w:val="left"/>
      <w:pPr>
        <w:ind w:left="6327" w:hanging="360"/>
      </w:pPr>
      <w:rPr>
        <w:rFonts w:ascii="Courier New" w:hAnsi="Courier New" w:cs="Courier New" w:hint="default"/>
      </w:rPr>
    </w:lvl>
    <w:lvl w:ilvl="8" w:tplc="04180005" w:tentative="1">
      <w:start w:val="1"/>
      <w:numFmt w:val="bullet"/>
      <w:lvlText w:val=""/>
      <w:lvlJc w:val="left"/>
      <w:pPr>
        <w:ind w:left="7047" w:hanging="360"/>
      </w:pPr>
      <w:rPr>
        <w:rFonts w:ascii="Wingdings" w:hAnsi="Wingdings" w:hint="default"/>
      </w:rPr>
    </w:lvl>
  </w:abstractNum>
  <w:abstractNum w:abstractNumId="21" w15:restartNumberingAfterBreak="0">
    <w:nsid w:val="3B0615BA"/>
    <w:multiLevelType w:val="hybridMultilevel"/>
    <w:tmpl w:val="62FAAAA4"/>
    <w:lvl w:ilvl="0" w:tplc="04090001">
      <w:start w:val="1"/>
      <w:numFmt w:val="bullet"/>
      <w:lvlText w:val=""/>
      <w:lvlJc w:val="left"/>
      <w:pPr>
        <w:ind w:left="1428" w:hanging="360"/>
      </w:pPr>
      <w:rPr>
        <w:rFonts w:ascii="Symbol" w:hAnsi="Symbol" w:hint="default"/>
      </w:rPr>
    </w:lvl>
    <w:lvl w:ilvl="1" w:tplc="04180003" w:tentative="1">
      <w:start w:val="1"/>
      <w:numFmt w:val="bullet"/>
      <w:lvlText w:val="o"/>
      <w:lvlJc w:val="left"/>
      <w:pPr>
        <w:ind w:left="2148" w:hanging="360"/>
      </w:pPr>
      <w:rPr>
        <w:rFonts w:ascii="Courier New" w:hAnsi="Courier New" w:cs="Courier New" w:hint="default"/>
      </w:rPr>
    </w:lvl>
    <w:lvl w:ilvl="2" w:tplc="04180005" w:tentative="1">
      <w:start w:val="1"/>
      <w:numFmt w:val="bullet"/>
      <w:lvlText w:val=""/>
      <w:lvlJc w:val="left"/>
      <w:pPr>
        <w:ind w:left="2868" w:hanging="360"/>
      </w:pPr>
      <w:rPr>
        <w:rFonts w:ascii="Wingdings" w:hAnsi="Wingdings" w:hint="default"/>
      </w:rPr>
    </w:lvl>
    <w:lvl w:ilvl="3" w:tplc="04180001" w:tentative="1">
      <w:start w:val="1"/>
      <w:numFmt w:val="bullet"/>
      <w:lvlText w:val=""/>
      <w:lvlJc w:val="left"/>
      <w:pPr>
        <w:ind w:left="3588" w:hanging="360"/>
      </w:pPr>
      <w:rPr>
        <w:rFonts w:ascii="Symbol" w:hAnsi="Symbol" w:hint="default"/>
      </w:rPr>
    </w:lvl>
    <w:lvl w:ilvl="4" w:tplc="04180003" w:tentative="1">
      <w:start w:val="1"/>
      <w:numFmt w:val="bullet"/>
      <w:lvlText w:val="o"/>
      <w:lvlJc w:val="left"/>
      <w:pPr>
        <w:ind w:left="4308" w:hanging="360"/>
      </w:pPr>
      <w:rPr>
        <w:rFonts w:ascii="Courier New" w:hAnsi="Courier New" w:cs="Courier New" w:hint="default"/>
      </w:rPr>
    </w:lvl>
    <w:lvl w:ilvl="5" w:tplc="04180005" w:tentative="1">
      <w:start w:val="1"/>
      <w:numFmt w:val="bullet"/>
      <w:lvlText w:val=""/>
      <w:lvlJc w:val="left"/>
      <w:pPr>
        <w:ind w:left="5028" w:hanging="360"/>
      </w:pPr>
      <w:rPr>
        <w:rFonts w:ascii="Wingdings" w:hAnsi="Wingdings" w:hint="default"/>
      </w:rPr>
    </w:lvl>
    <w:lvl w:ilvl="6" w:tplc="04180001" w:tentative="1">
      <w:start w:val="1"/>
      <w:numFmt w:val="bullet"/>
      <w:lvlText w:val=""/>
      <w:lvlJc w:val="left"/>
      <w:pPr>
        <w:ind w:left="5748" w:hanging="360"/>
      </w:pPr>
      <w:rPr>
        <w:rFonts w:ascii="Symbol" w:hAnsi="Symbol" w:hint="default"/>
      </w:rPr>
    </w:lvl>
    <w:lvl w:ilvl="7" w:tplc="04180003" w:tentative="1">
      <w:start w:val="1"/>
      <w:numFmt w:val="bullet"/>
      <w:lvlText w:val="o"/>
      <w:lvlJc w:val="left"/>
      <w:pPr>
        <w:ind w:left="6468" w:hanging="360"/>
      </w:pPr>
      <w:rPr>
        <w:rFonts w:ascii="Courier New" w:hAnsi="Courier New" w:cs="Courier New" w:hint="default"/>
      </w:rPr>
    </w:lvl>
    <w:lvl w:ilvl="8" w:tplc="04180005" w:tentative="1">
      <w:start w:val="1"/>
      <w:numFmt w:val="bullet"/>
      <w:lvlText w:val=""/>
      <w:lvlJc w:val="left"/>
      <w:pPr>
        <w:ind w:left="7188" w:hanging="360"/>
      </w:pPr>
      <w:rPr>
        <w:rFonts w:ascii="Wingdings" w:hAnsi="Wingdings" w:hint="default"/>
      </w:rPr>
    </w:lvl>
  </w:abstractNum>
  <w:abstractNum w:abstractNumId="22" w15:restartNumberingAfterBreak="0">
    <w:nsid w:val="3B2717D8"/>
    <w:multiLevelType w:val="hybridMultilevel"/>
    <w:tmpl w:val="D2DE349C"/>
    <w:lvl w:ilvl="0" w:tplc="04090001">
      <w:start w:val="1"/>
      <w:numFmt w:val="bullet"/>
      <w:lvlText w:val=""/>
      <w:lvlJc w:val="left"/>
      <w:pPr>
        <w:ind w:left="1038" w:hanging="360"/>
      </w:pPr>
      <w:rPr>
        <w:rFonts w:ascii="Symbol" w:hAnsi="Symbol" w:hint="default"/>
      </w:rPr>
    </w:lvl>
    <w:lvl w:ilvl="1" w:tplc="04180003" w:tentative="1">
      <w:start w:val="1"/>
      <w:numFmt w:val="bullet"/>
      <w:lvlText w:val="o"/>
      <w:lvlJc w:val="left"/>
      <w:pPr>
        <w:ind w:left="1758" w:hanging="360"/>
      </w:pPr>
      <w:rPr>
        <w:rFonts w:ascii="Courier New" w:hAnsi="Courier New" w:cs="Courier New" w:hint="default"/>
      </w:rPr>
    </w:lvl>
    <w:lvl w:ilvl="2" w:tplc="04180005" w:tentative="1">
      <w:start w:val="1"/>
      <w:numFmt w:val="bullet"/>
      <w:lvlText w:val=""/>
      <w:lvlJc w:val="left"/>
      <w:pPr>
        <w:ind w:left="2478" w:hanging="360"/>
      </w:pPr>
      <w:rPr>
        <w:rFonts w:ascii="Wingdings" w:hAnsi="Wingdings" w:hint="default"/>
      </w:rPr>
    </w:lvl>
    <w:lvl w:ilvl="3" w:tplc="04180001" w:tentative="1">
      <w:start w:val="1"/>
      <w:numFmt w:val="bullet"/>
      <w:lvlText w:val=""/>
      <w:lvlJc w:val="left"/>
      <w:pPr>
        <w:ind w:left="3198" w:hanging="360"/>
      </w:pPr>
      <w:rPr>
        <w:rFonts w:ascii="Symbol" w:hAnsi="Symbol" w:hint="default"/>
      </w:rPr>
    </w:lvl>
    <w:lvl w:ilvl="4" w:tplc="04180003" w:tentative="1">
      <w:start w:val="1"/>
      <w:numFmt w:val="bullet"/>
      <w:lvlText w:val="o"/>
      <w:lvlJc w:val="left"/>
      <w:pPr>
        <w:ind w:left="3918" w:hanging="360"/>
      </w:pPr>
      <w:rPr>
        <w:rFonts w:ascii="Courier New" w:hAnsi="Courier New" w:cs="Courier New" w:hint="default"/>
      </w:rPr>
    </w:lvl>
    <w:lvl w:ilvl="5" w:tplc="04180005" w:tentative="1">
      <w:start w:val="1"/>
      <w:numFmt w:val="bullet"/>
      <w:lvlText w:val=""/>
      <w:lvlJc w:val="left"/>
      <w:pPr>
        <w:ind w:left="4638" w:hanging="360"/>
      </w:pPr>
      <w:rPr>
        <w:rFonts w:ascii="Wingdings" w:hAnsi="Wingdings" w:hint="default"/>
      </w:rPr>
    </w:lvl>
    <w:lvl w:ilvl="6" w:tplc="04180001" w:tentative="1">
      <w:start w:val="1"/>
      <w:numFmt w:val="bullet"/>
      <w:lvlText w:val=""/>
      <w:lvlJc w:val="left"/>
      <w:pPr>
        <w:ind w:left="5358" w:hanging="360"/>
      </w:pPr>
      <w:rPr>
        <w:rFonts w:ascii="Symbol" w:hAnsi="Symbol" w:hint="default"/>
      </w:rPr>
    </w:lvl>
    <w:lvl w:ilvl="7" w:tplc="04180003" w:tentative="1">
      <w:start w:val="1"/>
      <w:numFmt w:val="bullet"/>
      <w:lvlText w:val="o"/>
      <w:lvlJc w:val="left"/>
      <w:pPr>
        <w:ind w:left="6078" w:hanging="360"/>
      </w:pPr>
      <w:rPr>
        <w:rFonts w:ascii="Courier New" w:hAnsi="Courier New" w:cs="Courier New" w:hint="default"/>
      </w:rPr>
    </w:lvl>
    <w:lvl w:ilvl="8" w:tplc="04180005" w:tentative="1">
      <w:start w:val="1"/>
      <w:numFmt w:val="bullet"/>
      <w:lvlText w:val=""/>
      <w:lvlJc w:val="left"/>
      <w:pPr>
        <w:ind w:left="6798" w:hanging="360"/>
      </w:pPr>
      <w:rPr>
        <w:rFonts w:ascii="Wingdings" w:hAnsi="Wingdings" w:hint="default"/>
      </w:rPr>
    </w:lvl>
  </w:abstractNum>
  <w:abstractNum w:abstractNumId="23" w15:restartNumberingAfterBreak="0">
    <w:nsid w:val="3FE608F3"/>
    <w:multiLevelType w:val="hybridMultilevel"/>
    <w:tmpl w:val="0C0EB49A"/>
    <w:lvl w:ilvl="0" w:tplc="04090001">
      <w:start w:val="1"/>
      <w:numFmt w:val="bullet"/>
      <w:lvlText w:val=""/>
      <w:lvlJc w:val="left"/>
      <w:pPr>
        <w:ind w:left="1428" w:hanging="360"/>
      </w:pPr>
      <w:rPr>
        <w:rFonts w:ascii="Symbol" w:hAnsi="Symbol" w:hint="default"/>
      </w:rPr>
    </w:lvl>
    <w:lvl w:ilvl="1" w:tplc="04180003" w:tentative="1">
      <w:start w:val="1"/>
      <w:numFmt w:val="bullet"/>
      <w:lvlText w:val="o"/>
      <w:lvlJc w:val="left"/>
      <w:pPr>
        <w:ind w:left="2148" w:hanging="360"/>
      </w:pPr>
      <w:rPr>
        <w:rFonts w:ascii="Courier New" w:hAnsi="Courier New" w:cs="Courier New" w:hint="default"/>
      </w:rPr>
    </w:lvl>
    <w:lvl w:ilvl="2" w:tplc="04180005" w:tentative="1">
      <w:start w:val="1"/>
      <w:numFmt w:val="bullet"/>
      <w:lvlText w:val=""/>
      <w:lvlJc w:val="left"/>
      <w:pPr>
        <w:ind w:left="2868" w:hanging="360"/>
      </w:pPr>
      <w:rPr>
        <w:rFonts w:ascii="Wingdings" w:hAnsi="Wingdings" w:hint="default"/>
      </w:rPr>
    </w:lvl>
    <w:lvl w:ilvl="3" w:tplc="04180001" w:tentative="1">
      <w:start w:val="1"/>
      <w:numFmt w:val="bullet"/>
      <w:lvlText w:val=""/>
      <w:lvlJc w:val="left"/>
      <w:pPr>
        <w:ind w:left="3588" w:hanging="360"/>
      </w:pPr>
      <w:rPr>
        <w:rFonts w:ascii="Symbol" w:hAnsi="Symbol" w:hint="default"/>
      </w:rPr>
    </w:lvl>
    <w:lvl w:ilvl="4" w:tplc="04180003" w:tentative="1">
      <w:start w:val="1"/>
      <w:numFmt w:val="bullet"/>
      <w:lvlText w:val="o"/>
      <w:lvlJc w:val="left"/>
      <w:pPr>
        <w:ind w:left="4308" w:hanging="360"/>
      </w:pPr>
      <w:rPr>
        <w:rFonts w:ascii="Courier New" w:hAnsi="Courier New" w:cs="Courier New" w:hint="default"/>
      </w:rPr>
    </w:lvl>
    <w:lvl w:ilvl="5" w:tplc="04180005" w:tentative="1">
      <w:start w:val="1"/>
      <w:numFmt w:val="bullet"/>
      <w:lvlText w:val=""/>
      <w:lvlJc w:val="left"/>
      <w:pPr>
        <w:ind w:left="5028" w:hanging="360"/>
      </w:pPr>
      <w:rPr>
        <w:rFonts w:ascii="Wingdings" w:hAnsi="Wingdings" w:hint="default"/>
      </w:rPr>
    </w:lvl>
    <w:lvl w:ilvl="6" w:tplc="04180001" w:tentative="1">
      <w:start w:val="1"/>
      <w:numFmt w:val="bullet"/>
      <w:lvlText w:val=""/>
      <w:lvlJc w:val="left"/>
      <w:pPr>
        <w:ind w:left="5748" w:hanging="360"/>
      </w:pPr>
      <w:rPr>
        <w:rFonts w:ascii="Symbol" w:hAnsi="Symbol" w:hint="default"/>
      </w:rPr>
    </w:lvl>
    <w:lvl w:ilvl="7" w:tplc="04180003" w:tentative="1">
      <w:start w:val="1"/>
      <w:numFmt w:val="bullet"/>
      <w:lvlText w:val="o"/>
      <w:lvlJc w:val="left"/>
      <w:pPr>
        <w:ind w:left="6468" w:hanging="360"/>
      </w:pPr>
      <w:rPr>
        <w:rFonts w:ascii="Courier New" w:hAnsi="Courier New" w:cs="Courier New" w:hint="default"/>
      </w:rPr>
    </w:lvl>
    <w:lvl w:ilvl="8" w:tplc="04180005" w:tentative="1">
      <w:start w:val="1"/>
      <w:numFmt w:val="bullet"/>
      <w:lvlText w:val=""/>
      <w:lvlJc w:val="left"/>
      <w:pPr>
        <w:ind w:left="7188" w:hanging="360"/>
      </w:pPr>
      <w:rPr>
        <w:rFonts w:ascii="Wingdings" w:hAnsi="Wingdings" w:hint="default"/>
      </w:rPr>
    </w:lvl>
  </w:abstractNum>
  <w:abstractNum w:abstractNumId="24" w15:restartNumberingAfterBreak="0">
    <w:nsid w:val="447C0AF5"/>
    <w:multiLevelType w:val="hybridMultilevel"/>
    <w:tmpl w:val="35A20456"/>
    <w:lvl w:ilvl="0" w:tplc="04090001">
      <w:start w:val="1"/>
      <w:numFmt w:val="bullet"/>
      <w:lvlText w:val=""/>
      <w:lvlJc w:val="left"/>
      <w:pPr>
        <w:ind w:left="1038" w:hanging="360"/>
      </w:pPr>
      <w:rPr>
        <w:rFonts w:ascii="Symbol" w:hAnsi="Symbol" w:hint="default"/>
      </w:rPr>
    </w:lvl>
    <w:lvl w:ilvl="1" w:tplc="04180003" w:tentative="1">
      <w:start w:val="1"/>
      <w:numFmt w:val="bullet"/>
      <w:lvlText w:val="o"/>
      <w:lvlJc w:val="left"/>
      <w:pPr>
        <w:ind w:left="1758" w:hanging="360"/>
      </w:pPr>
      <w:rPr>
        <w:rFonts w:ascii="Courier New" w:hAnsi="Courier New" w:cs="Courier New" w:hint="default"/>
      </w:rPr>
    </w:lvl>
    <w:lvl w:ilvl="2" w:tplc="04180005" w:tentative="1">
      <w:start w:val="1"/>
      <w:numFmt w:val="bullet"/>
      <w:lvlText w:val=""/>
      <w:lvlJc w:val="left"/>
      <w:pPr>
        <w:ind w:left="2478" w:hanging="360"/>
      </w:pPr>
      <w:rPr>
        <w:rFonts w:ascii="Wingdings" w:hAnsi="Wingdings" w:hint="default"/>
      </w:rPr>
    </w:lvl>
    <w:lvl w:ilvl="3" w:tplc="04180001" w:tentative="1">
      <w:start w:val="1"/>
      <w:numFmt w:val="bullet"/>
      <w:lvlText w:val=""/>
      <w:lvlJc w:val="left"/>
      <w:pPr>
        <w:ind w:left="3198" w:hanging="360"/>
      </w:pPr>
      <w:rPr>
        <w:rFonts w:ascii="Symbol" w:hAnsi="Symbol" w:hint="default"/>
      </w:rPr>
    </w:lvl>
    <w:lvl w:ilvl="4" w:tplc="04180003" w:tentative="1">
      <w:start w:val="1"/>
      <w:numFmt w:val="bullet"/>
      <w:lvlText w:val="o"/>
      <w:lvlJc w:val="left"/>
      <w:pPr>
        <w:ind w:left="3918" w:hanging="360"/>
      </w:pPr>
      <w:rPr>
        <w:rFonts w:ascii="Courier New" w:hAnsi="Courier New" w:cs="Courier New" w:hint="default"/>
      </w:rPr>
    </w:lvl>
    <w:lvl w:ilvl="5" w:tplc="04180005" w:tentative="1">
      <w:start w:val="1"/>
      <w:numFmt w:val="bullet"/>
      <w:lvlText w:val=""/>
      <w:lvlJc w:val="left"/>
      <w:pPr>
        <w:ind w:left="4638" w:hanging="360"/>
      </w:pPr>
      <w:rPr>
        <w:rFonts w:ascii="Wingdings" w:hAnsi="Wingdings" w:hint="default"/>
      </w:rPr>
    </w:lvl>
    <w:lvl w:ilvl="6" w:tplc="04180001" w:tentative="1">
      <w:start w:val="1"/>
      <w:numFmt w:val="bullet"/>
      <w:lvlText w:val=""/>
      <w:lvlJc w:val="left"/>
      <w:pPr>
        <w:ind w:left="5358" w:hanging="360"/>
      </w:pPr>
      <w:rPr>
        <w:rFonts w:ascii="Symbol" w:hAnsi="Symbol" w:hint="default"/>
      </w:rPr>
    </w:lvl>
    <w:lvl w:ilvl="7" w:tplc="04180003" w:tentative="1">
      <w:start w:val="1"/>
      <w:numFmt w:val="bullet"/>
      <w:lvlText w:val="o"/>
      <w:lvlJc w:val="left"/>
      <w:pPr>
        <w:ind w:left="6078" w:hanging="360"/>
      </w:pPr>
      <w:rPr>
        <w:rFonts w:ascii="Courier New" w:hAnsi="Courier New" w:cs="Courier New" w:hint="default"/>
      </w:rPr>
    </w:lvl>
    <w:lvl w:ilvl="8" w:tplc="04180005" w:tentative="1">
      <w:start w:val="1"/>
      <w:numFmt w:val="bullet"/>
      <w:lvlText w:val=""/>
      <w:lvlJc w:val="left"/>
      <w:pPr>
        <w:ind w:left="6798" w:hanging="360"/>
      </w:pPr>
      <w:rPr>
        <w:rFonts w:ascii="Wingdings" w:hAnsi="Wingdings" w:hint="default"/>
      </w:rPr>
    </w:lvl>
  </w:abstractNum>
  <w:abstractNum w:abstractNumId="25" w15:restartNumberingAfterBreak="0">
    <w:nsid w:val="45A4745E"/>
    <w:multiLevelType w:val="hybridMultilevel"/>
    <w:tmpl w:val="225ED64A"/>
    <w:lvl w:ilvl="0" w:tplc="04090001">
      <w:start w:val="1"/>
      <w:numFmt w:val="bullet"/>
      <w:lvlText w:val=""/>
      <w:lvlJc w:val="left"/>
      <w:pPr>
        <w:ind w:left="1428" w:hanging="360"/>
      </w:pPr>
      <w:rPr>
        <w:rFonts w:ascii="Symbol" w:hAnsi="Symbol" w:hint="default"/>
      </w:rPr>
    </w:lvl>
    <w:lvl w:ilvl="1" w:tplc="04180003" w:tentative="1">
      <w:start w:val="1"/>
      <w:numFmt w:val="bullet"/>
      <w:lvlText w:val="o"/>
      <w:lvlJc w:val="left"/>
      <w:pPr>
        <w:ind w:left="2148" w:hanging="360"/>
      </w:pPr>
      <w:rPr>
        <w:rFonts w:ascii="Courier New" w:hAnsi="Courier New" w:cs="Courier New" w:hint="default"/>
      </w:rPr>
    </w:lvl>
    <w:lvl w:ilvl="2" w:tplc="04180005" w:tentative="1">
      <w:start w:val="1"/>
      <w:numFmt w:val="bullet"/>
      <w:lvlText w:val=""/>
      <w:lvlJc w:val="left"/>
      <w:pPr>
        <w:ind w:left="2868" w:hanging="360"/>
      </w:pPr>
      <w:rPr>
        <w:rFonts w:ascii="Wingdings" w:hAnsi="Wingdings" w:hint="default"/>
      </w:rPr>
    </w:lvl>
    <w:lvl w:ilvl="3" w:tplc="04180001" w:tentative="1">
      <w:start w:val="1"/>
      <w:numFmt w:val="bullet"/>
      <w:lvlText w:val=""/>
      <w:lvlJc w:val="left"/>
      <w:pPr>
        <w:ind w:left="3588" w:hanging="360"/>
      </w:pPr>
      <w:rPr>
        <w:rFonts w:ascii="Symbol" w:hAnsi="Symbol" w:hint="default"/>
      </w:rPr>
    </w:lvl>
    <w:lvl w:ilvl="4" w:tplc="04180003" w:tentative="1">
      <w:start w:val="1"/>
      <w:numFmt w:val="bullet"/>
      <w:lvlText w:val="o"/>
      <w:lvlJc w:val="left"/>
      <w:pPr>
        <w:ind w:left="4308" w:hanging="360"/>
      </w:pPr>
      <w:rPr>
        <w:rFonts w:ascii="Courier New" w:hAnsi="Courier New" w:cs="Courier New" w:hint="default"/>
      </w:rPr>
    </w:lvl>
    <w:lvl w:ilvl="5" w:tplc="04180005" w:tentative="1">
      <w:start w:val="1"/>
      <w:numFmt w:val="bullet"/>
      <w:lvlText w:val=""/>
      <w:lvlJc w:val="left"/>
      <w:pPr>
        <w:ind w:left="5028" w:hanging="360"/>
      </w:pPr>
      <w:rPr>
        <w:rFonts w:ascii="Wingdings" w:hAnsi="Wingdings" w:hint="default"/>
      </w:rPr>
    </w:lvl>
    <w:lvl w:ilvl="6" w:tplc="04180001" w:tentative="1">
      <w:start w:val="1"/>
      <w:numFmt w:val="bullet"/>
      <w:lvlText w:val=""/>
      <w:lvlJc w:val="left"/>
      <w:pPr>
        <w:ind w:left="5748" w:hanging="360"/>
      </w:pPr>
      <w:rPr>
        <w:rFonts w:ascii="Symbol" w:hAnsi="Symbol" w:hint="default"/>
      </w:rPr>
    </w:lvl>
    <w:lvl w:ilvl="7" w:tplc="04180003" w:tentative="1">
      <w:start w:val="1"/>
      <w:numFmt w:val="bullet"/>
      <w:lvlText w:val="o"/>
      <w:lvlJc w:val="left"/>
      <w:pPr>
        <w:ind w:left="6468" w:hanging="360"/>
      </w:pPr>
      <w:rPr>
        <w:rFonts w:ascii="Courier New" w:hAnsi="Courier New" w:cs="Courier New" w:hint="default"/>
      </w:rPr>
    </w:lvl>
    <w:lvl w:ilvl="8" w:tplc="04180005" w:tentative="1">
      <w:start w:val="1"/>
      <w:numFmt w:val="bullet"/>
      <w:lvlText w:val=""/>
      <w:lvlJc w:val="left"/>
      <w:pPr>
        <w:ind w:left="7188" w:hanging="360"/>
      </w:pPr>
      <w:rPr>
        <w:rFonts w:ascii="Wingdings" w:hAnsi="Wingdings" w:hint="default"/>
      </w:rPr>
    </w:lvl>
  </w:abstractNum>
  <w:abstractNum w:abstractNumId="26" w15:restartNumberingAfterBreak="0">
    <w:nsid w:val="467F4BC2"/>
    <w:multiLevelType w:val="hybridMultilevel"/>
    <w:tmpl w:val="3CF61C3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6DB763A"/>
    <w:multiLevelType w:val="hybridMultilevel"/>
    <w:tmpl w:val="9BA0F996"/>
    <w:lvl w:ilvl="0" w:tplc="04090009">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8" w15:restartNumberingAfterBreak="0">
    <w:nsid w:val="471C4CEA"/>
    <w:multiLevelType w:val="hybridMultilevel"/>
    <w:tmpl w:val="F7A6247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7233DEB"/>
    <w:multiLevelType w:val="hybridMultilevel"/>
    <w:tmpl w:val="2F5C6B54"/>
    <w:lvl w:ilvl="0" w:tplc="0409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0" w15:restartNumberingAfterBreak="0">
    <w:nsid w:val="48896AF4"/>
    <w:multiLevelType w:val="hybridMultilevel"/>
    <w:tmpl w:val="CE16CAC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9521634"/>
    <w:multiLevelType w:val="hybridMultilevel"/>
    <w:tmpl w:val="EC5411DE"/>
    <w:lvl w:ilvl="0" w:tplc="04090001">
      <w:start w:val="1"/>
      <w:numFmt w:val="bullet"/>
      <w:lvlText w:val=""/>
      <w:lvlJc w:val="left"/>
      <w:pPr>
        <w:ind w:left="1287" w:hanging="360"/>
      </w:pPr>
      <w:rPr>
        <w:rFonts w:ascii="Symbol" w:hAnsi="Symbol" w:hint="default"/>
      </w:rPr>
    </w:lvl>
    <w:lvl w:ilvl="1" w:tplc="04180003" w:tentative="1">
      <w:start w:val="1"/>
      <w:numFmt w:val="bullet"/>
      <w:lvlText w:val="o"/>
      <w:lvlJc w:val="left"/>
      <w:pPr>
        <w:ind w:left="2007" w:hanging="360"/>
      </w:pPr>
      <w:rPr>
        <w:rFonts w:ascii="Courier New" w:hAnsi="Courier New" w:cs="Courier New" w:hint="default"/>
      </w:rPr>
    </w:lvl>
    <w:lvl w:ilvl="2" w:tplc="04180005" w:tentative="1">
      <w:start w:val="1"/>
      <w:numFmt w:val="bullet"/>
      <w:lvlText w:val=""/>
      <w:lvlJc w:val="left"/>
      <w:pPr>
        <w:ind w:left="2727" w:hanging="360"/>
      </w:pPr>
      <w:rPr>
        <w:rFonts w:ascii="Wingdings" w:hAnsi="Wingdings" w:hint="default"/>
      </w:rPr>
    </w:lvl>
    <w:lvl w:ilvl="3" w:tplc="04180001" w:tentative="1">
      <w:start w:val="1"/>
      <w:numFmt w:val="bullet"/>
      <w:lvlText w:val=""/>
      <w:lvlJc w:val="left"/>
      <w:pPr>
        <w:ind w:left="3447" w:hanging="360"/>
      </w:pPr>
      <w:rPr>
        <w:rFonts w:ascii="Symbol" w:hAnsi="Symbol" w:hint="default"/>
      </w:rPr>
    </w:lvl>
    <w:lvl w:ilvl="4" w:tplc="04180003" w:tentative="1">
      <w:start w:val="1"/>
      <w:numFmt w:val="bullet"/>
      <w:lvlText w:val="o"/>
      <w:lvlJc w:val="left"/>
      <w:pPr>
        <w:ind w:left="4167" w:hanging="360"/>
      </w:pPr>
      <w:rPr>
        <w:rFonts w:ascii="Courier New" w:hAnsi="Courier New" w:cs="Courier New" w:hint="default"/>
      </w:rPr>
    </w:lvl>
    <w:lvl w:ilvl="5" w:tplc="04180005" w:tentative="1">
      <w:start w:val="1"/>
      <w:numFmt w:val="bullet"/>
      <w:lvlText w:val=""/>
      <w:lvlJc w:val="left"/>
      <w:pPr>
        <w:ind w:left="4887" w:hanging="360"/>
      </w:pPr>
      <w:rPr>
        <w:rFonts w:ascii="Wingdings" w:hAnsi="Wingdings" w:hint="default"/>
      </w:rPr>
    </w:lvl>
    <w:lvl w:ilvl="6" w:tplc="04180001" w:tentative="1">
      <w:start w:val="1"/>
      <w:numFmt w:val="bullet"/>
      <w:lvlText w:val=""/>
      <w:lvlJc w:val="left"/>
      <w:pPr>
        <w:ind w:left="5607" w:hanging="360"/>
      </w:pPr>
      <w:rPr>
        <w:rFonts w:ascii="Symbol" w:hAnsi="Symbol" w:hint="default"/>
      </w:rPr>
    </w:lvl>
    <w:lvl w:ilvl="7" w:tplc="04180003" w:tentative="1">
      <w:start w:val="1"/>
      <w:numFmt w:val="bullet"/>
      <w:lvlText w:val="o"/>
      <w:lvlJc w:val="left"/>
      <w:pPr>
        <w:ind w:left="6327" w:hanging="360"/>
      </w:pPr>
      <w:rPr>
        <w:rFonts w:ascii="Courier New" w:hAnsi="Courier New" w:cs="Courier New" w:hint="default"/>
      </w:rPr>
    </w:lvl>
    <w:lvl w:ilvl="8" w:tplc="04180005" w:tentative="1">
      <w:start w:val="1"/>
      <w:numFmt w:val="bullet"/>
      <w:lvlText w:val=""/>
      <w:lvlJc w:val="left"/>
      <w:pPr>
        <w:ind w:left="7047" w:hanging="360"/>
      </w:pPr>
      <w:rPr>
        <w:rFonts w:ascii="Wingdings" w:hAnsi="Wingdings" w:hint="default"/>
      </w:rPr>
    </w:lvl>
  </w:abstractNum>
  <w:abstractNum w:abstractNumId="32" w15:restartNumberingAfterBreak="0">
    <w:nsid w:val="49A45C30"/>
    <w:multiLevelType w:val="hybridMultilevel"/>
    <w:tmpl w:val="B60CA0EE"/>
    <w:lvl w:ilvl="0" w:tplc="A2A63A1C">
      <w:start w:val="1"/>
      <w:numFmt w:val="bullet"/>
      <w:lvlText w:val=""/>
      <w:lvlJc w:val="left"/>
      <w:pPr>
        <w:ind w:left="1287" w:hanging="360"/>
      </w:pPr>
      <w:rPr>
        <w:rFonts w:ascii="Symbol" w:hAnsi="Symbol" w:hint="default"/>
      </w:rPr>
    </w:lvl>
    <w:lvl w:ilvl="1" w:tplc="04180003" w:tentative="1">
      <w:start w:val="1"/>
      <w:numFmt w:val="bullet"/>
      <w:lvlText w:val="o"/>
      <w:lvlJc w:val="left"/>
      <w:pPr>
        <w:ind w:left="2007" w:hanging="360"/>
      </w:pPr>
      <w:rPr>
        <w:rFonts w:ascii="Courier New" w:hAnsi="Courier New" w:cs="Courier New" w:hint="default"/>
      </w:rPr>
    </w:lvl>
    <w:lvl w:ilvl="2" w:tplc="04180005" w:tentative="1">
      <w:start w:val="1"/>
      <w:numFmt w:val="bullet"/>
      <w:lvlText w:val=""/>
      <w:lvlJc w:val="left"/>
      <w:pPr>
        <w:ind w:left="2727" w:hanging="360"/>
      </w:pPr>
      <w:rPr>
        <w:rFonts w:ascii="Wingdings" w:hAnsi="Wingdings" w:hint="default"/>
      </w:rPr>
    </w:lvl>
    <w:lvl w:ilvl="3" w:tplc="04180001" w:tentative="1">
      <w:start w:val="1"/>
      <w:numFmt w:val="bullet"/>
      <w:lvlText w:val=""/>
      <w:lvlJc w:val="left"/>
      <w:pPr>
        <w:ind w:left="3447" w:hanging="360"/>
      </w:pPr>
      <w:rPr>
        <w:rFonts w:ascii="Symbol" w:hAnsi="Symbol" w:hint="default"/>
      </w:rPr>
    </w:lvl>
    <w:lvl w:ilvl="4" w:tplc="04180003" w:tentative="1">
      <w:start w:val="1"/>
      <w:numFmt w:val="bullet"/>
      <w:lvlText w:val="o"/>
      <w:lvlJc w:val="left"/>
      <w:pPr>
        <w:ind w:left="4167" w:hanging="360"/>
      </w:pPr>
      <w:rPr>
        <w:rFonts w:ascii="Courier New" w:hAnsi="Courier New" w:cs="Courier New" w:hint="default"/>
      </w:rPr>
    </w:lvl>
    <w:lvl w:ilvl="5" w:tplc="04180005" w:tentative="1">
      <w:start w:val="1"/>
      <w:numFmt w:val="bullet"/>
      <w:lvlText w:val=""/>
      <w:lvlJc w:val="left"/>
      <w:pPr>
        <w:ind w:left="4887" w:hanging="360"/>
      </w:pPr>
      <w:rPr>
        <w:rFonts w:ascii="Wingdings" w:hAnsi="Wingdings" w:hint="default"/>
      </w:rPr>
    </w:lvl>
    <w:lvl w:ilvl="6" w:tplc="04180001" w:tentative="1">
      <w:start w:val="1"/>
      <w:numFmt w:val="bullet"/>
      <w:lvlText w:val=""/>
      <w:lvlJc w:val="left"/>
      <w:pPr>
        <w:ind w:left="5607" w:hanging="360"/>
      </w:pPr>
      <w:rPr>
        <w:rFonts w:ascii="Symbol" w:hAnsi="Symbol" w:hint="default"/>
      </w:rPr>
    </w:lvl>
    <w:lvl w:ilvl="7" w:tplc="04180003" w:tentative="1">
      <w:start w:val="1"/>
      <w:numFmt w:val="bullet"/>
      <w:lvlText w:val="o"/>
      <w:lvlJc w:val="left"/>
      <w:pPr>
        <w:ind w:left="6327" w:hanging="360"/>
      </w:pPr>
      <w:rPr>
        <w:rFonts w:ascii="Courier New" w:hAnsi="Courier New" w:cs="Courier New" w:hint="default"/>
      </w:rPr>
    </w:lvl>
    <w:lvl w:ilvl="8" w:tplc="04180005" w:tentative="1">
      <w:start w:val="1"/>
      <w:numFmt w:val="bullet"/>
      <w:lvlText w:val=""/>
      <w:lvlJc w:val="left"/>
      <w:pPr>
        <w:ind w:left="7047" w:hanging="360"/>
      </w:pPr>
      <w:rPr>
        <w:rFonts w:ascii="Wingdings" w:hAnsi="Wingdings" w:hint="default"/>
      </w:rPr>
    </w:lvl>
  </w:abstractNum>
  <w:abstractNum w:abstractNumId="33" w15:restartNumberingAfterBreak="0">
    <w:nsid w:val="4A432A64"/>
    <w:multiLevelType w:val="hybridMultilevel"/>
    <w:tmpl w:val="D0B2D44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4306D4E"/>
    <w:multiLevelType w:val="hybridMultilevel"/>
    <w:tmpl w:val="41F81796"/>
    <w:lvl w:ilvl="0" w:tplc="04090001">
      <w:start w:val="1"/>
      <w:numFmt w:val="bullet"/>
      <w:lvlText w:val=""/>
      <w:lvlJc w:val="left"/>
      <w:pPr>
        <w:ind w:left="1287" w:hanging="360"/>
      </w:pPr>
      <w:rPr>
        <w:rFonts w:ascii="Symbol" w:hAnsi="Symbol" w:hint="default"/>
      </w:rPr>
    </w:lvl>
    <w:lvl w:ilvl="1" w:tplc="04180003" w:tentative="1">
      <w:start w:val="1"/>
      <w:numFmt w:val="bullet"/>
      <w:lvlText w:val="o"/>
      <w:lvlJc w:val="left"/>
      <w:pPr>
        <w:ind w:left="2007" w:hanging="360"/>
      </w:pPr>
      <w:rPr>
        <w:rFonts w:ascii="Courier New" w:hAnsi="Courier New" w:cs="Courier New" w:hint="default"/>
      </w:rPr>
    </w:lvl>
    <w:lvl w:ilvl="2" w:tplc="04180005" w:tentative="1">
      <w:start w:val="1"/>
      <w:numFmt w:val="bullet"/>
      <w:lvlText w:val=""/>
      <w:lvlJc w:val="left"/>
      <w:pPr>
        <w:ind w:left="2727" w:hanging="360"/>
      </w:pPr>
      <w:rPr>
        <w:rFonts w:ascii="Wingdings" w:hAnsi="Wingdings" w:hint="default"/>
      </w:rPr>
    </w:lvl>
    <w:lvl w:ilvl="3" w:tplc="04180001" w:tentative="1">
      <w:start w:val="1"/>
      <w:numFmt w:val="bullet"/>
      <w:lvlText w:val=""/>
      <w:lvlJc w:val="left"/>
      <w:pPr>
        <w:ind w:left="3447" w:hanging="360"/>
      </w:pPr>
      <w:rPr>
        <w:rFonts w:ascii="Symbol" w:hAnsi="Symbol" w:hint="default"/>
      </w:rPr>
    </w:lvl>
    <w:lvl w:ilvl="4" w:tplc="04180003" w:tentative="1">
      <w:start w:val="1"/>
      <w:numFmt w:val="bullet"/>
      <w:lvlText w:val="o"/>
      <w:lvlJc w:val="left"/>
      <w:pPr>
        <w:ind w:left="4167" w:hanging="360"/>
      </w:pPr>
      <w:rPr>
        <w:rFonts w:ascii="Courier New" w:hAnsi="Courier New" w:cs="Courier New" w:hint="default"/>
      </w:rPr>
    </w:lvl>
    <w:lvl w:ilvl="5" w:tplc="04180005" w:tentative="1">
      <w:start w:val="1"/>
      <w:numFmt w:val="bullet"/>
      <w:lvlText w:val=""/>
      <w:lvlJc w:val="left"/>
      <w:pPr>
        <w:ind w:left="4887" w:hanging="360"/>
      </w:pPr>
      <w:rPr>
        <w:rFonts w:ascii="Wingdings" w:hAnsi="Wingdings" w:hint="default"/>
      </w:rPr>
    </w:lvl>
    <w:lvl w:ilvl="6" w:tplc="04180001" w:tentative="1">
      <w:start w:val="1"/>
      <w:numFmt w:val="bullet"/>
      <w:lvlText w:val=""/>
      <w:lvlJc w:val="left"/>
      <w:pPr>
        <w:ind w:left="5607" w:hanging="360"/>
      </w:pPr>
      <w:rPr>
        <w:rFonts w:ascii="Symbol" w:hAnsi="Symbol" w:hint="default"/>
      </w:rPr>
    </w:lvl>
    <w:lvl w:ilvl="7" w:tplc="04180003" w:tentative="1">
      <w:start w:val="1"/>
      <w:numFmt w:val="bullet"/>
      <w:lvlText w:val="o"/>
      <w:lvlJc w:val="left"/>
      <w:pPr>
        <w:ind w:left="6327" w:hanging="360"/>
      </w:pPr>
      <w:rPr>
        <w:rFonts w:ascii="Courier New" w:hAnsi="Courier New" w:cs="Courier New" w:hint="default"/>
      </w:rPr>
    </w:lvl>
    <w:lvl w:ilvl="8" w:tplc="04180005" w:tentative="1">
      <w:start w:val="1"/>
      <w:numFmt w:val="bullet"/>
      <w:lvlText w:val=""/>
      <w:lvlJc w:val="left"/>
      <w:pPr>
        <w:ind w:left="7047" w:hanging="360"/>
      </w:pPr>
      <w:rPr>
        <w:rFonts w:ascii="Wingdings" w:hAnsi="Wingdings" w:hint="default"/>
      </w:rPr>
    </w:lvl>
  </w:abstractNum>
  <w:abstractNum w:abstractNumId="35" w15:restartNumberingAfterBreak="0">
    <w:nsid w:val="5B2567A7"/>
    <w:multiLevelType w:val="hybridMultilevel"/>
    <w:tmpl w:val="769E0F0C"/>
    <w:lvl w:ilvl="0" w:tplc="0409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6" w15:restartNumberingAfterBreak="0">
    <w:nsid w:val="63B67648"/>
    <w:multiLevelType w:val="hybridMultilevel"/>
    <w:tmpl w:val="0268BF78"/>
    <w:lvl w:ilvl="0" w:tplc="04090001">
      <w:start w:val="1"/>
      <w:numFmt w:val="bullet"/>
      <w:lvlText w:val=""/>
      <w:lvlJc w:val="left"/>
      <w:pPr>
        <w:ind w:left="1428" w:hanging="360"/>
      </w:pPr>
      <w:rPr>
        <w:rFonts w:ascii="Symbol" w:hAnsi="Symbol" w:hint="default"/>
      </w:rPr>
    </w:lvl>
    <w:lvl w:ilvl="1" w:tplc="04180003" w:tentative="1">
      <w:start w:val="1"/>
      <w:numFmt w:val="bullet"/>
      <w:lvlText w:val="o"/>
      <w:lvlJc w:val="left"/>
      <w:pPr>
        <w:ind w:left="2148" w:hanging="360"/>
      </w:pPr>
      <w:rPr>
        <w:rFonts w:ascii="Courier New" w:hAnsi="Courier New" w:cs="Courier New" w:hint="default"/>
      </w:rPr>
    </w:lvl>
    <w:lvl w:ilvl="2" w:tplc="04180005" w:tentative="1">
      <w:start w:val="1"/>
      <w:numFmt w:val="bullet"/>
      <w:lvlText w:val=""/>
      <w:lvlJc w:val="left"/>
      <w:pPr>
        <w:ind w:left="2868" w:hanging="360"/>
      </w:pPr>
      <w:rPr>
        <w:rFonts w:ascii="Wingdings" w:hAnsi="Wingdings" w:hint="default"/>
      </w:rPr>
    </w:lvl>
    <w:lvl w:ilvl="3" w:tplc="04180001" w:tentative="1">
      <w:start w:val="1"/>
      <w:numFmt w:val="bullet"/>
      <w:lvlText w:val=""/>
      <w:lvlJc w:val="left"/>
      <w:pPr>
        <w:ind w:left="3588" w:hanging="360"/>
      </w:pPr>
      <w:rPr>
        <w:rFonts w:ascii="Symbol" w:hAnsi="Symbol" w:hint="default"/>
      </w:rPr>
    </w:lvl>
    <w:lvl w:ilvl="4" w:tplc="04180003" w:tentative="1">
      <w:start w:val="1"/>
      <w:numFmt w:val="bullet"/>
      <w:lvlText w:val="o"/>
      <w:lvlJc w:val="left"/>
      <w:pPr>
        <w:ind w:left="4308" w:hanging="360"/>
      </w:pPr>
      <w:rPr>
        <w:rFonts w:ascii="Courier New" w:hAnsi="Courier New" w:cs="Courier New" w:hint="default"/>
      </w:rPr>
    </w:lvl>
    <w:lvl w:ilvl="5" w:tplc="04180005" w:tentative="1">
      <w:start w:val="1"/>
      <w:numFmt w:val="bullet"/>
      <w:lvlText w:val=""/>
      <w:lvlJc w:val="left"/>
      <w:pPr>
        <w:ind w:left="5028" w:hanging="360"/>
      </w:pPr>
      <w:rPr>
        <w:rFonts w:ascii="Wingdings" w:hAnsi="Wingdings" w:hint="default"/>
      </w:rPr>
    </w:lvl>
    <w:lvl w:ilvl="6" w:tplc="04180001" w:tentative="1">
      <w:start w:val="1"/>
      <w:numFmt w:val="bullet"/>
      <w:lvlText w:val=""/>
      <w:lvlJc w:val="left"/>
      <w:pPr>
        <w:ind w:left="5748" w:hanging="360"/>
      </w:pPr>
      <w:rPr>
        <w:rFonts w:ascii="Symbol" w:hAnsi="Symbol" w:hint="default"/>
      </w:rPr>
    </w:lvl>
    <w:lvl w:ilvl="7" w:tplc="04180003" w:tentative="1">
      <w:start w:val="1"/>
      <w:numFmt w:val="bullet"/>
      <w:lvlText w:val="o"/>
      <w:lvlJc w:val="left"/>
      <w:pPr>
        <w:ind w:left="6468" w:hanging="360"/>
      </w:pPr>
      <w:rPr>
        <w:rFonts w:ascii="Courier New" w:hAnsi="Courier New" w:cs="Courier New" w:hint="default"/>
      </w:rPr>
    </w:lvl>
    <w:lvl w:ilvl="8" w:tplc="04180005" w:tentative="1">
      <w:start w:val="1"/>
      <w:numFmt w:val="bullet"/>
      <w:lvlText w:val=""/>
      <w:lvlJc w:val="left"/>
      <w:pPr>
        <w:ind w:left="7188" w:hanging="360"/>
      </w:pPr>
      <w:rPr>
        <w:rFonts w:ascii="Wingdings" w:hAnsi="Wingdings" w:hint="default"/>
      </w:rPr>
    </w:lvl>
  </w:abstractNum>
  <w:abstractNum w:abstractNumId="37" w15:restartNumberingAfterBreak="0">
    <w:nsid w:val="67C54B29"/>
    <w:multiLevelType w:val="hybridMultilevel"/>
    <w:tmpl w:val="6ED69876"/>
    <w:lvl w:ilvl="0" w:tplc="04090001">
      <w:start w:val="1"/>
      <w:numFmt w:val="bullet"/>
      <w:lvlText w:val=""/>
      <w:lvlJc w:val="left"/>
      <w:pPr>
        <w:ind w:left="1428" w:hanging="360"/>
      </w:pPr>
      <w:rPr>
        <w:rFonts w:ascii="Symbol" w:hAnsi="Symbol" w:hint="default"/>
      </w:rPr>
    </w:lvl>
    <w:lvl w:ilvl="1" w:tplc="04180003" w:tentative="1">
      <w:start w:val="1"/>
      <w:numFmt w:val="bullet"/>
      <w:lvlText w:val="o"/>
      <w:lvlJc w:val="left"/>
      <w:pPr>
        <w:ind w:left="2148" w:hanging="360"/>
      </w:pPr>
      <w:rPr>
        <w:rFonts w:ascii="Courier New" w:hAnsi="Courier New" w:cs="Courier New" w:hint="default"/>
      </w:rPr>
    </w:lvl>
    <w:lvl w:ilvl="2" w:tplc="04180005" w:tentative="1">
      <w:start w:val="1"/>
      <w:numFmt w:val="bullet"/>
      <w:lvlText w:val=""/>
      <w:lvlJc w:val="left"/>
      <w:pPr>
        <w:ind w:left="2868" w:hanging="360"/>
      </w:pPr>
      <w:rPr>
        <w:rFonts w:ascii="Wingdings" w:hAnsi="Wingdings" w:hint="default"/>
      </w:rPr>
    </w:lvl>
    <w:lvl w:ilvl="3" w:tplc="04180001" w:tentative="1">
      <w:start w:val="1"/>
      <w:numFmt w:val="bullet"/>
      <w:lvlText w:val=""/>
      <w:lvlJc w:val="left"/>
      <w:pPr>
        <w:ind w:left="3588" w:hanging="360"/>
      </w:pPr>
      <w:rPr>
        <w:rFonts w:ascii="Symbol" w:hAnsi="Symbol" w:hint="default"/>
      </w:rPr>
    </w:lvl>
    <w:lvl w:ilvl="4" w:tplc="04180003" w:tentative="1">
      <w:start w:val="1"/>
      <w:numFmt w:val="bullet"/>
      <w:lvlText w:val="o"/>
      <w:lvlJc w:val="left"/>
      <w:pPr>
        <w:ind w:left="4308" w:hanging="360"/>
      </w:pPr>
      <w:rPr>
        <w:rFonts w:ascii="Courier New" w:hAnsi="Courier New" w:cs="Courier New" w:hint="default"/>
      </w:rPr>
    </w:lvl>
    <w:lvl w:ilvl="5" w:tplc="04180005" w:tentative="1">
      <w:start w:val="1"/>
      <w:numFmt w:val="bullet"/>
      <w:lvlText w:val=""/>
      <w:lvlJc w:val="left"/>
      <w:pPr>
        <w:ind w:left="5028" w:hanging="360"/>
      </w:pPr>
      <w:rPr>
        <w:rFonts w:ascii="Wingdings" w:hAnsi="Wingdings" w:hint="default"/>
      </w:rPr>
    </w:lvl>
    <w:lvl w:ilvl="6" w:tplc="04180001" w:tentative="1">
      <w:start w:val="1"/>
      <w:numFmt w:val="bullet"/>
      <w:lvlText w:val=""/>
      <w:lvlJc w:val="left"/>
      <w:pPr>
        <w:ind w:left="5748" w:hanging="360"/>
      </w:pPr>
      <w:rPr>
        <w:rFonts w:ascii="Symbol" w:hAnsi="Symbol" w:hint="default"/>
      </w:rPr>
    </w:lvl>
    <w:lvl w:ilvl="7" w:tplc="04180003" w:tentative="1">
      <w:start w:val="1"/>
      <w:numFmt w:val="bullet"/>
      <w:lvlText w:val="o"/>
      <w:lvlJc w:val="left"/>
      <w:pPr>
        <w:ind w:left="6468" w:hanging="360"/>
      </w:pPr>
      <w:rPr>
        <w:rFonts w:ascii="Courier New" w:hAnsi="Courier New" w:cs="Courier New" w:hint="default"/>
      </w:rPr>
    </w:lvl>
    <w:lvl w:ilvl="8" w:tplc="04180005" w:tentative="1">
      <w:start w:val="1"/>
      <w:numFmt w:val="bullet"/>
      <w:lvlText w:val=""/>
      <w:lvlJc w:val="left"/>
      <w:pPr>
        <w:ind w:left="7188" w:hanging="360"/>
      </w:pPr>
      <w:rPr>
        <w:rFonts w:ascii="Wingdings" w:hAnsi="Wingdings" w:hint="default"/>
      </w:rPr>
    </w:lvl>
  </w:abstractNum>
  <w:abstractNum w:abstractNumId="38" w15:restartNumberingAfterBreak="0">
    <w:nsid w:val="6E4F14EA"/>
    <w:multiLevelType w:val="hybridMultilevel"/>
    <w:tmpl w:val="1D06EB1E"/>
    <w:lvl w:ilvl="0" w:tplc="0409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9" w15:restartNumberingAfterBreak="0">
    <w:nsid w:val="6F834544"/>
    <w:multiLevelType w:val="hybridMultilevel"/>
    <w:tmpl w:val="09E26036"/>
    <w:lvl w:ilvl="0" w:tplc="04090001">
      <w:start w:val="1"/>
      <w:numFmt w:val="bullet"/>
      <w:lvlText w:val=""/>
      <w:lvlJc w:val="left"/>
      <w:pPr>
        <w:ind w:left="1287" w:hanging="360"/>
      </w:pPr>
      <w:rPr>
        <w:rFonts w:ascii="Symbol" w:hAnsi="Symbol" w:hint="default"/>
      </w:rPr>
    </w:lvl>
    <w:lvl w:ilvl="1" w:tplc="04180003" w:tentative="1">
      <w:start w:val="1"/>
      <w:numFmt w:val="bullet"/>
      <w:lvlText w:val="o"/>
      <w:lvlJc w:val="left"/>
      <w:pPr>
        <w:ind w:left="2007" w:hanging="360"/>
      </w:pPr>
      <w:rPr>
        <w:rFonts w:ascii="Courier New" w:hAnsi="Courier New" w:cs="Courier New" w:hint="default"/>
      </w:rPr>
    </w:lvl>
    <w:lvl w:ilvl="2" w:tplc="04180005" w:tentative="1">
      <w:start w:val="1"/>
      <w:numFmt w:val="bullet"/>
      <w:lvlText w:val=""/>
      <w:lvlJc w:val="left"/>
      <w:pPr>
        <w:ind w:left="2727" w:hanging="360"/>
      </w:pPr>
      <w:rPr>
        <w:rFonts w:ascii="Wingdings" w:hAnsi="Wingdings" w:hint="default"/>
      </w:rPr>
    </w:lvl>
    <w:lvl w:ilvl="3" w:tplc="04180001" w:tentative="1">
      <w:start w:val="1"/>
      <w:numFmt w:val="bullet"/>
      <w:lvlText w:val=""/>
      <w:lvlJc w:val="left"/>
      <w:pPr>
        <w:ind w:left="3447" w:hanging="360"/>
      </w:pPr>
      <w:rPr>
        <w:rFonts w:ascii="Symbol" w:hAnsi="Symbol" w:hint="default"/>
      </w:rPr>
    </w:lvl>
    <w:lvl w:ilvl="4" w:tplc="04180003" w:tentative="1">
      <w:start w:val="1"/>
      <w:numFmt w:val="bullet"/>
      <w:lvlText w:val="o"/>
      <w:lvlJc w:val="left"/>
      <w:pPr>
        <w:ind w:left="4167" w:hanging="360"/>
      </w:pPr>
      <w:rPr>
        <w:rFonts w:ascii="Courier New" w:hAnsi="Courier New" w:cs="Courier New" w:hint="default"/>
      </w:rPr>
    </w:lvl>
    <w:lvl w:ilvl="5" w:tplc="04180005" w:tentative="1">
      <w:start w:val="1"/>
      <w:numFmt w:val="bullet"/>
      <w:lvlText w:val=""/>
      <w:lvlJc w:val="left"/>
      <w:pPr>
        <w:ind w:left="4887" w:hanging="360"/>
      </w:pPr>
      <w:rPr>
        <w:rFonts w:ascii="Wingdings" w:hAnsi="Wingdings" w:hint="default"/>
      </w:rPr>
    </w:lvl>
    <w:lvl w:ilvl="6" w:tplc="04180001" w:tentative="1">
      <w:start w:val="1"/>
      <w:numFmt w:val="bullet"/>
      <w:lvlText w:val=""/>
      <w:lvlJc w:val="left"/>
      <w:pPr>
        <w:ind w:left="5607" w:hanging="360"/>
      </w:pPr>
      <w:rPr>
        <w:rFonts w:ascii="Symbol" w:hAnsi="Symbol" w:hint="default"/>
      </w:rPr>
    </w:lvl>
    <w:lvl w:ilvl="7" w:tplc="04180003" w:tentative="1">
      <w:start w:val="1"/>
      <w:numFmt w:val="bullet"/>
      <w:lvlText w:val="o"/>
      <w:lvlJc w:val="left"/>
      <w:pPr>
        <w:ind w:left="6327" w:hanging="360"/>
      </w:pPr>
      <w:rPr>
        <w:rFonts w:ascii="Courier New" w:hAnsi="Courier New" w:cs="Courier New" w:hint="default"/>
      </w:rPr>
    </w:lvl>
    <w:lvl w:ilvl="8" w:tplc="04180005" w:tentative="1">
      <w:start w:val="1"/>
      <w:numFmt w:val="bullet"/>
      <w:lvlText w:val=""/>
      <w:lvlJc w:val="left"/>
      <w:pPr>
        <w:ind w:left="7047" w:hanging="360"/>
      </w:pPr>
      <w:rPr>
        <w:rFonts w:ascii="Wingdings" w:hAnsi="Wingdings" w:hint="default"/>
      </w:rPr>
    </w:lvl>
  </w:abstractNum>
  <w:abstractNum w:abstractNumId="40" w15:restartNumberingAfterBreak="0">
    <w:nsid w:val="73387CDC"/>
    <w:multiLevelType w:val="hybridMultilevel"/>
    <w:tmpl w:val="BB7892BE"/>
    <w:lvl w:ilvl="0" w:tplc="A2A63A1C">
      <w:start w:val="1"/>
      <w:numFmt w:val="bullet"/>
      <w:lvlText w:val=""/>
      <w:lvlJc w:val="left"/>
      <w:pPr>
        <w:ind w:left="1287" w:hanging="360"/>
      </w:pPr>
      <w:rPr>
        <w:rFonts w:ascii="Symbol" w:hAnsi="Symbol" w:hint="default"/>
      </w:rPr>
    </w:lvl>
    <w:lvl w:ilvl="1" w:tplc="04180003" w:tentative="1">
      <w:start w:val="1"/>
      <w:numFmt w:val="bullet"/>
      <w:lvlText w:val="o"/>
      <w:lvlJc w:val="left"/>
      <w:pPr>
        <w:ind w:left="2007" w:hanging="360"/>
      </w:pPr>
      <w:rPr>
        <w:rFonts w:ascii="Courier New" w:hAnsi="Courier New" w:cs="Courier New" w:hint="default"/>
      </w:rPr>
    </w:lvl>
    <w:lvl w:ilvl="2" w:tplc="04180005" w:tentative="1">
      <w:start w:val="1"/>
      <w:numFmt w:val="bullet"/>
      <w:lvlText w:val=""/>
      <w:lvlJc w:val="left"/>
      <w:pPr>
        <w:ind w:left="2727" w:hanging="360"/>
      </w:pPr>
      <w:rPr>
        <w:rFonts w:ascii="Wingdings" w:hAnsi="Wingdings" w:hint="default"/>
      </w:rPr>
    </w:lvl>
    <w:lvl w:ilvl="3" w:tplc="04180001" w:tentative="1">
      <w:start w:val="1"/>
      <w:numFmt w:val="bullet"/>
      <w:lvlText w:val=""/>
      <w:lvlJc w:val="left"/>
      <w:pPr>
        <w:ind w:left="3447" w:hanging="360"/>
      </w:pPr>
      <w:rPr>
        <w:rFonts w:ascii="Symbol" w:hAnsi="Symbol" w:hint="default"/>
      </w:rPr>
    </w:lvl>
    <w:lvl w:ilvl="4" w:tplc="04180003" w:tentative="1">
      <w:start w:val="1"/>
      <w:numFmt w:val="bullet"/>
      <w:lvlText w:val="o"/>
      <w:lvlJc w:val="left"/>
      <w:pPr>
        <w:ind w:left="4167" w:hanging="360"/>
      </w:pPr>
      <w:rPr>
        <w:rFonts w:ascii="Courier New" w:hAnsi="Courier New" w:cs="Courier New" w:hint="default"/>
      </w:rPr>
    </w:lvl>
    <w:lvl w:ilvl="5" w:tplc="04180005" w:tentative="1">
      <w:start w:val="1"/>
      <w:numFmt w:val="bullet"/>
      <w:lvlText w:val=""/>
      <w:lvlJc w:val="left"/>
      <w:pPr>
        <w:ind w:left="4887" w:hanging="360"/>
      </w:pPr>
      <w:rPr>
        <w:rFonts w:ascii="Wingdings" w:hAnsi="Wingdings" w:hint="default"/>
      </w:rPr>
    </w:lvl>
    <w:lvl w:ilvl="6" w:tplc="04180001" w:tentative="1">
      <w:start w:val="1"/>
      <w:numFmt w:val="bullet"/>
      <w:lvlText w:val=""/>
      <w:lvlJc w:val="left"/>
      <w:pPr>
        <w:ind w:left="5607" w:hanging="360"/>
      </w:pPr>
      <w:rPr>
        <w:rFonts w:ascii="Symbol" w:hAnsi="Symbol" w:hint="default"/>
      </w:rPr>
    </w:lvl>
    <w:lvl w:ilvl="7" w:tplc="04180003" w:tentative="1">
      <w:start w:val="1"/>
      <w:numFmt w:val="bullet"/>
      <w:lvlText w:val="o"/>
      <w:lvlJc w:val="left"/>
      <w:pPr>
        <w:ind w:left="6327" w:hanging="360"/>
      </w:pPr>
      <w:rPr>
        <w:rFonts w:ascii="Courier New" w:hAnsi="Courier New" w:cs="Courier New" w:hint="default"/>
      </w:rPr>
    </w:lvl>
    <w:lvl w:ilvl="8" w:tplc="04180005" w:tentative="1">
      <w:start w:val="1"/>
      <w:numFmt w:val="bullet"/>
      <w:lvlText w:val=""/>
      <w:lvlJc w:val="left"/>
      <w:pPr>
        <w:ind w:left="7047" w:hanging="360"/>
      </w:pPr>
      <w:rPr>
        <w:rFonts w:ascii="Wingdings" w:hAnsi="Wingdings" w:hint="default"/>
      </w:rPr>
    </w:lvl>
  </w:abstractNum>
  <w:abstractNum w:abstractNumId="41" w15:restartNumberingAfterBreak="0">
    <w:nsid w:val="76881791"/>
    <w:multiLevelType w:val="hybridMultilevel"/>
    <w:tmpl w:val="A7C01E9A"/>
    <w:lvl w:ilvl="0" w:tplc="0409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2" w15:restartNumberingAfterBreak="0">
    <w:nsid w:val="78594DE0"/>
    <w:multiLevelType w:val="hybridMultilevel"/>
    <w:tmpl w:val="C14E745A"/>
    <w:lvl w:ilvl="0" w:tplc="04090009">
      <w:start w:val="1"/>
      <w:numFmt w:val="bullet"/>
      <w:lvlText w:val=""/>
      <w:lvlJc w:val="left"/>
      <w:pPr>
        <w:ind w:left="1428" w:hanging="360"/>
      </w:pPr>
      <w:rPr>
        <w:rFonts w:ascii="Wingdings" w:hAnsi="Wingdings" w:hint="default"/>
      </w:rPr>
    </w:lvl>
    <w:lvl w:ilvl="1" w:tplc="04180003" w:tentative="1">
      <w:start w:val="1"/>
      <w:numFmt w:val="bullet"/>
      <w:lvlText w:val="o"/>
      <w:lvlJc w:val="left"/>
      <w:pPr>
        <w:ind w:left="2148" w:hanging="360"/>
      </w:pPr>
      <w:rPr>
        <w:rFonts w:ascii="Courier New" w:hAnsi="Courier New" w:cs="Courier New" w:hint="default"/>
      </w:rPr>
    </w:lvl>
    <w:lvl w:ilvl="2" w:tplc="04180005" w:tentative="1">
      <w:start w:val="1"/>
      <w:numFmt w:val="bullet"/>
      <w:lvlText w:val=""/>
      <w:lvlJc w:val="left"/>
      <w:pPr>
        <w:ind w:left="2868" w:hanging="360"/>
      </w:pPr>
      <w:rPr>
        <w:rFonts w:ascii="Wingdings" w:hAnsi="Wingdings" w:hint="default"/>
      </w:rPr>
    </w:lvl>
    <w:lvl w:ilvl="3" w:tplc="04180001" w:tentative="1">
      <w:start w:val="1"/>
      <w:numFmt w:val="bullet"/>
      <w:lvlText w:val=""/>
      <w:lvlJc w:val="left"/>
      <w:pPr>
        <w:ind w:left="3588" w:hanging="360"/>
      </w:pPr>
      <w:rPr>
        <w:rFonts w:ascii="Symbol" w:hAnsi="Symbol" w:hint="default"/>
      </w:rPr>
    </w:lvl>
    <w:lvl w:ilvl="4" w:tplc="04180003" w:tentative="1">
      <w:start w:val="1"/>
      <w:numFmt w:val="bullet"/>
      <w:lvlText w:val="o"/>
      <w:lvlJc w:val="left"/>
      <w:pPr>
        <w:ind w:left="4308" w:hanging="360"/>
      </w:pPr>
      <w:rPr>
        <w:rFonts w:ascii="Courier New" w:hAnsi="Courier New" w:cs="Courier New" w:hint="default"/>
      </w:rPr>
    </w:lvl>
    <w:lvl w:ilvl="5" w:tplc="04180005" w:tentative="1">
      <w:start w:val="1"/>
      <w:numFmt w:val="bullet"/>
      <w:lvlText w:val=""/>
      <w:lvlJc w:val="left"/>
      <w:pPr>
        <w:ind w:left="5028" w:hanging="360"/>
      </w:pPr>
      <w:rPr>
        <w:rFonts w:ascii="Wingdings" w:hAnsi="Wingdings" w:hint="default"/>
      </w:rPr>
    </w:lvl>
    <w:lvl w:ilvl="6" w:tplc="04180001" w:tentative="1">
      <w:start w:val="1"/>
      <w:numFmt w:val="bullet"/>
      <w:lvlText w:val=""/>
      <w:lvlJc w:val="left"/>
      <w:pPr>
        <w:ind w:left="5748" w:hanging="360"/>
      </w:pPr>
      <w:rPr>
        <w:rFonts w:ascii="Symbol" w:hAnsi="Symbol" w:hint="default"/>
      </w:rPr>
    </w:lvl>
    <w:lvl w:ilvl="7" w:tplc="04180003" w:tentative="1">
      <w:start w:val="1"/>
      <w:numFmt w:val="bullet"/>
      <w:lvlText w:val="o"/>
      <w:lvlJc w:val="left"/>
      <w:pPr>
        <w:ind w:left="6468" w:hanging="360"/>
      </w:pPr>
      <w:rPr>
        <w:rFonts w:ascii="Courier New" w:hAnsi="Courier New" w:cs="Courier New" w:hint="default"/>
      </w:rPr>
    </w:lvl>
    <w:lvl w:ilvl="8" w:tplc="04180005" w:tentative="1">
      <w:start w:val="1"/>
      <w:numFmt w:val="bullet"/>
      <w:lvlText w:val=""/>
      <w:lvlJc w:val="left"/>
      <w:pPr>
        <w:ind w:left="7188" w:hanging="360"/>
      </w:pPr>
      <w:rPr>
        <w:rFonts w:ascii="Wingdings" w:hAnsi="Wingdings" w:hint="default"/>
      </w:rPr>
    </w:lvl>
  </w:abstractNum>
  <w:abstractNum w:abstractNumId="43" w15:restartNumberingAfterBreak="0">
    <w:nsid w:val="7D11562F"/>
    <w:multiLevelType w:val="hybridMultilevel"/>
    <w:tmpl w:val="0D5E4530"/>
    <w:lvl w:ilvl="0" w:tplc="0409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4" w15:restartNumberingAfterBreak="0">
    <w:nsid w:val="7ECF312A"/>
    <w:multiLevelType w:val="hybridMultilevel"/>
    <w:tmpl w:val="A710B24E"/>
    <w:lvl w:ilvl="0" w:tplc="0409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5" w15:restartNumberingAfterBreak="0">
    <w:nsid w:val="7F193C6F"/>
    <w:multiLevelType w:val="hybridMultilevel"/>
    <w:tmpl w:val="5FEE9CF4"/>
    <w:lvl w:ilvl="0" w:tplc="0409000B">
      <w:start w:val="1"/>
      <w:numFmt w:val="bullet"/>
      <w:lvlText w:val=""/>
      <w:lvlJc w:val="left"/>
      <w:pPr>
        <w:ind w:left="890" w:hanging="360"/>
      </w:pPr>
      <w:rPr>
        <w:rFonts w:ascii="Wingdings" w:hAnsi="Wingdings" w:hint="default"/>
      </w:rPr>
    </w:lvl>
    <w:lvl w:ilvl="1" w:tplc="04180003" w:tentative="1">
      <w:start w:val="1"/>
      <w:numFmt w:val="bullet"/>
      <w:lvlText w:val="o"/>
      <w:lvlJc w:val="left"/>
      <w:pPr>
        <w:ind w:left="1610" w:hanging="360"/>
      </w:pPr>
      <w:rPr>
        <w:rFonts w:ascii="Courier New" w:hAnsi="Courier New" w:cs="Courier New" w:hint="default"/>
      </w:rPr>
    </w:lvl>
    <w:lvl w:ilvl="2" w:tplc="04180005" w:tentative="1">
      <w:start w:val="1"/>
      <w:numFmt w:val="bullet"/>
      <w:lvlText w:val=""/>
      <w:lvlJc w:val="left"/>
      <w:pPr>
        <w:ind w:left="2330" w:hanging="360"/>
      </w:pPr>
      <w:rPr>
        <w:rFonts w:ascii="Wingdings" w:hAnsi="Wingdings" w:hint="default"/>
      </w:rPr>
    </w:lvl>
    <w:lvl w:ilvl="3" w:tplc="04180001" w:tentative="1">
      <w:start w:val="1"/>
      <w:numFmt w:val="bullet"/>
      <w:lvlText w:val=""/>
      <w:lvlJc w:val="left"/>
      <w:pPr>
        <w:ind w:left="3050" w:hanging="360"/>
      </w:pPr>
      <w:rPr>
        <w:rFonts w:ascii="Symbol" w:hAnsi="Symbol" w:hint="default"/>
      </w:rPr>
    </w:lvl>
    <w:lvl w:ilvl="4" w:tplc="04180003" w:tentative="1">
      <w:start w:val="1"/>
      <w:numFmt w:val="bullet"/>
      <w:lvlText w:val="o"/>
      <w:lvlJc w:val="left"/>
      <w:pPr>
        <w:ind w:left="3770" w:hanging="360"/>
      </w:pPr>
      <w:rPr>
        <w:rFonts w:ascii="Courier New" w:hAnsi="Courier New" w:cs="Courier New" w:hint="default"/>
      </w:rPr>
    </w:lvl>
    <w:lvl w:ilvl="5" w:tplc="04180005" w:tentative="1">
      <w:start w:val="1"/>
      <w:numFmt w:val="bullet"/>
      <w:lvlText w:val=""/>
      <w:lvlJc w:val="left"/>
      <w:pPr>
        <w:ind w:left="4490" w:hanging="360"/>
      </w:pPr>
      <w:rPr>
        <w:rFonts w:ascii="Wingdings" w:hAnsi="Wingdings" w:hint="default"/>
      </w:rPr>
    </w:lvl>
    <w:lvl w:ilvl="6" w:tplc="04180001" w:tentative="1">
      <w:start w:val="1"/>
      <w:numFmt w:val="bullet"/>
      <w:lvlText w:val=""/>
      <w:lvlJc w:val="left"/>
      <w:pPr>
        <w:ind w:left="5210" w:hanging="360"/>
      </w:pPr>
      <w:rPr>
        <w:rFonts w:ascii="Symbol" w:hAnsi="Symbol" w:hint="default"/>
      </w:rPr>
    </w:lvl>
    <w:lvl w:ilvl="7" w:tplc="04180003" w:tentative="1">
      <w:start w:val="1"/>
      <w:numFmt w:val="bullet"/>
      <w:lvlText w:val="o"/>
      <w:lvlJc w:val="left"/>
      <w:pPr>
        <w:ind w:left="5930" w:hanging="360"/>
      </w:pPr>
      <w:rPr>
        <w:rFonts w:ascii="Courier New" w:hAnsi="Courier New" w:cs="Courier New" w:hint="default"/>
      </w:rPr>
    </w:lvl>
    <w:lvl w:ilvl="8" w:tplc="04180005" w:tentative="1">
      <w:start w:val="1"/>
      <w:numFmt w:val="bullet"/>
      <w:lvlText w:val=""/>
      <w:lvlJc w:val="left"/>
      <w:pPr>
        <w:ind w:left="6650" w:hanging="360"/>
      </w:pPr>
      <w:rPr>
        <w:rFonts w:ascii="Wingdings" w:hAnsi="Wingdings" w:hint="default"/>
      </w:rPr>
    </w:lvl>
  </w:abstractNum>
  <w:num w:numId="1" w16cid:durableId="1854682117">
    <w:abstractNumId w:val="18"/>
  </w:num>
  <w:num w:numId="2" w16cid:durableId="1857038150">
    <w:abstractNumId w:val="35"/>
  </w:num>
  <w:num w:numId="3" w16cid:durableId="1482162697">
    <w:abstractNumId w:val="36"/>
  </w:num>
  <w:num w:numId="4" w16cid:durableId="929433667">
    <w:abstractNumId w:val="23"/>
  </w:num>
  <w:num w:numId="5" w16cid:durableId="416482300">
    <w:abstractNumId w:val="21"/>
  </w:num>
  <w:num w:numId="6" w16cid:durableId="422069705">
    <w:abstractNumId w:val="29"/>
  </w:num>
  <w:num w:numId="7" w16cid:durableId="1715421043">
    <w:abstractNumId w:val="2"/>
  </w:num>
  <w:num w:numId="8" w16cid:durableId="1485467918">
    <w:abstractNumId w:val="15"/>
  </w:num>
  <w:num w:numId="9" w16cid:durableId="1774203988">
    <w:abstractNumId w:val="9"/>
  </w:num>
  <w:num w:numId="10" w16cid:durableId="665473478">
    <w:abstractNumId w:val="6"/>
  </w:num>
  <w:num w:numId="11" w16cid:durableId="757366055">
    <w:abstractNumId w:val="39"/>
  </w:num>
  <w:num w:numId="12" w16cid:durableId="427508797">
    <w:abstractNumId w:val="0"/>
  </w:num>
  <w:num w:numId="13" w16cid:durableId="439224308">
    <w:abstractNumId w:val="40"/>
  </w:num>
  <w:num w:numId="14" w16cid:durableId="1374572437">
    <w:abstractNumId w:val="32"/>
  </w:num>
  <w:num w:numId="15" w16cid:durableId="1419401436">
    <w:abstractNumId w:val="34"/>
  </w:num>
  <w:num w:numId="16" w16cid:durableId="754715373">
    <w:abstractNumId w:val="10"/>
  </w:num>
  <w:num w:numId="17" w16cid:durableId="1782996364">
    <w:abstractNumId w:val="20"/>
  </w:num>
  <w:num w:numId="18" w16cid:durableId="50925587">
    <w:abstractNumId w:val="31"/>
  </w:num>
  <w:num w:numId="19" w16cid:durableId="706806048">
    <w:abstractNumId w:val="42"/>
  </w:num>
  <w:num w:numId="20" w16cid:durableId="1542279681">
    <w:abstractNumId w:val="27"/>
  </w:num>
  <w:num w:numId="21" w16cid:durableId="1009219077">
    <w:abstractNumId w:val="16"/>
  </w:num>
  <w:num w:numId="22" w16cid:durableId="2098672142">
    <w:abstractNumId w:val="28"/>
  </w:num>
  <w:num w:numId="23" w16cid:durableId="105390325">
    <w:abstractNumId w:val="5"/>
  </w:num>
  <w:num w:numId="24" w16cid:durableId="371157235">
    <w:abstractNumId w:val="30"/>
  </w:num>
  <w:num w:numId="25" w16cid:durableId="5640118">
    <w:abstractNumId w:val="33"/>
  </w:num>
  <w:num w:numId="26" w16cid:durableId="1593778044">
    <w:abstractNumId w:val="7"/>
  </w:num>
  <w:num w:numId="27" w16cid:durableId="214388735">
    <w:abstractNumId w:val="26"/>
  </w:num>
  <w:num w:numId="28" w16cid:durableId="1760129688">
    <w:abstractNumId w:val="11"/>
  </w:num>
  <w:num w:numId="29" w16cid:durableId="2143031924">
    <w:abstractNumId w:val="38"/>
  </w:num>
  <w:num w:numId="30" w16cid:durableId="729234641">
    <w:abstractNumId w:val="44"/>
  </w:num>
  <w:num w:numId="31" w16cid:durableId="1902905352">
    <w:abstractNumId w:val="13"/>
  </w:num>
  <w:num w:numId="32" w16cid:durableId="1572809184">
    <w:abstractNumId w:val="1"/>
  </w:num>
  <w:num w:numId="33" w16cid:durableId="868449632">
    <w:abstractNumId w:val="41"/>
  </w:num>
  <w:num w:numId="34" w16cid:durableId="1755781541">
    <w:abstractNumId w:val="3"/>
  </w:num>
  <w:num w:numId="35" w16cid:durableId="1254900417">
    <w:abstractNumId w:val="14"/>
  </w:num>
  <w:num w:numId="36" w16cid:durableId="432241555">
    <w:abstractNumId w:val="8"/>
  </w:num>
  <w:num w:numId="37" w16cid:durableId="2061394871">
    <w:abstractNumId w:val="12"/>
  </w:num>
  <w:num w:numId="38" w16cid:durableId="543907794">
    <w:abstractNumId w:val="22"/>
  </w:num>
  <w:num w:numId="39" w16cid:durableId="1369794821">
    <w:abstractNumId w:val="17"/>
  </w:num>
  <w:num w:numId="40" w16cid:durableId="1660422796">
    <w:abstractNumId w:val="24"/>
  </w:num>
  <w:num w:numId="41" w16cid:durableId="457845947">
    <w:abstractNumId w:val="19"/>
  </w:num>
  <w:num w:numId="42" w16cid:durableId="2121607705">
    <w:abstractNumId w:val="25"/>
  </w:num>
  <w:num w:numId="43" w16cid:durableId="455296880">
    <w:abstractNumId w:val="37"/>
  </w:num>
  <w:num w:numId="44" w16cid:durableId="756681160">
    <w:abstractNumId w:val="43"/>
  </w:num>
  <w:num w:numId="45" w16cid:durableId="172573820">
    <w:abstractNumId w:val="4"/>
  </w:num>
  <w:num w:numId="46" w16cid:durableId="1807040345">
    <w:abstractNumId w:val="45"/>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MDPI Copy&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fw0prtesnvf55cepezbx255wwza5zw0ssatt&quot;&gt;My EndNote Library&lt;record-ids&gt;&lt;item&gt;9123&lt;/item&gt;&lt;item&gt;9124&lt;/item&gt;&lt;item&gt;9125&lt;/item&gt;&lt;item&gt;9126&lt;/item&gt;&lt;item&gt;9127&lt;/item&gt;&lt;item&gt;9129&lt;/item&gt;&lt;item&gt;9132&lt;/item&gt;&lt;item&gt;9134&lt;/item&gt;&lt;item&gt;9141&lt;/item&gt;&lt;item&gt;9144&lt;/item&gt;&lt;item&gt;9152&lt;/item&gt;&lt;item&gt;9153&lt;/item&gt;&lt;item&gt;9154&lt;/item&gt;&lt;item&gt;9158&lt;/item&gt;&lt;item&gt;9160&lt;/item&gt;&lt;item&gt;9163&lt;/item&gt;&lt;item&gt;9164&lt;/item&gt;&lt;item&gt;9166&lt;/item&gt;&lt;item&gt;9167&lt;/item&gt;&lt;item&gt;9168&lt;/item&gt;&lt;item&gt;9212&lt;/item&gt;&lt;item&gt;9213&lt;/item&gt;&lt;item&gt;9214&lt;/item&gt;&lt;item&gt;9221&lt;/item&gt;&lt;item&gt;9222&lt;/item&gt;&lt;item&gt;9223&lt;/item&gt;&lt;item&gt;9224&lt;/item&gt;&lt;item&gt;9226&lt;/item&gt;&lt;item&gt;9227&lt;/item&gt;&lt;item&gt;9229&lt;/item&gt;&lt;item&gt;9230&lt;/item&gt;&lt;item&gt;9231&lt;/item&gt;&lt;item&gt;9235&lt;/item&gt;&lt;item&gt;9238&lt;/item&gt;&lt;item&gt;9239&lt;/item&gt;&lt;item&gt;9240&lt;/item&gt;&lt;item&gt;9241&lt;/item&gt;&lt;item&gt;9243&lt;/item&gt;&lt;item&gt;9251&lt;/item&gt;&lt;item&gt;9254&lt;/item&gt;&lt;item&gt;9255&lt;/item&gt;&lt;item&gt;9256&lt;/item&gt;&lt;item&gt;9759&lt;/item&gt;&lt;item&gt;9760&lt;/item&gt;&lt;item&gt;9764&lt;/item&gt;&lt;item&gt;9765&lt;/item&gt;&lt;item&gt;9766&lt;/item&gt;&lt;item&gt;9767&lt;/item&gt;&lt;item&gt;9768&lt;/item&gt;&lt;/record-ids&gt;&lt;/item&gt;&lt;/Libraries&gt;"/>
  </w:docVars>
  <w:rsids>
    <w:rsidRoot w:val="00CD08FE"/>
    <w:rsid w:val="00003389"/>
    <w:rsid w:val="0001154E"/>
    <w:rsid w:val="00011D29"/>
    <w:rsid w:val="000177CE"/>
    <w:rsid w:val="00020372"/>
    <w:rsid w:val="000206F4"/>
    <w:rsid w:val="00022C72"/>
    <w:rsid w:val="000233B3"/>
    <w:rsid w:val="0002415A"/>
    <w:rsid w:val="00025C68"/>
    <w:rsid w:val="000270E8"/>
    <w:rsid w:val="00032AB1"/>
    <w:rsid w:val="000332B6"/>
    <w:rsid w:val="00040B2D"/>
    <w:rsid w:val="0004209D"/>
    <w:rsid w:val="00044989"/>
    <w:rsid w:val="00044C1D"/>
    <w:rsid w:val="00046237"/>
    <w:rsid w:val="000524EC"/>
    <w:rsid w:val="00056F7F"/>
    <w:rsid w:val="00060320"/>
    <w:rsid w:val="00062C36"/>
    <w:rsid w:val="000658D1"/>
    <w:rsid w:val="00074232"/>
    <w:rsid w:val="00074459"/>
    <w:rsid w:val="0007771C"/>
    <w:rsid w:val="000778FA"/>
    <w:rsid w:val="00080571"/>
    <w:rsid w:val="00091414"/>
    <w:rsid w:val="00095277"/>
    <w:rsid w:val="0009552B"/>
    <w:rsid w:val="00096080"/>
    <w:rsid w:val="000A096F"/>
    <w:rsid w:val="000A0DA0"/>
    <w:rsid w:val="000A3FEC"/>
    <w:rsid w:val="000A4094"/>
    <w:rsid w:val="000A6BC4"/>
    <w:rsid w:val="000B3B29"/>
    <w:rsid w:val="000B677C"/>
    <w:rsid w:val="000B73BD"/>
    <w:rsid w:val="000C1315"/>
    <w:rsid w:val="000C2997"/>
    <w:rsid w:val="000C2BBF"/>
    <w:rsid w:val="000C3447"/>
    <w:rsid w:val="000C7600"/>
    <w:rsid w:val="000D11D9"/>
    <w:rsid w:val="000D2398"/>
    <w:rsid w:val="000D3154"/>
    <w:rsid w:val="000D33B2"/>
    <w:rsid w:val="000E0CCB"/>
    <w:rsid w:val="000E144C"/>
    <w:rsid w:val="000E417F"/>
    <w:rsid w:val="000E5581"/>
    <w:rsid w:val="000E6F93"/>
    <w:rsid w:val="000F0110"/>
    <w:rsid w:val="000F3915"/>
    <w:rsid w:val="000F7B8A"/>
    <w:rsid w:val="001007B8"/>
    <w:rsid w:val="001013D5"/>
    <w:rsid w:val="00101F6F"/>
    <w:rsid w:val="0010655F"/>
    <w:rsid w:val="00107D10"/>
    <w:rsid w:val="00113A14"/>
    <w:rsid w:val="001200EB"/>
    <w:rsid w:val="0012124D"/>
    <w:rsid w:val="00121A8D"/>
    <w:rsid w:val="00130724"/>
    <w:rsid w:val="00140EC6"/>
    <w:rsid w:val="00141368"/>
    <w:rsid w:val="00141963"/>
    <w:rsid w:val="00143C46"/>
    <w:rsid w:val="00145E3A"/>
    <w:rsid w:val="00151F99"/>
    <w:rsid w:val="001554A1"/>
    <w:rsid w:val="00156AE4"/>
    <w:rsid w:val="00160FBC"/>
    <w:rsid w:val="001624F0"/>
    <w:rsid w:val="001630DE"/>
    <w:rsid w:val="001641BA"/>
    <w:rsid w:val="00165A17"/>
    <w:rsid w:val="00172E31"/>
    <w:rsid w:val="0017538A"/>
    <w:rsid w:val="00177555"/>
    <w:rsid w:val="00184CE8"/>
    <w:rsid w:val="00185CDF"/>
    <w:rsid w:val="00186032"/>
    <w:rsid w:val="00187FF1"/>
    <w:rsid w:val="0019255B"/>
    <w:rsid w:val="00192B7C"/>
    <w:rsid w:val="0019488E"/>
    <w:rsid w:val="001956CA"/>
    <w:rsid w:val="0019769E"/>
    <w:rsid w:val="00197BCF"/>
    <w:rsid w:val="00197C2A"/>
    <w:rsid w:val="001A1C0B"/>
    <w:rsid w:val="001A2682"/>
    <w:rsid w:val="001A369E"/>
    <w:rsid w:val="001A3784"/>
    <w:rsid w:val="001A60D6"/>
    <w:rsid w:val="001A7D33"/>
    <w:rsid w:val="001B17FC"/>
    <w:rsid w:val="001C00AC"/>
    <w:rsid w:val="001C0F31"/>
    <w:rsid w:val="001C25C8"/>
    <w:rsid w:val="001C6650"/>
    <w:rsid w:val="001D0F38"/>
    <w:rsid w:val="001D5664"/>
    <w:rsid w:val="001D5B3F"/>
    <w:rsid w:val="001E38C4"/>
    <w:rsid w:val="001E4937"/>
    <w:rsid w:val="001E4A5D"/>
    <w:rsid w:val="001E65CC"/>
    <w:rsid w:val="001F24F8"/>
    <w:rsid w:val="001F2A31"/>
    <w:rsid w:val="001F3684"/>
    <w:rsid w:val="001F54BA"/>
    <w:rsid w:val="001F591E"/>
    <w:rsid w:val="001F6078"/>
    <w:rsid w:val="001F71C6"/>
    <w:rsid w:val="002007BB"/>
    <w:rsid w:val="002020B4"/>
    <w:rsid w:val="00202B79"/>
    <w:rsid w:val="00205CA9"/>
    <w:rsid w:val="00207A9B"/>
    <w:rsid w:val="00210332"/>
    <w:rsid w:val="0021377C"/>
    <w:rsid w:val="00217F20"/>
    <w:rsid w:val="002200D8"/>
    <w:rsid w:val="00240F3E"/>
    <w:rsid w:val="00241FD4"/>
    <w:rsid w:val="00244F94"/>
    <w:rsid w:val="00251B00"/>
    <w:rsid w:val="00253918"/>
    <w:rsid w:val="00254FEE"/>
    <w:rsid w:val="002553E9"/>
    <w:rsid w:val="0025735B"/>
    <w:rsid w:val="002578D3"/>
    <w:rsid w:val="0026239C"/>
    <w:rsid w:val="0026287E"/>
    <w:rsid w:val="00264952"/>
    <w:rsid w:val="002669CD"/>
    <w:rsid w:val="00267420"/>
    <w:rsid w:val="002708BF"/>
    <w:rsid w:val="002708FB"/>
    <w:rsid w:val="00272EF7"/>
    <w:rsid w:val="0027599D"/>
    <w:rsid w:val="002806E5"/>
    <w:rsid w:val="00281DA9"/>
    <w:rsid w:val="00283777"/>
    <w:rsid w:val="002842FE"/>
    <w:rsid w:val="002847C7"/>
    <w:rsid w:val="0028766A"/>
    <w:rsid w:val="0029113E"/>
    <w:rsid w:val="00292B1C"/>
    <w:rsid w:val="00296BC6"/>
    <w:rsid w:val="00297442"/>
    <w:rsid w:val="002A198C"/>
    <w:rsid w:val="002A419B"/>
    <w:rsid w:val="002A4F03"/>
    <w:rsid w:val="002A7AA4"/>
    <w:rsid w:val="002B068A"/>
    <w:rsid w:val="002B0A4E"/>
    <w:rsid w:val="002B172A"/>
    <w:rsid w:val="002B56CD"/>
    <w:rsid w:val="002C0916"/>
    <w:rsid w:val="002C5286"/>
    <w:rsid w:val="002C5BB5"/>
    <w:rsid w:val="002C7373"/>
    <w:rsid w:val="002C741C"/>
    <w:rsid w:val="002C7F84"/>
    <w:rsid w:val="002D039D"/>
    <w:rsid w:val="002D55B2"/>
    <w:rsid w:val="002E5F8A"/>
    <w:rsid w:val="002E6766"/>
    <w:rsid w:val="002E6D0D"/>
    <w:rsid w:val="002F1211"/>
    <w:rsid w:val="002F1DBD"/>
    <w:rsid w:val="002F4595"/>
    <w:rsid w:val="002F4977"/>
    <w:rsid w:val="002F4DCB"/>
    <w:rsid w:val="002F7C62"/>
    <w:rsid w:val="002F7F9D"/>
    <w:rsid w:val="0030037B"/>
    <w:rsid w:val="00302676"/>
    <w:rsid w:val="00302FE5"/>
    <w:rsid w:val="00306DEB"/>
    <w:rsid w:val="003109FD"/>
    <w:rsid w:val="00311826"/>
    <w:rsid w:val="00320D6C"/>
    <w:rsid w:val="003238F6"/>
    <w:rsid w:val="003257C7"/>
    <w:rsid w:val="003258E2"/>
    <w:rsid w:val="00325E8C"/>
    <w:rsid w:val="00325EF2"/>
    <w:rsid w:val="00330C4D"/>
    <w:rsid w:val="00332DD5"/>
    <w:rsid w:val="00333C76"/>
    <w:rsid w:val="00335B15"/>
    <w:rsid w:val="00336AEE"/>
    <w:rsid w:val="00342968"/>
    <w:rsid w:val="003523D7"/>
    <w:rsid w:val="003611F1"/>
    <w:rsid w:val="00365010"/>
    <w:rsid w:val="00366B00"/>
    <w:rsid w:val="00366C29"/>
    <w:rsid w:val="0037039A"/>
    <w:rsid w:val="0037331D"/>
    <w:rsid w:val="00380AE6"/>
    <w:rsid w:val="003815CC"/>
    <w:rsid w:val="00381775"/>
    <w:rsid w:val="0038221F"/>
    <w:rsid w:val="00382D9A"/>
    <w:rsid w:val="003837AF"/>
    <w:rsid w:val="003A1B48"/>
    <w:rsid w:val="003B334F"/>
    <w:rsid w:val="003B46DE"/>
    <w:rsid w:val="003B4A61"/>
    <w:rsid w:val="003C12AD"/>
    <w:rsid w:val="003C2E75"/>
    <w:rsid w:val="003C7BD8"/>
    <w:rsid w:val="003D35E8"/>
    <w:rsid w:val="003D58D1"/>
    <w:rsid w:val="003D6430"/>
    <w:rsid w:val="003E24B8"/>
    <w:rsid w:val="003E5CDF"/>
    <w:rsid w:val="003E78C7"/>
    <w:rsid w:val="003F0F1E"/>
    <w:rsid w:val="003F5542"/>
    <w:rsid w:val="004010E1"/>
    <w:rsid w:val="00403989"/>
    <w:rsid w:val="004102D2"/>
    <w:rsid w:val="00411F58"/>
    <w:rsid w:val="004129DC"/>
    <w:rsid w:val="00412DF5"/>
    <w:rsid w:val="004135EB"/>
    <w:rsid w:val="00414673"/>
    <w:rsid w:val="0041636F"/>
    <w:rsid w:val="00417F53"/>
    <w:rsid w:val="0042235D"/>
    <w:rsid w:val="00423441"/>
    <w:rsid w:val="004263F4"/>
    <w:rsid w:val="004276B7"/>
    <w:rsid w:val="0043169B"/>
    <w:rsid w:val="00432DAE"/>
    <w:rsid w:val="00437389"/>
    <w:rsid w:val="00441F79"/>
    <w:rsid w:val="00444128"/>
    <w:rsid w:val="0045078D"/>
    <w:rsid w:val="00450B0A"/>
    <w:rsid w:val="00451841"/>
    <w:rsid w:val="00451F85"/>
    <w:rsid w:val="004526B4"/>
    <w:rsid w:val="00452A9E"/>
    <w:rsid w:val="00455FEC"/>
    <w:rsid w:val="00456990"/>
    <w:rsid w:val="0046337A"/>
    <w:rsid w:val="00463B63"/>
    <w:rsid w:val="004650B9"/>
    <w:rsid w:val="00466534"/>
    <w:rsid w:val="00466FBF"/>
    <w:rsid w:val="0047120B"/>
    <w:rsid w:val="00471F6C"/>
    <w:rsid w:val="004748FE"/>
    <w:rsid w:val="0047717C"/>
    <w:rsid w:val="00477A8A"/>
    <w:rsid w:val="00484BCD"/>
    <w:rsid w:val="0048520C"/>
    <w:rsid w:val="00485C1D"/>
    <w:rsid w:val="00496910"/>
    <w:rsid w:val="0049691F"/>
    <w:rsid w:val="00497D21"/>
    <w:rsid w:val="004A128A"/>
    <w:rsid w:val="004A2D12"/>
    <w:rsid w:val="004A5DC6"/>
    <w:rsid w:val="004A6ACC"/>
    <w:rsid w:val="004B09A2"/>
    <w:rsid w:val="004B268D"/>
    <w:rsid w:val="004B3864"/>
    <w:rsid w:val="004B467B"/>
    <w:rsid w:val="004B52E0"/>
    <w:rsid w:val="004B5C77"/>
    <w:rsid w:val="004C12E7"/>
    <w:rsid w:val="004C5CB8"/>
    <w:rsid w:val="004C60C6"/>
    <w:rsid w:val="004C6E32"/>
    <w:rsid w:val="004C755C"/>
    <w:rsid w:val="004D0C60"/>
    <w:rsid w:val="004D5B6F"/>
    <w:rsid w:val="004D61E3"/>
    <w:rsid w:val="004D76E7"/>
    <w:rsid w:val="004E0D48"/>
    <w:rsid w:val="004E13AF"/>
    <w:rsid w:val="004E4358"/>
    <w:rsid w:val="004E645D"/>
    <w:rsid w:val="004E6918"/>
    <w:rsid w:val="004E7191"/>
    <w:rsid w:val="004E76CE"/>
    <w:rsid w:val="004F0399"/>
    <w:rsid w:val="00501624"/>
    <w:rsid w:val="005016D6"/>
    <w:rsid w:val="005027FB"/>
    <w:rsid w:val="0050450B"/>
    <w:rsid w:val="00505F63"/>
    <w:rsid w:val="00513498"/>
    <w:rsid w:val="005157E8"/>
    <w:rsid w:val="00515AEF"/>
    <w:rsid w:val="005169D9"/>
    <w:rsid w:val="00520166"/>
    <w:rsid w:val="00524403"/>
    <w:rsid w:val="00526976"/>
    <w:rsid w:val="00527418"/>
    <w:rsid w:val="00527A28"/>
    <w:rsid w:val="00532AAE"/>
    <w:rsid w:val="00540058"/>
    <w:rsid w:val="00540BFF"/>
    <w:rsid w:val="00543C99"/>
    <w:rsid w:val="0054435E"/>
    <w:rsid w:val="005448AD"/>
    <w:rsid w:val="0054607C"/>
    <w:rsid w:val="005503A1"/>
    <w:rsid w:val="0055061A"/>
    <w:rsid w:val="0055450E"/>
    <w:rsid w:val="0055546F"/>
    <w:rsid w:val="00560E8D"/>
    <w:rsid w:val="00561BEB"/>
    <w:rsid w:val="00564407"/>
    <w:rsid w:val="005653A8"/>
    <w:rsid w:val="00566182"/>
    <w:rsid w:val="0056722D"/>
    <w:rsid w:val="00570DAC"/>
    <w:rsid w:val="005727E6"/>
    <w:rsid w:val="00572A0B"/>
    <w:rsid w:val="005766C1"/>
    <w:rsid w:val="00581D4B"/>
    <w:rsid w:val="00583411"/>
    <w:rsid w:val="00583D6D"/>
    <w:rsid w:val="00586481"/>
    <w:rsid w:val="00587A5C"/>
    <w:rsid w:val="005910BA"/>
    <w:rsid w:val="005941BC"/>
    <w:rsid w:val="005A0D13"/>
    <w:rsid w:val="005A4CEE"/>
    <w:rsid w:val="005A5A84"/>
    <w:rsid w:val="005A6CC2"/>
    <w:rsid w:val="005B0BF2"/>
    <w:rsid w:val="005B0F98"/>
    <w:rsid w:val="005B3C20"/>
    <w:rsid w:val="005B5427"/>
    <w:rsid w:val="005C64A7"/>
    <w:rsid w:val="005D1039"/>
    <w:rsid w:val="005D586C"/>
    <w:rsid w:val="005E0EAB"/>
    <w:rsid w:val="005E1354"/>
    <w:rsid w:val="005E2028"/>
    <w:rsid w:val="005E2C7E"/>
    <w:rsid w:val="005E3B05"/>
    <w:rsid w:val="005E6F5A"/>
    <w:rsid w:val="005F0B1A"/>
    <w:rsid w:val="005F0C3D"/>
    <w:rsid w:val="005F27AF"/>
    <w:rsid w:val="005F7C15"/>
    <w:rsid w:val="00601707"/>
    <w:rsid w:val="006034FF"/>
    <w:rsid w:val="00603663"/>
    <w:rsid w:val="00606496"/>
    <w:rsid w:val="00606735"/>
    <w:rsid w:val="00607D4D"/>
    <w:rsid w:val="006105DA"/>
    <w:rsid w:val="00611F89"/>
    <w:rsid w:val="00615027"/>
    <w:rsid w:val="00616139"/>
    <w:rsid w:val="00617033"/>
    <w:rsid w:val="0061728D"/>
    <w:rsid w:val="006218CB"/>
    <w:rsid w:val="00624D01"/>
    <w:rsid w:val="00627016"/>
    <w:rsid w:val="0062747D"/>
    <w:rsid w:val="00636FEE"/>
    <w:rsid w:val="00637A36"/>
    <w:rsid w:val="0064149C"/>
    <w:rsid w:val="0064351E"/>
    <w:rsid w:val="00643FB4"/>
    <w:rsid w:val="00650727"/>
    <w:rsid w:val="00650D37"/>
    <w:rsid w:val="00651507"/>
    <w:rsid w:val="00652260"/>
    <w:rsid w:val="00652FBB"/>
    <w:rsid w:val="0065624F"/>
    <w:rsid w:val="00657AE1"/>
    <w:rsid w:val="00661730"/>
    <w:rsid w:val="00662AAD"/>
    <w:rsid w:val="0066662A"/>
    <w:rsid w:val="00670781"/>
    <w:rsid w:val="00671BEA"/>
    <w:rsid w:val="00671F9E"/>
    <w:rsid w:val="00672A5A"/>
    <w:rsid w:val="00674DEF"/>
    <w:rsid w:val="0067600A"/>
    <w:rsid w:val="006774F1"/>
    <w:rsid w:val="0067766E"/>
    <w:rsid w:val="006805ED"/>
    <w:rsid w:val="00680F47"/>
    <w:rsid w:val="006823BC"/>
    <w:rsid w:val="00684DEB"/>
    <w:rsid w:val="00687BFD"/>
    <w:rsid w:val="00690156"/>
    <w:rsid w:val="00691804"/>
    <w:rsid w:val="00691E70"/>
    <w:rsid w:val="00693CFA"/>
    <w:rsid w:val="00697140"/>
    <w:rsid w:val="006A061F"/>
    <w:rsid w:val="006A3C6F"/>
    <w:rsid w:val="006A4437"/>
    <w:rsid w:val="006A56A1"/>
    <w:rsid w:val="006A6B9F"/>
    <w:rsid w:val="006B0A14"/>
    <w:rsid w:val="006B0EC6"/>
    <w:rsid w:val="006B117D"/>
    <w:rsid w:val="006B1626"/>
    <w:rsid w:val="006B4DA5"/>
    <w:rsid w:val="006C04A4"/>
    <w:rsid w:val="006C0A12"/>
    <w:rsid w:val="006C2534"/>
    <w:rsid w:val="006C3757"/>
    <w:rsid w:val="006C5DCB"/>
    <w:rsid w:val="006D33E7"/>
    <w:rsid w:val="006D514A"/>
    <w:rsid w:val="006D6BF1"/>
    <w:rsid w:val="006E2F0F"/>
    <w:rsid w:val="006E47B0"/>
    <w:rsid w:val="006E5A18"/>
    <w:rsid w:val="006E695E"/>
    <w:rsid w:val="006E7208"/>
    <w:rsid w:val="006F409B"/>
    <w:rsid w:val="006F501F"/>
    <w:rsid w:val="006F5FD3"/>
    <w:rsid w:val="00702D8A"/>
    <w:rsid w:val="00710CD3"/>
    <w:rsid w:val="007164FC"/>
    <w:rsid w:val="00720227"/>
    <w:rsid w:val="00721B13"/>
    <w:rsid w:val="00721E66"/>
    <w:rsid w:val="00724F6B"/>
    <w:rsid w:val="00725EF3"/>
    <w:rsid w:val="00731131"/>
    <w:rsid w:val="007318CE"/>
    <w:rsid w:val="00734FDD"/>
    <w:rsid w:val="0073503C"/>
    <w:rsid w:val="00736EF2"/>
    <w:rsid w:val="00736F14"/>
    <w:rsid w:val="00737408"/>
    <w:rsid w:val="00740848"/>
    <w:rsid w:val="00744048"/>
    <w:rsid w:val="007448CA"/>
    <w:rsid w:val="00745269"/>
    <w:rsid w:val="007478AE"/>
    <w:rsid w:val="00750390"/>
    <w:rsid w:val="00761D6C"/>
    <w:rsid w:val="00761F95"/>
    <w:rsid w:val="00762734"/>
    <w:rsid w:val="00766574"/>
    <w:rsid w:val="0076775D"/>
    <w:rsid w:val="00770F14"/>
    <w:rsid w:val="00773CB3"/>
    <w:rsid w:val="0077710A"/>
    <w:rsid w:val="007774AC"/>
    <w:rsid w:val="007802F7"/>
    <w:rsid w:val="00781C66"/>
    <w:rsid w:val="0078433B"/>
    <w:rsid w:val="00785885"/>
    <w:rsid w:val="00790C2B"/>
    <w:rsid w:val="0079472C"/>
    <w:rsid w:val="0079731D"/>
    <w:rsid w:val="00797A0F"/>
    <w:rsid w:val="007A5780"/>
    <w:rsid w:val="007A70D4"/>
    <w:rsid w:val="007B26BF"/>
    <w:rsid w:val="007B3E25"/>
    <w:rsid w:val="007B6FCC"/>
    <w:rsid w:val="007C206B"/>
    <w:rsid w:val="007C66F0"/>
    <w:rsid w:val="007D0BF0"/>
    <w:rsid w:val="007E0BDC"/>
    <w:rsid w:val="007E2B5F"/>
    <w:rsid w:val="007F0CEA"/>
    <w:rsid w:val="007F35FD"/>
    <w:rsid w:val="007F3E52"/>
    <w:rsid w:val="007F71FB"/>
    <w:rsid w:val="007F725D"/>
    <w:rsid w:val="00800DA9"/>
    <w:rsid w:val="00801DF0"/>
    <w:rsid w:val="0080370C"/>
    <w:rsid w:val="00804671"/>
    <w:rsid w:val="00805077"/>
    <w:rsid w:val="00810762"/>
    <w:rsid w:val="00811823"/>
    <w:rsid w:val="00812EF9"/>
    <w:rsid w:val="00814EF2"/>
    <w:rsid w:val="008153FA"/>
    <w:rsid w:val="0082358A"/>
    <w:rsid w:val="00827B47"/>
    <w:rsid w:val="0083157D"/>
    <w:rsid w:val="00831C54"/>
    <w:rsid w:val="008320CF"/>
    <w:rsid w:val="00840E9F"/>
    <w:rsid w:val="00841CD6"/>
    <w:rsid w:val="008426AE"/>
    <w:rsid w:val="00844C7D"/>
    <w:rsid w:val="00846E86"/>
    <w:rsid w:val="00852505"/>
    <w:rsid w:val="00852DB3"/>
    <w:rsid w:val="008552A4"/>
    <w:rsid w:val="00863CC5"/>
    <w:rsid w:val="0086597A"/>
    <w:rsid w:val="008666BE"/>
    <w:rsid w:val="0086676A"/>
    <w:rsid w:val="008767DB"/>
    <w:rsid w:val="00877B7E"/>
    <w:rsid w:val="0088017C"/>
    <w:rsid w:val="00881A59"/>
    <w:rsid w:val="00882041"/>
    <w:rsid w:val="00882D67"/>
    <w:rsid w:val="00884482"/>
    <w:rsid w:val="00884BBB"/>
    <w:rsid w:val="008878D6"/>
    <w:rsid w:val="00887FA6"/>
    <w:rsid w:val="00892341"/>
    <w:rsid w:val="00892B95"/>
    <w:rsid w:val="008942DD"/>
    <w:rsid w:val="00895EEB"/>
    <w:rsid w:val="0089604B"/>
    <w:rsid w:val="0089696E"/>
    <w:rsid w:val="008A1B9A"/>
    <w:rsid w:val="008A24D1"/>
    <w:rsid w:val="008A2C40"/>
    <w:rsid w:val="008A33B3"/>
    <w:rsid w:val="008A4220"/>
    <w:rsid w:val="008A451E"/>
    <w:rsid w:val="008A7029"/>
    <w:rsid w:val="008B084F"/>
    <w:rsid w:val="008B139E"/>
    <w:rsid w:val="008B17D6"/>
    <w:rsid w:val="008B213A"/>
    <w:rsid w:val="008B3FAA"/>
    <w:rsid w:val="008B45EB"/>
    <w:rsid w:val="008B5B5F"/>
    <w:rsid w:val="008B603C"/>
    <w:rsid w:val="008C1602"/>
    <w:rsid w:val="008C295E"/>
    <w:rsid w:val="008C4F7E"/>
    <w:rsid w:val="008C50F2"/>
    <w:rsid w:val="008C524B"/>
    <w:rsid w:val="008D10C8"/>
    <w:rsid w:val="008E247B"/>
    <w:rsid w:val="008E39E7"/>
    <w:rsid w:val="008F1A89"/>
    <w:rsid w:val="008F238C"/>
    <w:rsid w:val="008F3D36"/>
    <w:rsid w:val="008F6B57"/>
    <w:rsid w:val="008F6F0B"/>
    <w:rsid w:val="008F7C43"/>
    <w:rsid w:val="00913644"/>
    <w:rsid w:val="00917994"/>
    <w:rsid w:val="009246E9"/>
    <w:rsid w:val="00930A2B"/>
    <w:rsid w:val="009310DC"/>
    <w:rsid w:val="0093391F"/>
    <w:rsid w:val="00935738"/>
    <w:rsid w:val="00937378"/>
    <w:rsid w:val="0093742B"/>
    <w:rsid w:val="0093790D"/>
    <w:rsid w:val="00952BE0"/>
    <w:rsid w:val="00954018"/>
    <w:rsid w:val="00955FE6"/>
    <w:rsid w:val="0095636B"/>
    <w:rsid w:val="00956465"/>
    <w:rsid w:val="00956BB2"/>
    <w:rsid w:val="009604AA"/>
    <w:rsid w:val="00962105"/>
    <w:rsid w:val="0096290F"/>
    <w:rsid w:val="00962D20"/>
    <w:rsid w:val="00962D59"/>
    <w:rsid w:val="009631A3"/>
    <w:rsid w:val="00964FC9"/>
    <w:rsid w:val="009743F7"/>
    <w:rsid w:val="00976BCA"/>
    <w:rsid w:val="00977091"/>
    <w:rsid w:val="00977C09"/>
    <w:rsid w:val="00977EBD"/>
    <w:rsid w:val="00984B8B"/>
    <w:rsid w:val="0098650E"/>
    <w:rsid w:val="009871A9"/>
    <w:rsid w:val="009928D6"/>
    <w:rsid w:val="009932C1"/>
    <w:rsid w:val="00993A4C"/>
    <w:rsid w:val="0099499D"/>
    <w:rsid w:val="009A27A3"/>
    <w:rsid w:val="009A358E"/>
    <w:rsid w:val="009A74DA"/>
    <w:rsid w:val="009A7ACD"/>
    <w:rsid w:val="009A7FB3"/>
    <w:rsid w:val="009C165B"/>
    <w:rsid w:val="009C3449"/>
    <w:rsid w:val="009C56F1"/>
    <w:rsid w:val="009C6489"/>
    <w:rsid w:val="009D2E63"/>
    <w:rsid w:val="009D5AE1"/>
    <w:rsid w:val="009D5F6F"/>
    <w:rsid w:val="009E0782"/>
    <w:rsid w:val="009E3553"/>
    <w:rsid w:val="009F0DE8"/>
    <w:rsid w:val="009F2955"/>
    <w:rsid w:val="009F3877"/>
    <w:rsid w:val="009F531C"/>
    <w:rsid w:val="009F661E"/>
    <w:rsid w:val="009F6FCF"/>
    <w:rsid w:val="00A01FEF"/>
    <w:rsid w:val="00A0496C"/>
    <w:rsid w:val="00A049D9"/>
    <w:rsid w:val="00A04DD0"/>
    <w:rsid w:val="00A07E9A"/>
    <w:rsid w:val="00A11F3A"/>
    <w:rsid w:val="00A1206C"/>
    <w:rsid w:val="00A12F83"/>
    <w:rsid w:val="00A13879"/>
    <w:rsid w:val="00A21417"/>
    <w:rsid w:val="00A2226A"/>
    <w:rsid w:val="00A25F29"/>
    <w:rsid w:val="00A27164"/>
    <w:rsid w:val="00A30017"/>
    <w:rsid w:val="00A31641"/>
    <w:rsid w:val="00A31C49"/>
    <w:rsid w:val="00A33224"/>
    <w:rsid w:val="00A35014"/>
    <w:rsid w:val="00A424E4"/>
    <w:rsid w:val="00A43B70"/>
    <w:rsid w:val="00A46620"/>
    <w:rsid w:val="00A46B3F"/>
    <w:rsid w:val="00A52B90"/>
    <w:rsid w:val="00A54BAD"/>
    <w:rsid w:val="00A5778D"/>
    <w:rsid w:val="00A60216"/>
    <w:rsid w:val="00A622EC"/>
    <w:rsid w:val="00A62A7C"/>
    <w:rsid w:val="00A64256"/>
    <w:rsid w:val="00A66280"/>
    <w:rsid w:val="00A679CE"/>
    <w:rsid w:val="00A75F1B"/>
    <w:rsid w:val="00A7646B"/>
    <w:rsid w:val="00A76CF6"/>
    <w:rsid w:val="00A844EF"/>
    <w:rsid w:val="00A84CE0"/>
    <w:rsid w:val="00A900B0"/>
    <w:rsid w:val="00A91A5D"/>
    <w:rsid w:val="00A91AD6"/>
    <w:rsid w:val="00A928B9"/>
    <w:rsid w:val="00A9409D"/>
    <w:rsid w:val="00A95DA2"/>
    <w:rsid w:val="00AA2985"/>
    <w:rsid w:val="00AA2EE8"/>
    <w:rsid w:val="00AB0C86"/>
    <w:rsid w:val="00AB5293"/>
    <w:rsid w:val="00AB52C1"/>
    <w:rsid w:val="00AC1D2B"/>
    <w:rsid w:val="00AC5B1C"/>
    <w:rsid w:val="00AD0828"/>
    <w:rsid w:val="00AD1D2D"/>
    <w:rsid w:val="00AD25CB"/>
    <w:rsid w:val="00AD3ACB"/>
    <w:rsid w:val="00AD4214"/>
    <w:rsid w:val="00AD5333"/>
    <w:rsid w:val="00AD5DBD"/>
    <w:rsid w:val="00AD5F94"/>
    <w:rsid w:val="00AD61F6"/>
    <w:rsid w:val="00AD6FEF"/>
    <w:rsid w:val="00AD7256"/>
    <w:rsid w:val="00AE2D81"/>
    <w:rsid w:val="00AE360F"/>
    <w:rsid w:val="00AE3736"/>
    <w:rsid w:val="00AE526C"/>
    <w:rsid w:val="00AE56E7"/>
    <w:rsid w:val="00AF7AAE"/>
    <w:rsid w:val="00AF7BFB"/>
    <w:rsid w:val="00B0086C"/>
    <w:rsid w:val="00B06870"/>
    <w:rsid w:val="00B10301"/>
    <w:rsid w:val="00B106DD"/>
    <w:rsid w:val="00B1453D"/>
    <w:rsid w:val="00B1480C"/>
    <w:rsid w:val="00B15601"/>
    <w:rsid w:val="00B20C2C"/>
    <w:rsid w:val="00B21B8E"/>
    <w:rsid w:val="00B25306"/>
    <w:rsid w:val="00B32CC0"/>
    <w:rsid w:val="00B3353A"/>
    <w:rsid w:val="00B33B13"/>
    <w:rsid w:val="00B45213"/>
    <w:rsid w:val="00B47BB0"/>
    <w:rsid w:val="00B5052C"/>
    <w:rsid w:val="00B5294B"/>
    <w:rsid w:val="00B55418"/>
    <w:rsid w:val="00B55745"/>
    <w:rsid w:val="00B55CE3"/>
    <w:rsid w:val="00B56570"/>
    <w:rsid w:val="00B605E2"/>
    <w:rsid w:val="00B6314B"/>
    <w:rsid w:val="00B64504"/>
    <w:rsid w:val="00B70CBA"/>
    <w:rsid w:val="00B77CE3"/>
    <w:rsid w:val="00B83D99"/>
    <w:rsid w:val="00B84D5F"/>
    <w:rsid w:val="00B90CDF"/>
    <w:rsid w:val="00B92861"/>
    <w:rsid w:val="00B92D38"/>
    <w:rsid w:val="00B97B11"/>
    <w:rsid w:val="00BA0153"/>
    <w:rsid w:val="00BA3FEA"/>
    <w:rsid w:val="00BA7D15"/>
    <w:rsid w:val="00BB02F5"/>
    <w:rsid w:val="00BB13C7"/>
    <w:rsid w:val="00BB2592"/>
    <w:rsid w:val="00BB3E10"/>
    <w:rsid w:val="00BB4748"/>
    <w:rsid w:val="00BC3832"/>
    <w:rsid w:val="00BD1C3D"/>
    <w:rsid w:val="00BD4E7C"/>
    <w:rsid w:val="00BD5BF9"/>
    <w:rsid w:val="00BD6EA0"/>
    <w:rsid w:val="00BD7C95"/>
    <w:rsid w:val="00BE3F6F"/>
    <w:rsid w:val="00BE4135"/>
    <w:rsid w:val="00BE503A"/>
    <w:rsid w:val="00BE7239"/>
    <w:rsid w:val="00BE76CD"/>
    <w:rsid w:val="00BF1712"/>
    <w:rsid w:val="00BF2C12"/>
    <w:rsid w:val="00BF2C89"/>
    <w:rsid w:val="00BF41D2"/>
    <w:rsid w:val="00C048C9"/>
    <w:rsid w:val="00C05236"/>
    <w:rsid w:val="00C06C27"/>
    <w:rsid w:val="00C15E5D"/>
    <w:rsid w:val="00C17F7E"/>
    <w:rsid w:val="00C20B7E"/>
    <w:rsid w:val="00C2232B"/>
    <w:rsid w:val="00C245F9"/>
    <w:rsid w:val="00C25B48"/>
    <w:rsid w:val="00C25FDD"/>
    <w:rsid w:val="00C31B23"/>
    <w:rsid w:val="00C337E0"/>
    <w:rsid w:val="00C33884"/>
    <w:rsid w:val="00C33EC7"/>
    <w:rsid w:val="00C40119"/>
    <w:rsid w:val="00C51858"/>
    <w:rsid w:val="00C5193D"/>
    <w:rsid w:val="00C527CD"/>
    <w:rsid w:val="00C61743"/>
    <w:rsid w:val="00C6277F"/>
    <w:rsid w:val="00C6675A"/>
    <w:rsid w:val="00C67B47"/>
    <w:rsid w:val="00C71F8D"/>
    <w:rsid w:val="00C75A66"/>
    <w:rsid w:val="00C75B65"/>
    <w:rsid w:val="00C81961"/>
    <w:rsid w:val="00C81DFB"/>
    <w:rsid w:val="00CA4251"/>
    <w:rsid w:val="00CA4594"/>
    <w:rsid w:val="00CA61B8"/>
    <w:rsid w:val="00CA772D"/>
    <w:rsid w:val="00CB0AB2"/>
    <w:rsid w:val="00CB160E"/>
    <w:rsid w:val="00CB1D82"/>
    <w:rsid w:val="00CB5304"/>
    <w:rsid w:val="00CB7392"/>
    <w:rsid w:val="00CC3F0A"/>
    <w:rsid w:val="00CD08FE"/>
    <w:rsid w:val="00CD175A"/>
    <w:rsid w:val="00CD3152"/>
    <w:rsid w:val="00CD5588"/>
    <w:rsid w:val="00CD581E"/>
    <w:rsid w:val="00CE386A"/>
    <w:rsid w:val="00CE463C"/>
    <w:rsid w:val="00CE75B3"/>
    <w:rsid w:val="00CE7965"/>
    <w:rsid w:val="00CF3974"/>
    <w:rsid w:val="00CF738D"/>
    <w:rsid w:val="00CF7DF8"/>
    <w:rsid w:val="00D04341"/>
    <w:rsid w:val="00D05D26"/>
    <w:rsid w:val="00D06A68"/>
    <w:rsid w:val="00D076BF"/>
    <w:rsid w:val="00D1269F"/>
    <w:rsid w:val="00D171B1"/>
    <w:rsid w:val="00D17DBB"/>
    <w:rsid w:val="00D21DDB"/>
    <w:rsid w:val="00D220E5"/>
    <w:rsid w:val="00D305B3"/>
    <w:rsid w:val="00D31551"/>
    <w:rsid w:val="00D33DBE"/>
    <w:rsid w:val="00D34420"/>
    <w:rsid w:val="00D35C7B"/>
    <w:rsid w:val="00D361FF"/>
    <w:rsid w:val="00D364E6"/>
    <w:rsid w:val="00D45243"/>
    <w:rsid w:val="00D4526D"/>
    <w:rsid w:val="00D471AA"/>
    <w:rsid w:val="00D52E88"/>
    <w:rsid w:val="00D54CDE"/>
    <w:rsid w:val="00D56606"/>
    <w:rsid w:val="00D60863"/>
    <w:rsid w:val="00D62281"/>
    <w:rsid w:val="00D64442"/>
    <w:rsid w:val="00D64492"/>
    <w:rsid w:val="00D652B5"/>
    <w:rsid w:val="00D669DB"/>
    <w:rsid w:val="00D71176"/>
    <w:rsid w:val="00D756D1"/>
    <w:rsid w:val="00D77286"/>
    <w:rsid w:val="00D77FC8"/>
    <w:rsid w:val="00D8448C"/>
    <w:rsid w:val="00D93BF2"/>
    <w:rsid w:val="00D945F2"/>
    <w:rsid w:val="00DA1540"/>
    <w:rsid w:val="00DA2A09"/>
    <w:rsid w:val="00DA3B0C"/>
    <w:rsid w:val="00DA4681"/>
    <w:rsid w:val="00DA5FB9"/>
    <w:rsid w:val="00DA7525"/>
    <w:rsid w:val="00DB7CEB"/>
    <w:rsid w:val="00DB7D55"/>
    <w:rsid w:val="00DC119F"/>
    <w:rsid w:val="00DC1337"/>
    <w:rsid w:val="00DC173E"/>
    <w:rsid w:val="00DD5CF1"/>
    <w:rsid w:val="00DD61C3"/>
    <w:rsid w:val="00DE471C"/>
    <w:rsid w:val="00DE5A16"/>
    <w:rsid w:val="00DE5E50"/>
    <w:rsid w:val="00DE5EA9"/>
    <w:rsid w:val="00DF433B"/>
    <w:rsid w:val="00DF463E"/>
    <w:rsid w:val="00E02E56"/>
    <w:rsid w:val="00E0450F"/>
    <w:rsid w:val="00E0547B"/>
    <w:rsid w:val="00E06470"/>
    <w:rsid w:val="00E10DBF"/>
    <w:rsid w:val="00E116CC"/>
    <w:rsid w:val="00E12C96"/>
    <w:rsid w:val="00E136E0"/>
    <w:rsid w:val="00E13B82"/>
    <w:rsid w:val="00E15B00"/>
    <w:rsid w:val="00E21BCF"/>
    <w:rsid w:val="00E22713"/>
    <w:rsid w:val="00E23705"/>
    <w:rsid w:val="00E26093"/>
    <w:rsid w:val="00E26EA1"/>
    <w:rsid w:val="00E2747F"/>
    <w:rsid w:val="00E32299"/>
    <w:rsid w:val="00E33294"/>
    <w:rsid w:val="00E335EE"/>
    <w:rsid w:val="00E40172"/>
    <w:rsid w:val="00E40551"/>
    <w:rsid w:val="00E42ADC"/>
    <w:rsid w:val="00E45F25"/>
    <w:rsid w:val="00E47096"/>
    <w:rsid w:val="00E56C0B"/>
    <w:rsid w:val="00E579E1"/>
    <w:rsid w:val="00E615BD"/>
    <w:rsid w:val="00E61B1A"/>
    <w:rsid w:val="00E61E85"/>
    <w:rsid w:val="00E63F61"/>
    <w:rsid w:val="00E70C3B"/>
    <w:rsid w:val="00E8239C"/>
    <w:rsid w:val="00E82763"/>
    <w:rsid w:val="00E8278C"/>
    <w:rsid w:val="00E84402"/>
    <w:rsid w:val="00E87966"/>
    <w:rsid w:val="00E90647"/>
    <w:rsid w:val="00E92013"/>
    <w:rsid w:val="00E93DAC"/>
    <w:rsid w:val="00E9576A"/>
    <w:rsid w:val="00E97378"/>
    <w:rsid w:val="00EA0CBE"/>
    <w:rsid w:val="00EA16F7"/>
    <w:rsid w:val="00EA55D6"/>
    <w:rsid w:val="00EB25C8"/>
    <w:rsid w:val="00EB29E9"/>
    <w:rsid w:val="00EB4232"/>
    <w:rsid w:val="00EB7001"/>
    <w:rsid w:val="00EB7761"/>
    <w:rsid w:val="00EC126E"/>
    <w:rsid w:val="00EC5679"/>
    <w:rsid w:val="00EC6AD7"/>
    <w:rsid w:val="00ED0AC5"/>
    <w:rsid w:val="00ED4451"/>
    <w:rsid w:val="00ED654E"/>
    <w:rsid w:val="00ED6638"/>
    <w:rsid w:val="00ED6BE7"/>
    <w:rsid w:val="00EE1ED4"/>
    <w:rsid w:val="00EE3307"/>
    <w:rsid w:val="00EE4D5D"/>
    <w:rsid w:val="00EE589D"/>
    <w:rsid w:val="00EE5FEC"/>
    <w:rsid w:val="00EF0B34"/>
    <w:rsid w:val="00EF1C94"/>
    <w:rsid w:val="00EF2A54"/>
    <w:rsid w:val="00EF2F41"/>
    <w:rsid w:val="00EF7344"/>
    <w:rsid w:val="00F00E8F"/>
    <w:rsid w:val="00F032B4"/>
    <w:rsid w:val="00F07577"/>
    <w:rsid w:val="00F128AC"/>
    <w:rsid w:val="00F12E35"/>
    <w:rsid w:val="00F15D2B"/>
    <w:rsid w:val="00F171C5"/>
    <w:rsid w:val="00F21361"/>
    <w:rsid w:val="00F21BD2"/>
    <w:rsid w:val="00F22806"/>
    <w:rsid w:val="00F249E7"/>
    <w:rsid w:val="00F2596C"/>
    <w:rsid w:val="00F25BB2"/>
    <w:rsid w:val="00F26104"/>
    <w:rsid w:val="00F33FCB"/>
    <w:rsid w:val="00F36806"/>
    <w:rsid w:val="00F42BC0"/>
    <w:rsid w:val="00F42D2B"/>
    <w:rsid w:val="00F4378A"/>
    <w:rsid w:val="00F44887"/>
    <w:rsid w:val="00F458EB"/>
    <w:rsid w:val="00F46AB6"/>
    <w:rsid w:val="00F50CF7"/>
    <w:rsid w:val="00F51300"/>
    <w:rsid w:val="00F52B90"/>
    <w:rsid w:val="00F5757E"/>
    <w:rsid w:val="00F63808"/>
    <w:rsid w:val="00F67B4D"/>
    <w:rsid w:val="00F67EDE"/>
    <w:rsid w:val="00F72FE5"/>
    <w:rsid w:val="00F8127C"/>
    <w:rsid w:val="00F8158E"/>
    <w:rsid w:val="00F81AC1"/>
    <w:rsid w:val="00F874DD"/>
    <w:rsid w:val="00F9232E"/>
    <w:rsid w:val="00F937BC"/>
    <w:rsid w:val="00F9411C"/>
    <w:rsid w:val="00F956AE"/>
    <w:rsid w:val="00F97713"/>
    <w:rsid w:val="00FA0B55"/>
    <w:rsid w:val="00FA15C2"/>
    <w:rsid w:val="00FA1687"/>
    <w:rsid w:val="00FA648E"/>
    <w:rsid w:val="00FB2BDE"/>
    <w:rsid w:val="00FB31FB"/>
    <w:rsid w:val="00FB67FF"/>
    <w:rsid w:val="00FB6B57"/>
    <w:rsid w:val="00FC04CB"/>
    <w:rsid w:val="00FC3B0C"/>
    <w:rsid w:val="00FC49BA"/>
    <w:rsid w:val="00FC6244"/>
    <w:rsid w:val="00FD0EAC"/>
    <w:rsid w:val="00FD1117"/>
    <w:rsid w:val="00FD2262"/>
    <w:rsid w:val="00FD252A"/>
    <w:rsid w:val="00FD27BA"/>
    <w:rsid w:val="00FD2DC0"/>
    <w:rsid w:val="00FD581C"/>
    <w:rsid w:val="00FD740C"/>
    <w:rsid w:val="00FD7DCE"/>
    <w:rsid w:val="00FD7E28"/>
    <w:rsid w:val="00FE2880"/>
    <w:rsid w:val="00FE2C86"/>
    <w:rsid w:val="00FE2DF3"/>
    <w:rsid w:val="00FE676F"/>
    <w:rsid w:val="00FF023F"/>
    <w:rsid w:val="00FF039E"/>
    <w:rsid w:val="00FF2712"/>
    <w:rsid w:val="00FF3105"/>
    <w:rsid w:val="00FF336D"/>
    <w:rsid w:val="00FF3FE4"/>
    <w:rsid w:val="00FF4663"/>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398DA1"/>
  <w15:chartTrackingRefBased/>
  <w15:docId w15:val="{53A72142-E928-4F22-B483-889AE930D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DengXian" w:hAnsi="Calibri" w:cs="Times New Roman"/>
        <w:lang w:val="ro-RO" w:eastAsia="ro-R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6BC6"/>
    <w:pPr>
      <w:spacing w:line="320" w:lineRule="auto"/>
      <w:ind w:firstLine="170"/>
    </w:pPr>
    <w:rPr>
      <w:color w:val="000000"/>
      <w:sz w:val="22"/>
      <w:szCs w:val="22"/>
      <w:lang w:eastAsia="zh-CN"/>
    </w:rPr>
  </w:style>
  <w:style w:type="paragraph" w:styleId="Heading1">
    <w:name w:val="heading 1"/>
    <w:basedOn w:val="Normal"/>
    <w:next w:val="Normal"/>
    <w:link w:val="Heading1Char"/>
    <w:uiPriority w:val="9"/>
    <w:qFormat/>
    <w:rsid w:val="00186032"/>
    <w:pPr>
      <w:keepNext/>
      <w:keepLines/>
      <w:numPr>
        <w:numId w:val="1"/>
      </w:numPr>
      <w:tabs>
        <w:tab w:val="left" w:pos="142"/>
        <w:tab w:val="left" w:pos="284"/>
        <w:tab w:val="left" w:pos="426"/>
      </w:tabs>
      <w:snapToGrid w:val="0"/>
      <w:spacing w:before="320" w:after="320" w:line="216" w:lineRule="auto"/>
      <w:contextualSpacing/>
      <w:outlineLvl w:val="0"/>
    </w:pPr>
    <w:rPr>
      <w:rFonts w:eastAsia="DengXian Light"/>
      <w:b/>
      <w:bCs/>
      <w:color w:val="262262"/>
      <w:sz w:val="28"/>
      <w:szCs w:val="28"/>
    </w:rPr>
  </w:style>
  <w:style w:type="paragraph" w:styleId="Heading2">
    <w:name w:val="heading 2"/>
    <w:basedOn w:val="Normal"/>
    <w:next w:val="Normal"/>
    <w:link w:val="Heading2Char"/>
    <w:uiPriority w:val="9"/>
    <w:unhideWhenUsed/>
    <w:qFormat/>
    <w:rsid w:val="00185CDF"/>
    <w:pPr>
      <w:keepNext/>
      <w:keepLines/>
      <w:numPr>
        <w:ilvl w:val="1"/>
        <w:numId w:val="1"/>
      </w:numPr>
      <w:tabs>
        <w:tab w:val="left" w:pos="284"/>
        <w:tab w:val="left" w:pos="426"/>
        <w:tab w:val="left" w:pos="567"/>
      </w:tabs>
      <w:spacing w:before="320" w:after="320" w:line="216" w:lineRule="auto"/>
      <w:ind w:right="2552"/>
      <w:outlineLvl w:val="1"/>
    </w:pPr>
    <w:rPr>
      <w:b/>
      <w:color w:val="262262"/>
      <w:sz w:val="24"/>
      <w:szCs w:val="24"/>
    </w:rPr>
  </w:style>
  <w:style w:type="paragraph" w:styleId="Heading3">
    <w:name w:val="heading 3"/>
    <w:basedOn w:val="Normal"/>
    <w:next w:val="Normal"/>
    <w:link w:val="Heading3Char"/>
    <w:uiPriority w:val="9"/>
    <w:unhideWhenUsed/>
    <w:qFormat/>
    <w:rsid w:val="00A07E9A"/>
    <w:pPr>
      <w:snapToGrid w:val="0"/>
      <w:spacing w:after="320" w:line="319" w:lineRule="auto"/>
      <w:ind w:firstLine="0"/>
      <w:contextualSpacing/>
      <w:outlineLvl w:val="2"/>
    </w:pPr>
    <w:rPr>
      <w:b/>
      <w:color w:val="auto"/>
    </w:rPr>
  </w:style>
  <w:style w:type="paragraph" w:styleId="Heading4">
    <w:name w:val="heading 4"/>
    <w:basedOn w:val="Heading3"/>
    <w:next w:val="Normal"/>
    <w:link w:val="Heading4Char"/>
    <w:uiPriority w:val="9"/>
    <w:unhideWhenUsed/>
    <w:qFormat/>
    <w:rsid w:val="00113A14"/>
    <w:pPr>
      <w:outlineLvl w:val="3"/>
    </w:pPr>
  </w:style>
  <w:style w:type="paragraph" w:styleId="Heading5">
    <w:name w:val="heading 5"/>
    <w:basedOn w:val="Heading4"/>
    <w:next w:val="Normal"/>
    <w:link w:val="Heading5Char"/>
    <w:uiPriority w:val="9"/>
    <w:unhideWhenUsed/>
    <w:qFormat/>
    <w:rsid w:val="00113A14"/>
    <w:pPr>
      <w:outlineLvl w:val="4"/>
    </w:pPr>
  </w:style>
  <w:style w:type="paragraph" w:styleId="Heading6">
    <w:name w:val="heading 6"/>
    <w:basedOn w:val="Heading5"/>
    <w:next w:val="Normal"/>
    <w:link w:val="Heading6Char"/>
    <w:uiPriority w:val="9"/>
    <w:unhideWhenUsed/>
    <w:qFormat/>
    <w:rsid w:val="00113A14"/>
    <w:pPr>
      <w:outlineLvl w:val="5"/>
    </w:pPr>
  </w:style>
  <w:style w:type="paragraph" w:styleId="Heading7">
    <w:name w:val="heading 7"/>
    <w:basedOn w:val="Heading6"/>
    <w:next w:val="Normal"/>
    <w:link w:val="Heading7Char"/>
    <w:uiPriority w:val="9"/>
    <w:unhideWhenUsed/>
    <w:qFormat/>
    <w:rsid w:val="00113A14"/>
    <w:pPr>
      <w:outlineLvl w:val="6"/>
    </w:pPr>
  </w:style>
  <w:style w:type="paragraph" w:styleId="Heading8">
    <w:name w:val="heading 8"/>
    <w:basedOn w:val="Heading7"/>
    <w:next w:val="Normal"/>
    <w:link w:val="Heading8Char"/>
    <w:uiPriority w:val="9"/>
    <w:unhideWhenUsed/>
    <w:qFormat/>
    <w:rsid w:val="00113A14"/>
    <w:pPr>
      <w:outlineLvl w:val="7"/>
    </w:pPr>
  </w:style>
  <w:style w:type="paragraph" w:styleId="Heading9">
    <w:name w:val="heading 9"/>
    <w:basedOn w:val="Heading8"/>
    <w:next w:val="Normal"/>
    <w:link w:val="Heading9Char"/>
    <w:uiPriority w:val="9"/>
    <w:unhideWhenUsed/>
    <w:rsid w:val="00113A14"/>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9"/>
    <w:rsid w:val="00185CDF"/>
    <w:rPr>
      <w:b/>
      <w:color w:val="262262"/>
      <w:sz w:val="24"/>
      <w:szCs w:val="24"/>
      <w:lang w:eastAsia="zh-CN"/>
    </w:rPr>
  </w:style>
  <w:style w:type="character" w:customStyle="1" w:styleId="Heading1Char">
    <w:name w:val="Heading 1 Char"/>
    <w:link w:val="Heading1"/>
    <w:uiPriority w:val="9"/>
    <w:rsid w:val="00186032"/>
    <w:rPr>
      <w:rFonts w:eastAsia="DengXian Light"/>
      <w:b/>
      <w:bCs/>
      <w:color w:val="262262"/>
      <w:sz w:val="28"/>
      <w:szCs w:val="28"/>
      <w:lang w:eastAsia="zh-CN"/>
    </w:rPr>
  </w:style>
  <w:style w:type="character" w:customStyle="1" w:styleId="Heading4Char">
    <w:name w:val="Heading 4 Char"/>
    <w:link w:val="Heading4"/>
    <w:uiPriority w:val="9"/>
    <w:rsid w:val="00113A14"/>
    <w:rPr>
      <w:color w:val="6D6D6D"/>
      <w:kern w:val="0"/>
      <w:sz w:val="20"/>
    </w:rPr>
  </w:style>
  <w:style w:type="character" w:customStyle="1" w:styleId="Heading5Char">
    <w:name w:val="Heading 5 Char"/>
    <w:link w:val="Heading5"/>
    <w:uiPriority w:val="9"/>
    <w:rsid w:val="00113A14"/>
    <w:rPr>
      <w:color w:val="6D6D6D"/>
      <w:kern w:val="0"/>
      <w:sz w:val="20"/>
    </w:rPr>
  </w:style>
  <w:style w:type="character" w:customStyle="1" w:styleId="Heading6Char">
    <w:name w:val="Heading 6 Char"/>
    <w:link w:val="Heading6"/>
    <w:uiPriority w:val="9"/>
    <w:rsid w:val="00113A14"/>
    <w:rPr>
      <w:color w:val="6D6D6D"/>
      <w:kern w:val="0"/>
      <w:sz w:val="20"/>
    </w:rPr>
  </w:style>
  <w:style w:type="character" w:customStyle="1" w:styleId="Heading7Char">
    <w:name w:val="Heading 7 Char"/>
    <w:link w:val="Heading7"/>
    <w:uiPriority w:val="9"/>
    <w:rsid w:val="00113A14"/>
    <w:rPr>
      <w:color w:val="6D6D6D"/>
      <w:kern w:val="0"/>
      <w:sz w:val="20"/>
    </w:rPr>
  </w:style>
  <w:style w:type="character" w:customStyle="1" w:styleId="Heading8Char">
    <w:name w:val="Heading 8 Char"/>
    <w:link w:val="Heading8"/>
    <w:uiPriority w:val="9"/>
    <w:rsid w:val="00113A14"/>
    <w:rPr>
      <w:color w:val="6D6D6D"/>
      <w:kern w:val="0"/>
      <w:sz w:val="20"/>
    </w:rPr>
  </w:style>
  <w:style w:type="character" w:customStyle="1" w:styleId="Heading9Char">
    <w:name w:val="Heading 9 Char"/>
    <w:link w:val="Heading9"/>
    <w:uiPriority w:val="9"/>
    <w:rsid w:val="00113A14"/>
    <w:rPr>
      <w:color w:val="6D6D6D"/>
      <w:kern w:val="0"/>
      <w:sz w:val="20"/>
    </w:rPr>
  </w:style>
  <w:style w:type="paragraph" w:styleId="IntenseQuote">
    <w:name w:val="Intense Quote"/>
    <w:basedOn w:val="Normal"/>
    <w:next w:val="Normal"/>
    <w:link w:val="IntenseQuoteChar"/>
    <w:uiPriority w:val="30"/>
    <w:qFormat/>
    <w:rsid w:val="00DE471C"/>
    <w:pPr>
      <w:pBdr>
        <w:top w:val="single" w:sz="4" w:space="10" w:color="auto"/>
        <w:left w:val="single" w:sz="4" w:space="4" w:color="auto"/>
        <w:bottom w:val="single" w:sz="4" w:space="10" w:color="auto"/>
        <w:right w:val="single" w:sz="4" w:space="4" w:color="auto"/>
      </w:pBdr>
      <w:spacing w:before="360" w:after="360"/>
      <w:ind w:left="864" w:right="864"/>
      <w:jc w:val="center"/>
    </w:pPr>
    <w:rPr>
      <w:i/>
      <w:iCs/>
    </w:rPr>
  </w:style>
  <w:style w:type="character" w:customStyle="1" w:styleId="IntenseQuoteChar">
    <w:name w:val="Intense Quote Char"/>
    <w:link w:val="IntenseQuote"/>
    <w:uiPriority w:val="30"/>
    <w:rsid w:val="00DE471C"/>
    <w:rPr>
      <w:rFonts w:ascii="Arial" w:hAnsi="Arial"/>
      <w:i/>
      <w:iCs/>
      <w:sz w:val="20"/>
    </w:rPr>
  </w:style>
  <w:style w:type="paragraph" w:styleId="Title">
    <w:name w:val="Title"/>
    <w:basedOn w:val="Normal"/>
    <w:link w:val="TitleChar"/>
    <w:uiPriority w:val="10"/>
    <w:qFormat/>
    <w:rsid w:val="00AA2EE8"/>
    <w:pPr>
      <w:spacing w:line="600" w:lineRule="exact"/>
      <w:ind w:firstLine="0"/>
    </w:pPr>
    <w:rPr>
      <w:rFonts w:cs="Calibri"/>
      <w:b/>
      <w:bCs/>
      <w:color w:val="FFFFFF"/>
      <w:sz w:val="68"/>
      <w:szCs w:val="68"/>
    </w:rPr>
  </w:style>
  <w:style w:type="character" w:customStyle="1" w:styleId="TitleChar">
    <w:name w:val="Title Char"/>
    <w:link w:val="Title"/>
    <w:uiPriority w:val="10"/>
    <w:rsid w:val="00AA2EE8"/>
    <w:rPr>
      <w:rFonts w:cs="Calibri"/>
      <w:b/>
      <w:bCs/>
      <w:color w:val="FFFFFF"/>
      <w:kern w:val="0"/>
      <w:sz w:val="68"/>
      <w:szCs w:val="68"/>
    </w:rPr>
  </w:style>
  <w:style w:type="paragraph" w:styleId="Header">
    <w:name w:val="header"/>
    <w:basedOn w:val="Normal"/>
    <w:link w:val="HeaderChar"/>
    <w:uiPriority w:val="99"/>
    <w:unhideWhenUsed/>
    <w:rsid w:val="00E47096"/>
    <w:pPr>
      <w:tabs>
        <w:tab w:val="center" w:pos="4513"/>
        <w:tab w:val="right" w:pos="9026"/>
      </w:tabs>
      <w:spacing w:line="240" w:lineRule="auto"/>
    </w:pPr>
    <w:rPr>
      <w:sz w:val="14"/>
      <w:szCs w:val="14"/>
    </w:rPr>
  </w:style>
  <w:style w:type="character" w:customStyle="1" w:styleId="HeaderChar">
    <w:name w:val="Header Char"/>
    <w:link w:val="Header"/>
    <w:uiPriority w:val="99"/>
    <w:rsid w:val="00E47096"/>
    <w:rPr>
      <w:color w:val="6D6D6D"/>
      <w:kern w:val="0"/>
      <w:sz w:val="14"/>
      <w:szCs w:val="14"/>
    </w:rPr>
  </w:style>
  <w:style w:type="paragraph" w:styleId="Footer">
    <w:name w:val="footer"/>
    <w:basedOn w:val="Normal"/>
    <w:link w:val="FooterChar"/>
    <w:uiPriority w:val="99"/>
    <w:unhideWhenUsed/>
    <w:rsid w:val="00A35014"/>
    <w:pPr>
      <w:tabs>
        <w:tab w:val="right" w:pos="7995"/>
      </w:tabs>
      <w:spacing w:after="120" w:line="240" w:lineRule="auto"/>
      <w:ind w:firstLine="0"/>
    </w:pPr>
    <w:rPr>
      <w:b/>
      <w:bCs/>
      <w:color w:val="262262"/>
      <w:spacing w:val="-2"/>
      <w:sz w:val="14"/>
      <w:szCs w:val="14"/>
    </w:rPr>
  </w:style>
  <w:style w:type="character" w:customStyle="1" w:styleId="FooterChar">
    <w:name w:val="Footer Char"/>
    <w:link w:val="Footer"/>
    <w:uiPriority w:val="99"/>
    <w:rsid w:val="00A35014"/>
    <w:rPr>
      <w:b/>
      <w:bCs/>
      <w:color w:val="262262"/>
      <w:spacing w:val="-2"/>
      <w:sz w:val="14"/>
      <w:szCs w:val="14"/>
    </w:rPr>
  </w:style>
  <w:style w:type="character" w:customStyle="1" w:styleId="Heading3Char">
    <w:name w:val="Heading 3 Char"/>
    <w:link w:val="Heading3"/>
    <w:uiPriority w:val="9"/>
    <w:rsid w:val="00A07E9A"/>
    <w:rPr>
      <w:b/>
      <w:kern w:val="0"/>
      <w:sz w:val="20"/>
    </w:rPr>
  </w:style>
  <w:style w:type="character" w:styleId="Hyperlink">
    <w:name w:val="Hyperlink"/>
    <w:uiPriority w:val="99"/>
    <w:unhideWhenUsed/>
    <w:rsid w:val="002C7F84"/>
    <w:rPr>
      <w:color w:val="00B9F2"/>
      <w:u w:val="single"/>
    </w:rPr>
  </w:style>
  <w:style w:type="character" w:styleId="UnresolvedMention">
    <w:name w:val="Unresolved Mention"/>
    <w:uiPriority w:val="99"/>
    <w:semiHidden/>
    <w:unhideWhenUsed/>
    <w:rsid w:val="002C7F84"/>
    <w:rPr>
      <w:color w:val="605E5C"/>
      <w:shd w:val="clear" w:color="auto" w:fill="E1DFDD"/>
    </w:rPr>
  </w:style>
  <w:style w:type="paragraph" w:customStyle="1" w:styleId="Address">
    <w:name w:val="Address"/>
    <w:basedOn w:val="Normal"/>
    <w:qFormat/>
    <w:rsid w:val="00CC3F0A"/>
    <w:pPr>
      <w:spacing w:line="240" w:lineRule="auto"/>
    </w:pPr>
    <w:rPr>
      <w:color w:val="949598"/>
      <w:spacing w:val="-2"/>
      <w:sz w:val="14"/>
      <w:szCs w:val="14"/>
    </w:rPr>
  </w:style>
  <w:style w:type="paragraph" w:styleId="Signature">
    <w:name w:val="Signature"/>
    <w:basedOn w:val="Normal"/>
    <w:link w:val="SignatureChar"/>
    <w:uiPriority w:val="99"/>
    <w:unhideWhenUsed/>
    <w:rsid w:val="008B3FAA"/>
    <w:rPr>
      <w:color w:val="auto"/>
    </w:rPr>
  </w:style>
  <w:style w:type="character" w:customStyle="1" w:styleId="SignatureChar">
    <w:name w:val="Signature Char"/>
    <w:link w:val="Signature"/>
    <w:uiPriority w:val="99"/>
    <w:rsid w:val="008B3FAA"/>
    <w:rPr>
      <w:kern w:val="0"/>
      <w:sz w:val="20"/>
    </w:rPr>
  </w:style>
  <w:style w:type="table" w:styleId="TableGrid">
    <w:name w:val="Table Grid"/>
    <w:basedOn w:val="TableNormal"/>
    <w:uiPriority w:val="39"/>
    <w:rsid w:val="000778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tro">
    <w:name w:val="Intro"/>
    <w:basedOn w:val="Normal"/>
    <w:qFormat/>
    <w:rsid w:val="00AA2EE8"/>
    <w:pPr>
      <w:adjustRightInd w:val="0"/>
      <w:spacing w:line="240" w:lineRule="auto"/>
      <w:ind w:firstLine="0"/>
    </w:pPr>
    <w:rPr>
      <w:rFonts w:cs="Calibri"/>
      <w:color w:val="FFFFFF"/>
    </w:rPr>
  </w:style>
  <w:style w:type="paragraph" w:customStyle="1" w:styleId="AN">
    <w:name w:val="AN"/>
    <w:basedOn w:val="Normal"/>
    <w:qFormat/>
    <w:rsid w:val="00F46AB6"/>
    <w:pPr>
      <w:adjustRightInd w:val="0"/>
      <w:spacing w:line="940" w:lineRule="exact"/>
      <w:ind w:firstLine="0"/>
      <w:jc w:val="right"/>
    </w:pPr>
    <w:rPr>
      <w:rFonts w:cs="Calibri"/>
      <w:b/>
      <w:bCs/>
      <w:color w:val="FFFFFF"/>
      <w:position w:val="-12"/>
      <w:sz w:val="88"/>
      <w:szCs w:val="88"/>
    </w:rPr>
  </w:style>
  <w:style w:type="paragraph" w:customStyle="1" w:styleId="TOC">
    <w:name w:val="TOC"/>
    <w:basedOn w:val="Normal"/>
    <w:qFormat/>
    <w:rsid w:val="00AA2EE8"/>
    <w:pPr>
      <w:spacing w:after="480" w:line="240" w:lineRule="auto"/>
      <w:ind w:left="-567" w:firstLine="0"/>
    </w:pPr>
    <w:rPr>
      <w:b/>
      <w:bCs/>
      <w:color w:val="262262"/>
      <w:sz w:val="54"/>
      <w:szCs w:val="54"/>
    </w:rPr>
  </w:style>
  <w:style w:type="paragraph" w:styleId="TOC1">
    <w:name w:val="toc 1"/>
    <w:basedOn w:val="Normal"/>
    <w:next w:val="Normal"/>
    <w:autoRedefine/>
    <w:uiPriority w:val="39"/>
    <w:unhideWhenUsed/>
    <w:rsid w:val="009E3553"/>
    <w:pPr>
      <w:tabs>
        <w:tab w:val="left" w:pos="-284"/>
        <w:tab w:val="left" w:pos="-142"/>
        <w:tab w:val="right" w:leader="dot" w:pos="9202"/>
      </w:tabs>
      <w:ind w:left="-567" w:firstLine="0"/>
    </w:pPr>
    <w:rPr>
      <w:b/>
      <w:bCs/>
      <w:color w:val="262262"/>
    </w:rPr>
  </w:style>
  <w:style w:type="paragraph" w:styleId="TOC2">
    <w:name w:val="toc 2"/>
    <w:basedOn w:val="Normal"/>
    <w:next w:val="Normal"/>
    <w:autoRedefine/>
    <w:uiPriority w:val="39"/>
    <w:unhideWhenUsed/>
    <w:rsid w:val="009E3553"/>
    <w:pPr>
      <w:ind w:left="-567" w:firstLine="0"/>
    </w:pPr>
    <w:rPr>
      <w:sz w:val="20"/>
    </w:rPr>
  </w:style>
  <w:style w:type="paragraph" w:styleId="MessageHeader">
    <w:name w:val="Message Header"/>
    <w:basedOn w:val="Normal"/>
    <w:link w:val="MessageHeaderChar"/>
    <w:uiPriority w:val="99"/>
    <w:unhideWhenUsed/>
    <w:rsid w:val="00140EC6"/>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Calibri Light" w:eastAsia="DengXian Light" w:hAnsi="Calibri Light"/>
      <w:sz w:val="24"/>
      <w:szCs w:val="24"/>
    </w:rPr>
  </w:style>
  <w:style w:type="character" w:customStyle="1" w:styleId="MessageHeaderChar">
    <w:name w:val="Message Header Char"/>
    <w:link w:val="MessageHeader"/>
    <w:uiPriority w:val="99"/>
    <w:rsid w:val="00140EC6"/>
    <w:rPr>
      <w:rFonts w:ascii="Calibri Light" w:eastAsia="DengXian Light" w:hAnsi="Calibri Light" w:cs="Times New Roman"/>
      <w:color w:val="6D6D6D"/>
      <w:kern w:val="0"/>
      <w:sz w:val="24"/>
      <w:szCs w:val="24"/>
      <w:shd w:val="pct20" w:color="auto" w:fill="auto"/>
    </w:rPr>
  </w:style>
  <w:style w:type="paragraph" w:styleId="ListParagraph">
    <w:name w:val="List Paragraph"/>
    <w:basedOn w:val="Normal"/>
    <w:uiPriority w:val="34"/>
    <w:qFormat/>
    <w:rsid w:val="0041636F"/>
    <w:pPr>
      <w:ind w:left="720"/>
      <w:contextualSpacing/>
    </w:pPr>
  </w:style>
  <w:style w:type="paragraph" w:customStyle="1" w:styleId="ntocmitde">
    <w:name w:val="întocmit de"/>
    <w:basedOn w:val="Normal"/>
    <w:qFormat/>
    <w:rsid w:val="0041636F"/>
    <w:pPr>
      <w:spacing w:before="1000"/>
      <w:ind w:left="618"/>
    </w:pPr>
  </w:style>
  <w:style w:type="paragraph" w:customStyle="1" w:styleId="Table">
    <w:name w:val="Table"/>
    <w:basedOn w:val="Normal"/>
    <w:qFormat/>
    <w:rsid w:val="0082358A"/>
    <w:pPr>
      <w:snapToGrid w:val="0"/>
      <w:spacing w:before="60" w:after="60" w:line="204" w:lineRule="auto"/>
      <w:ind w:firstLine="0"/>
      <w:contextualSpacing/>
    </w:pPr>
  </w:style>
  <w:style w:type="paragraph" w:customStyle="1" w:styleId="Leganda">
    <w:name w:val="Leganda"/>
    <w:basedOn w:val="Normal"/>
    <w:qFormat/>
    <w:rsid w:val="00670781"/>
    <w:pPr>
      <w:snapToGrid w:val="0"/>
      <w:spacing w:before="120" w:after="120" w:line="240" w:lineRule="auto"/>
      <w:ind w:firstLine="0"/>
      <w:contextualSpacing/>
    </w:pPr>
    <w:rPr>
      <w:color w:val="949598"/>
      <w:sz w:val="14"/>
      <w:szCs w:val="20"/>
    </w:rPr>
  </w:style>
  <w:style w:type="paragraph" w:customStyle="1" w:styleId="Addres2">
    <w:name w:val="Addres 2"/>
    <w:basedOn w:val="Normal"/>
    <w:qFormat/>
    <w:rsid w:val="00B32CC0"/>
    <w:pPr>
      <w:spacing w:line="319" w:lineRule="auto"/>
      <w:ind w:firstLine="0"/>
    </w:pPr>
    <w:rPr>
      <w:color w:val="FFFFFF"/>
      <w:sz w:val="14"/>
      <w:szCs w:val="16"/>
    </w:rPr>
  </w:style>
  <w:style w:type="paragraph" w:styleId="BalloonText">
    <w:name w:val="Balloon Text"/>
    <w:basedOn w:val="Normal"/>
    <w:link w:val="BalloonTextChar"/>
    <w:uiPriority w:val="99"/>
    <w:semiHidden/>
    <w:unhideWhenUsed/>
    <w:rsid w:val="005A4CEE"/>
    <w:pPr>
      <w:spacing w:line="240" w:lineRule="auto"/>
    </w:pPr>
    <w:rPr>
      <w:rFonts w:ascii="Segoe UI" w:hAnsi="Segoe UI" w:cs="Segoe UI"/>
      <w:sz w:val="18"/>
      <w:szCs w:val="18"/>
    </w:rPr>
  </w:style>
  <w:style w:type="character" w:customStyle="1" w:styleId="BalloonTextChar">
    <w:name w:val="Balloon Text Char"/>
    <w:link w:val="BalloonText"/>
    <w:uiPriority w:val="99"/>
    <w:semiHidden/>
    <w:rsid w:val="005A4CEE"/>
    <w:rPr>
      <w:rFonts w:ascii="Segoe UI" w:hAnsi="Segoe UI" w:cs="Segoe UI"/>
      <w:color w:val="6D6D6D"/>
      <w:sz w:val="18"/>
      <w:szCs w:val="18"/>
      <w:lang w:val="ro-RO" w:eastAsia="zh-CN"/>
    </w:rPr>
  </w:style>
  <w:style w:type="table" w:customStyle="1" w:styleId="TableGrid1">
    <w:name w:val="Table Grid1"/>
    <w:basedOn w:val="TableNormal"/>
    <w:next w:val="TableGrid"/>
    <w:uiPriority w:val="39"/>
    <w:rsid w:val="0086676A"/>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aliases w:val="Char"/>
    <w:basedOn w:val="Normal"/>
    <w:link w:val="FootnoteTextChar"/>
    <w:uiPriority w:val="99"/>
    <w:semiHidden/>
    <w:rsid w:val="009F661E"/>
    <w:pPr>
      <w:spacing w:line="240" w:lineRule="auto"/>
      <w:ind w:firstLine="0"/>
    </w:pPr>
    <w:rPr>
      <w:rFonts w:ascii="Times New Roman" w:eastAsia="Times New Roman" w:hAnsi="Times New Roman"/>
      <w:color w:val="auto"/>
      <w:szCs w:val="20"/>
      <w:lang w:val="en-US" w:eastAsia="en-US"/>
    </w:rPr>
  </w:style>
  <w:style w:type="character" w:customStyle="1" w:styleId="FootnoteTextChar">
    <w:name w:val="Footnote Text Char"/>
    <w:aliases w:val="Char Char"/>
    <w:link w:val="FootnoteText"/>
    <w:uiPriority w:val="99"/>
    <w:semiHidden/>
    <w:rsid w:val="009F661E"/>
    <w:rPr>
      <w:rFonts w:ascii="Times New Roman" w:eastAsia="Times New Roman" w:hAnsi="Times New Roman"/>
    </w:rPr>
  </w:style>
  <w:style w:type="character" w:styleId="FootnoteReference">
    <w:name w:val="footnote reference"/>
    <w:uiPriority w:val="99"/>
    <w:semiHidden/>
    <w:unhideWhenUsed/>
    <w:rsid w:val="009F661E"/>
    <w:rPr>
      <w:vertAlign w:val="superscript"/>
    </w:rPr>
  </w:style>
  <w:style w:type="paragraph" w:styleId="NormalWeb">
    <w:name w:val="Normal (Web)"/>
    <w:basedOn w:val="Normal"/>
    <w:uiPriority w:val="99"/>
    <w:semiHidden/>
    <w:unhideWhenUsed/>
    <w:rsid w:val="00184CE8"/>
    <w:pPr>
      <w:spacing w:before="100" w:beforeAutospacing="1" w:after="100" w:afterAutospacing="1" w:line="240" w:lineRule="auto"/>
      <w:ind w:firstLine="0"/>
    </w:pPr>
    <w:rPr>
      <w:rFonts w:ascii="Times New Roman" w:eastAsia="Times New Roman" w:hAnsi="Times New Roman"/>
      <w:color w:val="auto"/>
      <w:sz w:val="24"/>
      <w:szCs w:val="24"/>
      <w:lang w:val="en-US" w:eastAsia="en-US"/>
    </w:rPr>
  </w:style>
  <w:style w:type="paragraph" w:customStyle="1" w:styleId="Default">
    <w:name w:val="Default"/>
    <w:rsid w:val="00812EF9"/>
    <w:pPr>
      <w:autoSpaceDE w:val="0"/>
      <w:autoSpaceDN w:val="0"/>
      <w:adjustRightInd w:val="0"/>
    </w:pPr>
    <w:rPr>
      <w:rFonts w:ascii="Times New Roman" w:eastAsia="Calibri" w:hAnsi="Times New Roman"/>
      <w:color w:val="000000"/>
      <w:sz w:val="24"/>
      <w:szCs w:val="24"/>
      <w:lang w:val="en-US" w:eastAsia="en-US"/>
    </w:rPr>
  </w:style>
  <w:style w:type="character" w:customStyle="1" w:styleId="moreellipses">
    <w:name w:val="moreellipses"/>
    <w:rsid w:val="007F3E52"/>
  </w:style>
  <w:style w:type="character" w:customStyle="1" w:styleId="authmorecontent">
    <w:name w:val="auth_morecontent"/>
    <w:rsid w:val="007F3E52"/>
  </w:style>
  <w:style w:type="paragraph" w:styleId="EndnoteText">
    <w:name w:val="endnote text"/>
    <w:basedOn w:val="Normal"/>
    <w:link w:val="EndnoteTextChar"/>
    <w:uiPriority w:val="99"/>
    <w:semiHidden/>
    <w:unhideWhenUsed/>
    <w:rsid w:val="00617033"/>
    <w:rPr>
      <w:szCs w:val="20"/>
    </w:rPr>
  </w:style>
  <w:style w:type="character" w:customStyle="1" w:styleId="EndnoteTextChar">
    <w:name w:val="Endnote Text Char"/>
    <w:link w:val="EndnoteText"/>
    <w:uiPriority w:val="99"/>
    <w:semiHidden/>
    <w:rsid w:val="00617033"/>
    <w:rPr>
      <w:color w:val="6D6D6D"/>
      <w:lang w:val="ro-RO" w:eastAsia="zh-CN"/>
    </w:rPr>
  </w:style>
  <w:style w:type="character" w:styleId="EndnoteReference">
    <w:name w:val="endnote reference"/>
    <w:uiPriority w:val="99"/>
    <w:semiHidden/>
    <w:unhideWhenUsed/>
    <w:rsid w:val="00617033"/>
    <w:rPr>
      <w:vertAlign w:val="superscript"/>
    </w:rPr>
  </w:style>
  <w:style w:type="paragraph" w:customStyle="1" w:styleId="yiv2899977542msonormal">
    <w:name w:val="yiv2899977542msonormal"/>
    <w:basedOn w:val="Normal"/>
    <w:rsid w:val="00EC126E"/>
    <w:pPr>
      <w:spacing w:before="100" w:beforeAutospacing="1" w:after="100" w:afterAutospacing="1" w:line="240" w:lineRule="auto"/>
      <w:ind w:firstLine="0"/>
    </w:pPr>
    <w:rPr>
      <w:rFonts w:ascii="Times New Roman" w:eastAsia="Calibri" w:hAnsi="Times New Roman"/>
      <w:color w:val="auto"/>
      <w:sz w:val="24"/>
      <w:szCs w:val="24"/>
      <w:lang w:val="en-US" w:eastAsia="en-US"/>
    </w:rPr>
  </w:style>
  <w:style w:type="paragraph" w:styleId="TOCHeading">
    <w:name w:val="TOC Heading"/>
    <w:basedOn w:val="Heading1"/>
    <w:next w:val="Normal"/>
    <w:uiPriority w:val="39"/>
    <w:unhideWhenUsed/>
    <w:qFormat/>
    <w:rsid w:val="00D64492"/>
    <w:pPr>
      <w:numPr>
        <w:numId w:val="0"/>
      </w:numPr>
      <w:tabs>
        <w:tab w:val="clear" w:pos="142"/>
        <w:tab w:val="clear" w:pos="284"/>
        <w:tab w:val="clear" w:pos="426"/>
      </w:tabs>
      <w:snapToGrid/>
      <w:spacing w:before="240" w:after="0" w:line="259" w:lineRule="auto"/>
      <w:contextualSpacing w:val="0"/>
      <w:outlineLvl w:val="9"/>
    </w:pPr>
    <w:rPr>
      <w:rFonts w:ascii="Calibri Light" w:eastAsia="Times New Roman" w:hAnsi="Calibri Light"/>
      <w:b w:val="0"/>
      <w:bCs w:val="0"/>
      <w:color w:val="2E74B5"/>
      <w:sz w:val="32"/>
      <w:szCs w:val="32"/>
      <w:lang w:val="en-US" w:eastAsia="en-US"/>
    </w:rPr>
  </w:style>
  <w:style w:type="paragraph" w:styleId="TOC3">
    <w:name w:val="toc 3"/>
    <w:basedOn w:val="Normal"/>
    <w:next w:val="Normal"/>
    <w:autoRedefine/>
    <w:uiPriority w:val="39"/>
    <w:unhideWhenUsed/>
    <w:rsid w:val="009E3553"/>
    <w:pPr>
      <w:spacing w:line="319" w:lineRule="auto"/>
      <w:ind w:left="144" w:firstLine="173"/>
    </w:pPr>
    <w:rPr>
      <w:sz w:val="20"/>
    </w:rPr>
  </w:style>
  <w:style w:type="character" w:customStyle="1" w:styleId="js-calendar1">
    <w:name w:val="js-calendar1"/>
    <w:rsid w:val="00FD740C"/>
    <w:rPr>
      <w:b/>
      <w:bCs/>
      <w:color w:val="008000"/>
    </w:rPr>
  </w:style>
  <w:style w:type="paragraph" w:customStyle="1" w:styleId="al">
    <w:name w:val="a_l"/>
    <w:basedOn w:val="Normal"/>
    <w:rsid w:val="00BF41D2"/>
    <w:pPr>
      <w:spacing w:line="240" w:lineRule="auto"/>
      <w:ind w:firstLine="0"/>
      <w:jc w:val="both"/>
    </w:pPr>
    <w:rPr>
      <w:rFonts w:ascii="Times New Roman" w:eastAsia="Times New Roman" w:hAnsi="Times New Roman"/>
      <w:color w:val="auto"/>
      <w:sz w:val="24"/>
      <w:szCs w:val="24"/>
      <w:lang w:val="en-US" w:eastAsia="en-US"/>
    </w:rPr>
  </w:style>
  <w:style w:type="character" w:styleId="FollowedHyperlink">
    <w:name w:val="FollowedHyperlink"/>
    <w:uiPriority w:val="99"/>
    <w:semiHidden/>
    <w:unhideWhenUsed/>
    <w:rsid w:val="000F3915"/>
    <w:rPr>
      <w:color w:val="954F72"/>
      <w:u w:val="single"/>
    </w:rPr>
  </w:style>
  <w:style w:type="paragraph" w:styleId="Caption">
    <w:name w:val="caption"/>
    <w:basedOn w:val="Normal"/>
    <w:next w:val="Normal"/>
    <w:uiPriority w:val="35"/>
    <w:unhideWhenUsed/>
    <w:qFormat/>
    <w:rsid w:val="004E0D48"/>
    <w:pPr>
      <w:spacing w:line="319" w:lineRule="auto"/>
      <w:ind w:firstLine="0"/>
    </w:pPr>
    <w:rPr>
      <w:b/>
      <w:bCs/>
      <w:color w:val="auto"/>
      <w:sz w:val="20"/>
      <w:szCs w:val="20"/>
    </w:rPr>
  </w:style>
  <w:style w:type="paragraph" w:customStyle="1" w:styleId="EndNoteBibliographyTitle">
    <w:name w:val="EndNote Bibliography Title"/>
    <w:basedOn w:val="Normal"/>
    <w:link w:val="EndNoteBibliographyTitleChar"/>
    <w:rsid w:val="004E0D48"/>
    <w:pPr>
      <w:spacing w:line="319" w:lineRule="auto"/>
      <w:ind w:firstLine="0"/>
      <w:jc w:val="center"/>
    </w:pPr>
    <w:rPr>
      <w:rFonts w:cs="Calibri"/>
      <w:noProof/>
      <w:color w:val="auto"/>
      <w:sz w:val="24"/>
    </w:rPr>
  </w:style>
  <w:style w:type="character" w:customStyle="1" w:styleId="EndNoteBibliographyTitleChar">
    <w:name w:val="EndNote Bibliography Title Char"/>
    <w:link w:val="EndNoteBibliographyTitle"/>
    <w:rsid w:val="004E0D48"/>
    <w:rPr>
      <w:rFonts w:cs="Calibri"/>
      <w:noProof/>
      <w:sz w:val="24"/>
      <w:szCs w:val="22"/>
      <w:lang w:eastAsia="zh-CN"/>
    </w:rPr>
  </w:style>
  <w:style w:type="paragraph" w:customStyle="1" w:styleId="EndNoteBibliography">
    <w:name w:val="EndNote Bibliography"/>
    <w:basedOn w:val="Normal"/>
    <w:link w:val="EndNoteBibliographyChar"/>
    <w:rsid w:val="004E0D48"/>
    <w:pPr>
      <w:spacing w:line="240" w:lineRule="auto"/>
      <w:ind w:firstLine="0"/>
    </w:pPr>
    <w:rPr>
      <w:rFonts w:cs="Calibri"/>
      <w:noProof/>
      <w:color w:val="auto"/>
      <w:sz w:val="24"/>
    </w:rPr>
  </w:style>
  <w:style w:type="character" w:customStyle="1" w:styleId="EndNoteBibliographyChar">
    <w:name w:val="EndNote Bibliography Char"/>
    <w:link w:val="EndNoteBibliography"/>
    <w:rsid w:val="004E0D48"/>
    <w:rPr>
      <w:rFonts w:cs="Calibri"/>
      <w:noProof/>
      <w:sz w:val="24"/>
      <w:szCs w:val="22"/>
      <w:lang w:eastAsia="zh-CN"/>
    </w:rPr>
  </w:style>
  <w:style w:type="character" w:customStyle="1" w:styleId="Footnote">
    <w:name w:val="Footnote_"/>
    <w:link w:val="Footnote0"/>
    <w:rsid w:val="004E0D48"/>
    <w:rPr>
      <w:rFonts w:ascii="Arial Narrow" w:eastAsia="Arial Narrow" w:hAnsi="Arial Narrow" w:cs="Arial Narrow"/>
      <w:shd w:val="clear" w:color="auto" w:fill="FFFFFF"/>
    </w:rPr>
  </w:style>
  <w:style w:type="paragraph" w:customStyle="1" w:styleId="Footnote0">
    <w:name w:val="Footnote"/>
    <w:basedOn w:val="Normal"/>
    <w:link w:val="Footnote"/>
    <w:rsid w:val="004E0D48"/>
    <w:pPr>
      <w:widowControl w:val="0"/>
      <w:shd w:val="clear" w:color="auto" w:fill="FFFFFF"/>
      <w:spacing w:line="290" w:lineRule="auto"/>
      <w:ind w:firstLine="0"/>
    </w:pPr>
    <w:rPr>
      <w:rFonts w:ascii="Arial Narrow" w:eastAsia="Arial Narrow" w:hAnsi="Arial Narrow" w:cs="Arial Narrow"/>
      <w:color w:val="auto"/>
      <w:sz w:val="20"/>
      <w:szCs w:val="20"/>
      <w:lang w:val="en-US" w:eastAsia="en-US"/>
    </w:rPr>
  </w:style>
  <w:style w:type="paragraph" w:styleId="Revision">
    <w:name w:val="Revision"/>
    <w:hidden/>
    <w:uiPriority w:val="99"/>
    <w:semiHidden/>
    <w:rsid w:val="004E0D48"/>
    <w:rPr>
      <w:sz w:val="24"/>
      <w:szCs w:val="22"/>
      <w:lang w:eastAsia="zh-CN"/>
    </w:rPr>
  </w:style>
  <w:style w:type="character" w:styleId="CommentReference">
    <w:name w:val="annotation reference"/>
    <w:uiPriority w:val="99"/>
    <w:semiHidden/>
    <w:unhideWhenUsed/>
    <w:rsid w:val="004E0D48"/>
    <w:rPr>
      <w:sz w:val="16"/>
      <w:szCs w:val="16"/>
    </w:rPr>
  </w:style>
  <w:style w:type="paragraph" w:styleId="CommentText">
    <w:name w:val="annotation text"/>
    <w:basedOn w:val="Normal"/>
    <w:link w:val="CommentTextChar"/>
    <w:uiPriority w:val="99"/>
    <w:unhideWhenUsed/>
    <w:rsid w:val="004E0D48"/>
    <w:pPr>
      <w:spacing w:line="240" w:lineRule="auto"/>
      <w:ind w:firstLine="0"/>
    </w:pPr>
    <w:rPr>
      <w:color w:val="auto"/>
      <w:sz w:val="20"/>
      <w:szCs w:val="20"/>
    </w:rPr>
  </w:style>
  <w:style w:type="character" w:customStyle="1" w:styleId="CommentTextChar">
    <w:name w:val="Comment Text Char"/>
    <w:link w:val="CommentText"/>
    <w:uiPriority w:val="99"/>
    <w:rsid w:val="004E0D48"/>
    <w:rPr>
      <w:lang w:val="ro-RO" w:eastAsia="zh-CN"/>
    </w:rPr>
  </w:style>
  <w:style w:type="paragraph" w:styleId="CommentSubject">
    <w:name w:val="annotation subject"/>
    <w:basedOn w:val="CommentText"/>
    <w:next w:val="CommentText"/>
    <w:link w:val="CommentSubjectChar"/>
    <w:uiPriority w:val="99"/>
    <w:semiHidden/>
    <w:unhideWhenUsed/>
    <w:rsid w:val="004E0D48"/>
    <w:rPr>
      <w:b/>
      <w:bCs/>
    </w:rPr>
  </w:style>
  <w:style w:type="character" w:customStyle="1" w:styleId="CommentSubjectChar">
    <w:name w:val="Comment Subject Char"/>
    <w:link w:val="CommentSubject"/>
    <w:uiPriority w:val="99"/>
    <w:semiHidden/>
    <w:rsid w:val="004E0D48"/>
    <w:rPr>
      <w:b/>
      <w:bCs/>
      <w:lang w:val="ro-RO" w:eastAsia="zh-CN"/>
    </w:rPr>
  </w:style>
  <w:style w:type="paragraph" w:styleId="TableofFigures">
    <w:name w:val="table of figures"/>
    <w:basedOn w:val="Normal"/>
    <w:next w:val="Normal"/>
    <w:uiPriority w:val="99"/>
    <w:unhideWhenUsed/>
    <w:rsid w:val="00725E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167845">
      <w:bodyDiv w:val="1"/>
      <w:marLeft w:val="0"/>
      <w:marRight w:val="0"/>
      <w:marTop w:val="0"/>
      <w:marBottom w:val="0"/>
      <w:divBdr>
        <w:top w:val="none" w:sz="0" w:space="0" w:color="auto"/>
        <w:left w:val="none" w:sz="0" w:space="0" w:color="auto"/>
        <w:bottom w:val="none" w:sz="0" w:space="0" w:color="auto"/>
        <w:right w:val="none" w:sz="0" w:space="0" w:color="auto"/>
      </w:divBdr>
      <w:divsChild>
        <w:div w:id="1150172364">
          <w:marLeft w:val="0"/>
          <w:marRight w:val="0"/>
          <w:marTop w:val="0"/>
          <w:marBottom w:val="0"/>
          <w:divBdr>
            <w:top w:val="none" w:sz="0" w:space="0" w:color="auto"/>
            <w:left w:val="none" w:sz="0" w:space="0" w:color="auto"/>
            <w:bottom w:val="none" w:sz="0" w:space="0" w:color="auto"/>
            <w:right w:val="none" w:sz="0" w:space="0" w:color="auto"/>
          </w:divBdr>
        </w:div>
      </w:divsChild>
    </w:div>
    <w:div w:id="317535219">
      <w:bodyDiv w:val="1"/>
      <w:marLeft w:val="0"/>
      <w:marRight w:val="0"/>
      <w:marTop w:val="0"/>
      <w:marBottom w:val="0"/>
      <w:divBdr>
        <w:top w:val="none" w:sz="0" w:space="0" w:color="auto"/>
        <w:left w:val="none" w:sz="0" w:space="0" w:color="auto"/>
        <w:bottom w:val="none" w:sz="0" w:space="0" w:color="auto"/>
        <w:right w:val="none" w:sz="0" w:space="0" w:color="auto"/>
      </w:divBdr>
    </w:div>
    <w:div w:id="484474284">
      <w:bodyDiv w:val="1"/>
      <w:marLeft w:val="0"/>
      <w:marRight w:val="0"/>
      <w:marTop w:val="0"/>
      <w:marBottom w:val="0"/>
      <w:divBdr>
        <w:top w:val="none" w:sz="0" w:space="0" w:color="auto"/>
        <w:left w:val="none" w:sz="0" w:space="0" w:color="auto"/>
        <w:bottom w:val="none" w:sz="0" w:space="0" w:color="auto"/>
        <w:right w:val="none" w:sz="0" w:space="0" w:color="auto"/>
      </w:divBdr>
    </w:div>
    <w:div w:id="766850629">
      <w:bodyDiv w:val="1"/>
      <w:marLeft w:val="0"/>
      <w:marRight w:val="0"/>
      <w:marTop w:val="0"/>
      <w:marBottom w:val="0"/>
      <w:divBdr>
        <w:top w:val="none" w:sz="0" w:space="0" w:color="auto"/>
        <w:left w:val="none" w:sz="0" w:space="0" w:color="auto"/>
        <w:bottom w:val="none" w:sz="0" w:space="0" w:color="auto"/>
        <w:right w:val="none" w:sz="0" w:space="0" w:color="auto"/>
      </w:divBdr>
    </w:div>
    <w:div w:id="872351675">
      <w:bodyDiv w:val="1"/>
      <w:marLeft w:val="0"/>
      <w:marRight w:val="0"/>
      <w:marTop w:val="0"/>
      <w:marBottom w:val="0"/>
      <w:divBdr>
        <w:top w:val="none" w:sz="0" w:space="0" w:color="auto"/>
        <w:left w:val="none" w:sz="0" w:space="0" w:color="auto"/>
        <w:bottom w:val="none" w:sz="0" w:space="0" w:color="auto"/>
        <w:right w:val="none" w:sz="0" w:space="0" w:color="auto"/>
      </w:divBdr>
      <w:divsChild>
        <w:div w:id="1484856867">
          <w:marLeft w:val="0"/>
          <w:marRight w:val="0"/>
          <w:marTop w:val="0"/>
          <w:marBottom w:val="0"/>
          <w:divBdr>
            <w:top w:val="none" w:sz="0" w:space="0" w:color="auto"/>
            <w:left w:val="none" w:sz="0" w:space="0" w:color="auto"/>
            <w:bottom w:val="none" w:sz="0" w:space="0" w:color="auto"/>
            <w:right w:val="none" w:sz="0" w:space="0" w:color="auto"/>
          </w:divBdr>
        </w:div>
        <w:div w:id="1920677093">
          <w:marLeft w:val="0"/>
          <w:marRight w:val="0"/>
          <w:marTop w:val="0"/>
          <w:marBottom w:val="0"/>
          <w:divBdr>
            <w:top w:val="none" w:sz="0" w:space="0" w:color="auto"/>
            <w:left w:val="none" w:sz="0" w:space="0" w:color="auto"/>
            <w:bottom w:val="none" w:sz="0" w:space="0" w:color="auto"/>
            <w:right w:val="none" w:sz="0" w:space="0" w:color="auto"/>
          </w:divBdr>
          <w:divsChild>
            <w:div w:id="1572734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6890281">
      <w:bodyDiv w:val="1"/>
      <w:marLeft w:val="0"/>
      <w:marRight w:val="0"/>
      <w:marTop w:val="0"/>
      <w:marBottom w:val="0"/>
      <w:divBdr>
        <w:top w:val="none" w:sz="0" w:space="0" w:color="auto"/>
        <w:left w:val="none" w:sz="0" w:space="0" w:color="auto"/>
        <w:bottom w:val="none" w:sz="0" w:space="0" w:color="auto"/>
        <w:right w:val="none" w:sz="0" w:space="0" w:color="auto"/>
      </w:divBdr>
      <w:divsChild>
        <w:div w:id="247738535">
          <w:marLeft w:val="0"/>
          <w:marRight w:val="0"/>
          <w:marTop w:val="0"/>
          <w:marBottom w:val="0"/>
          <w:divBdr>
            <w:top w:val="none" w:sz="0" w:space="0" w:color="auto"/>
            <w:left w:val="none" w:sz="0" w:space="0" w:color="auto"/>
            <w:bottom w:val="none" w:sz="0" w:space="0" w:color="auto"/>
            <w:right w:val="none" w:sz="0" w:space="0" w:color="auto"/>
          </w:divBdr>
          <w:divsChild>
            <w:div w:id="45616536">
              <w:marLeft w:val="0"/>
              <w:marRight w:val="0"/>
              <w:marTop w:val="0"/>
              <w:marBottom w:val="0"/>
              <w:divBdr>
                <w:top w:val="none" w:sz="0" w:space="0" w:color="auto"/>
                <w:left w:val="none" w:sz="0" w:space="0" w:color="auto"/>
                <w:bottom w:val="none" w:sz="0" w:space="0" w:color="auto"/>
                <w:right w:val="none" w:sz="0" w:space="0" w:color="auto"/>
              </w:divBdr>
            </w:div>
          </w:divsChild>
        </w:div>
        <w:div w:id="317271445">
          <w:marLeft w:val="0"/>
          <w:marRight w:val="0"/>
          <w:marTop w:val="0"/>
          <w:marBottom w:val="0"/>
          <w:divBdr>
            <w:top w:val="none" w:sz="0" w:space="0" w:color="auto"/>
            <w:left w:val="none" w:sz="0" w:space="0" w:color="auto"/>
            <w:bottom w:val="none" w:sz="0" w:space="0" w:color="auto"/>
            <w:right w:val="none" w:sz="0" w:space="0" w:color="auto"/>
          </w:divBdr>
        </w:div>
      </w:divsChild>
    </w:div>
    <w:div w:id="1650864720">
      <w:bodyDiv w:val="1"/>
      <w:marLeft w:val="0"/>
      <w:marRight w:val="0"/>
      <w:marTop w:val="0"/>
      <w:marBottom w:val="0"/>
      <w:divBdr>
        <w:top w:val="none" w:sz="0" w:space="0" w:color="auto"/>
        <w:left w:val="none" w:sz="0" w:space="0" w:color="auto"/>
        <w:bottom w:val="none" w:sz="0" w:space="0" w:color="auto"/>
        <w:right w:val="none" w:sz="0" w:space="0" w:color="auto"/>
      </w:divBdr>
    </w:div>
    <w:div w:id="1712000379">
      <w:bodyDiv w:val="1"/>
      <w:marLeft w:val="0"/>
      <w:marRight w:val="0"/>
      <w:marTop w:val="0"/>
      <w:marBottom w:val="0"/>
      <w:divBdr>
        <w:top w:val="none" w:sz="0" w:space="0" w:color="auto"/>
        <w:left w:val="none" w:sz="0" w:space="0" w:color="auto"/>
        <w:bottom w:val="none" w:sz="0" w:space="0" w:color="auto"/>
        <w:right w:val="none" w:sz="0" w:space="0" w:color="auto"/>
      </w:divBdr>
    </w:div>
    <w:div w:id="1790738163">
      <w:bodyDiv w:val="1"/>
      <w:marLeft w:val="0"/>
      <w:marRight w:val="0"/>
      <w:marTop w:val="0"/>
      <w:marBottom w:val="0"/>
      <w:divBdr>
        <w:top w:val="none" w:sz="0" w:space="0" w:color="auto"/>
        <w:left w:val="none" w:sz="0" w:space="0" w:color="auto"/>
        <w:bottom w:val="none" w:sz="0" w:space="0" w:color="auto"/>
        <w:right w:val="none" w:sz="0" w:space="0" w:color="auto"/>
      </w:divBdr>
    </w:div>
    <w:div w:id="1932543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chart" Target="charts/chart19.xml"/><Relationship Id="rId117" Type="http://schemas.openxmlformats.org/officeDocument/2006/relationships/hyperlink" Target="https://www.who.int/publications/m/item/tobacco-2025-romania-country-profile" TargetMode="External"/><Relationship Id="rId21" Type="http://schemas.openxmlformats.org/officeDocument/2006/relationships/chart" Target="charts/chart14.xml"/><Relationship Id="rId42" Type="http://schemas.openxmlformats.org/officeDocument/2006/relationships/chart" Target="charts/chart34.xml"/><Relationship Id="rId47" Type="http://schemas.openxmlformats.org/officeDocument/2006/relationships/chart" Target="charts/chart39.xml"/><Relationship Id="rId63" Type="http://schemas.openxmlformats.org/officeDocument/2006/relationships/chart" Target="charts/chart55.xml"/><Relationship Id="rId68" Type="http://schemas.openxmlformats.org/officeDocument/2006/relationships/chart" Target="charts/chart59.xml"/><Relationship Id="rId84" Type="http://schemas.openxmlformats.org/officeDocument/2006/relationships/chart" Target="charts/chart73.xml"/><Relationship Id="rId89" Type="http://schemas.openxmlformats.org/officeDocument/2006/relationships/chart" Target="charts/chart78.xml"/><Relationship Id="rId112" Type="http://schemas.openxmlformats.org/officeDocument/2006/relationships/hyperlink" Target="https://vizhub.healthdata.org/gbd-results/" TargetMode="External"/><Relationship Id="rId16" Type="http://schemas.openxmlformats.org/officeDocument/2006/relationships/chart" Target="charts/chart9.xml"/><Relationship Id="rId107" Type="http://schemas.openxmlformats.org/officeDocument/2006/relationships/chart" Target="charts/chart96.xml"/><Relationship Id="rId11" Type="http://schemas.openxmlformats.org/officeDocument/2006/relationships/chart" Target="charts/chart4.xml"/><Relationship Id="rId32" Type="http://schemas.openxmlformats.org/officeDocument/2006/relationships/chart" Target="charts/chart25.xml"/><Relationship Id="rId37" Type="http://schemas.openxmlformats.org/officeDocument/2006/relationships/chart" Target="charts/chart30.xml"/><Relationship Id="rId53" Type="http://schemas.openxmlformats.org/officeDocument/2006/relationships/chart" Target="charts/chart45.xml"/><Relationship Id="rId58" Type="http://schemas.openxmlformats.org/officeDocument/2006/relationships/chart" Target="charts/chart50.xml"/><Relationship Id="rId74" Type="http://schemas.openxmlformats.org/officeDocument/2006/relationships/chart" Target="charts/chart65.xml"/><Relationship Id="rId79" Type="http://schemas.openxmlformats.org/officeDocument/2006/relationships/chart" Target="charts/chart70.xml"/><Relationship Id="rId102" Type="http://schemas.openxmlformats.org/officeDocument/2006/relationships/chart" Target="charts/chart91.xml"/><Relationship Id="rId123" Type="http://schemas.openxmlformats.org/officeDocument/2006/relationships/fontTable" Target="fontTable.xml"/><Relationship Id="rId5" Type="http://schemas.openxmlformats.org/officeDocument/2006/relationships/webSettings" Target="webSettings.xml"/><Relationship Id="rId90" Type="http://schemas.openxmlformats.org/officeDocument/2006/relationships/chart" Target="charts/chart79.xml"/><Relationship Id="rId95" Type="http://schemas.openxmlformats.org/officeDocument/2006/relationships/chart" Target="charts/chart84.xml"/><Relationship Id="rId22" Type="http://schemas.openxmlformats.org/officeDocument/2006/relationships/chart" Target="charts/chart15.xml"/><Relationship Id="rId27" Type="http://schemas.openxmlformats.org/officeDocument/2006/relationships/chart" Target="charts/chart20.xml"/><Relationship Id="rId43" Type="http://schemas.openxmlformats.org/officeDocument/2006/relationships/chart" Target="charts/chart35.xml"/><Relationship Id="rId48" Type="http://schemas.openxmlformats.org/officeDocument/2006/relationships/chart" Target="charts/chart40.xml"/><Relationship Id="rId64" Type="http://schemas.openxmlformats.org/officeDocument/2006/relationships/chart" Target="charts/chart56.xml"/><Relationship Id="rId69" Type="http://schemas.openxmlformats.org/officeDocument/2006/relationships/chart" Target="charts/chart60.xml"/><Relationship Id="rId113" Type="http://schemas.openxmlformats.org/officeDocument/2006/relationships/hyperlink" Target="https://www.who.int/europe/news-room/fact-sheets/item/effects-of-tobacco-on-health" TargetMode="External"/><Relationship Id="rId118" Type="http://schemas.openxmlformats.org/officeDocument/2006/relationships/hyperlink" Target="https://iris.who.int/bitstream/handle/10665/42811/9241591013.pdf?sequence=1" TargetMode="External"/><Relationship Id="rId80" Type="http://schemas.openxmlformats.org/officeDocument/2006/relationships/image" Target="media/image2.png"/><Relationship Id="rId85" Type="http://schemas.openxmlformats.org/officeDocument/2006/relationships/chart" Target="charts/chart74.xml"/><Relationship Id="rId12" Type="http://schemas.openxmlformats.org/officeDocument/2006/relationships/chart" Target="charts/chart5.xml"/><Relationship Id="rId17" Type="http://schemas.openxmlformats.org/officeDocument/2006/relationships/chart" Target="charts/chart10.xml"/><Relationship Id="rId33" Type="http://schemas.openxmlformats.org/officeDocument/2006/relationships/chart" Target="charts/chart26.xml"/><Relationship Id="rId38" Type="http://schemas.openxmlformats.org/officeDocument/2006/relationships/chart" Target="charts/chart31.xml"/><Relationship Id="rId59" Type="http://schemas.openxmlformats.org/officeDocument/2006/relationships/chart" Target="charts/chart51.xml"/><Relationship Id="rId103" Type="http://schemas.openxmlformats.org/officeDocument/2006/relationships/chart" Target="charts/chart92.xml"/><Relationship Id="rId108" Type="http://schemas.openxmlformats.org/officeDocument/2006/relationships/chart" Target="charts/chart97.xml"/><Relationship Id="rId124" Type="http://schemas.openxmlformats.org/officeDocument/2006/relationships/theme" Target="theme/theme1.xml"/><Relationship Id="rId54" Type="http://schemas.openxmlformats.org/officeDocument/2006/relationships/chart" Target="charts/chart46.xml"/><Relationship Id="rId70" Type="http://schemas.openxmlformats.org/officeDocument/2006/relationships/chart" Target="charts/chart61.xml"/><Relationship Id="rId75" Type="http://schemas.openxmlformats.org/officeDocument/2006/relationships/chart" Target="charts/chart66.xml"/><Relationship Id="rId91" Type="http://schemas.openxmlformats.org/officeDocument/2006/relationships/chart" Target="charts/chart80.xml"/><Relationship Id="rId96" Type="http://schemas.openxmlformats.org/officeDocument/2006/relationships/chart" Target="charts/chart85.xm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chart" Target="charts/chart16.xml"/><Relationship Id="rId28" Type="http://schemas.openxmlformats.org/officeDocument/2006/relationships/chart" Target="charts/chart21.xml"/><Relationship Id="rId49" Type="http://schemas.openxmlformats.org/officeDocument/2006/relationships/chart" Target="charts/chart41.xml"/><Relationship Id="rId114" Type="http://schemas.openxmlformats.org/officeDocument/2006/relationships/hyperlink" Target="https://www.who.int/publications/i/item/WHO-NMH-PND-19.1" TargetMode="External"/><Relationship Id="rId119" Type="http://schemas.openxmlformats.org/officeDocument/2006/relationships/header" Target="header1.xml"/><Relationship Id="rId44" Type="http://schemas.openxmlformats.org/officeDocument/2006/relationships/chart" Target="charts/chart36.xml"/><Relationship Id="rId60" Type="http://schemas.openxmlformats.org/officeDocument/2006/relationships/chart" Target="charts/chart52.xml"/><Relationship Id="rId65" Type="http://schemas.openxmlformats.org/officeDocument/2006/relationships/chart" Target="charts/chart57.xml"/><Relationship Id="rId81" Type="http://schemas.openxmlformats.org/officeDocument/2006/relationships/image" Target="media/image3.png"/><Relationship Id="rId86" Type="http://schemas.openxmlformats.org/officeDocument/2006/relationships/chart" Target="charts/chart75.xml"/><Relationship Id="rId4" Type="http://schemas.openxmlformats.org/officeDocument/2006/relationships/settings" Target="settings.xml"/><Relationship Id="rId9" Type="http://schemas.openxmlformats.org/officeDocument/2006/relationships/chart" Target="charts/chart2.xml"/><Relationship Id="rId13" Type="http://schemas.openxmlformats.org/officeDocument/2006/relationships/chart" Target="charts/chart6.xml"/><Relationship Id="rId18" Type="http://schemas.openxmlformats.org/officeDocument/2006/relationships/chart" Target="charts/chart11.xml"/><Relationship Id="rId39" Type="http://schemas.openxmlformats.org/officeDocument/2006/relationships/hyperlink" Target="https://data-browser.hbsc.org/" TargetMode="External"/><Relationship Id="rId109" Type="http://schemas.openxmlformats.org/officeDocument/2006/relationships/image" Target="media/image6.png"/><Relationship Id="rId34" Type="http://schemas.openxmlformats.org/officeDocument/2006/relationships/chart" Target="charts/chart27.xml"/><Relationship Id="rId50" Type="http://schemas.openxmlformats.org/officeDocument/2006/relationships/chart" Target="charts/chart42.xml"/><Relationship Id="rId55" Type="http://schemas.openxmlformats.org/officeDocument/2006/relationships/chart" Target="charts/chart47.xml"/><Relationship Id="rId76" Type="http://schemas.openxmlformats.org/officeDocument/2006/relationships/chart" Target="charts/chart67.xml"/><Relationship Id="rId97" Type="http://schemas.openxmlformats.org/officeDocument/2006/relationships/chart" Target="charts/chart86.xml"/><Relationship Id="rId104" Type="http://schemas.openxmlformats.org/officeDocument/2006/relationships/chart" Target="charts/chart93.xml"/><Relationship Id="rId120" Type="http://schemas.openxmlformats.org/officeDocument/2006/relationships/footer" Target="footer1.xml"/><Relationship Id="rId7" Type="http://schemas.openxmlformats.org/officeDocument/2006/relationships/endnotes" Target="endnotes.xml"/><Relationship Id="rId71" Type="http://schemas.openxmlformats.org/officeDocument/2006/relationships/chart" Target="charts/chart62.xml"/><Relationship Id="rId92" Type="http://schemas.openxmlformats.org/officeDocument/2006/relationships/chart" Target="charts/chart81.xml"/><Relationship Id="rId2" Type="http://schemas.openxmlformats.org/officeDocument/2006/relationships/numbering" Target="numbering.xml"/><Relationship Id="rId29" Type="http://schemas.openxmlformats.org/officeDocument/2006/relationships/chart" Target="charts/chart22.xml"/><Relationship Id="rId24" Type="http://schemas.openxmlformats.org/officeDocument/2006/relationships/chart" Target="charts/chart17.xml"/><Relationship Id="rId40" Type="http://schemas.openxmlformats.org/officeDocument/2006/relationships/chart" Target="charts/chart32.xml"/><Relationship Id="rId45" Type="http://schemas.openxmlformats.org/officeDocument/2006/relationships/chart" Target="charts/chart37.xml"/><Relationship Id="rId66" Type="http://schemas.openxmlformats.org/officeDocument/2006/relationships/chart" Target="charts/chart58.xml"/><Relationship Id="rId87" Type="http://schemas.openxmlformats.org/officeDocument/2006/relationships/chart" Target="charts/chart76.xml"/><Relationship Id="rId110" Type="http://schemas.openxmlformats.org/officeDocument/2006/relationships/hyperlink" Target="https://www.who.int/europe/news-room/fact-sheets/item/tobacco" TargetMode="External"/><Relationship Id="rId115" Type="http://schemas.openxmlformats.org/officeDocument/2006/relationships/hyperlink" Target="https://www.who.int/news/item/09-09-2025-who-warns-that-tobacco-use-is-linked-to-child-stunting" TargetMode="External"/><Relationship Id="rId61" Type="http://schemas.openxmlformats.org/officeDocument/2006/relationships/chart" Target="charts/chart53.xml"/><Relationship Id="rId82" Type="http://schemas.openxmlformats.org/officeDocument/2006/relationships/chart" Target="charts/chart71.xml"/><Relationship Id="rId19" Type="http://schemas.openxmlformats.org/officeDocument/2006/relationships/chart" Target="charts/chart12.xml"/><Relationship Id="rId14" Type="http://schemas.openxmlformats.org/officeDocument/2006/relationships/chart" Target="charts/chart7.xml"/><Relationship Id="rId30" Type="http://schemas.openxmlformats.org/officeDocument/2006/relationships/chart" Target="charts/chart23.xml"/><Relationship Id="rId35" Type="http://schemas.openxmlformats.org/officeDocument/2006/relationships/chart" Target="charts/chart28.xml"/><Relationship Id="rId56" Type="http://schemas.openxmlformats.org/officeDocument/2006/relationships/chart" Target="charts/chart48.xml"/><Relationship Id="rId77" Type="http://schemas.openxmlformats.org/officeDocument/2006/relationships/chart" Target="charts/chart68.xml"/><Relationship Id="rId100" Type="http://schemas.openxmlformats.org/officeDocument/2006/relationships/chart" Target="charts/chart89.xml"/><Relationship Id="rId105" Type="http://schemas.openxmlformats.org/officeDocument/2006/relationships/chart" Target="charts/chart94.xml"/><Relationship Id="rId8" Type="http://schemas.openxmlformats.org/officeDocument/2006/relationships/chart" Target="charts/chart1.xml"/><Relationship Id="rId51" Type="http://schemas.openxmlformats.org/officeDocument/2006/relationships/chart" Target="charts/chart43.xml"/><Relationship Id="rId72" Type="http://schemas.openxmlformats.org/officeDocument/2006/relationships/chart" Target="charts/chart63.xml"/><Relationship Id="rId93" Type="http://schemas.openxmlformats.org/officeDocument/2006/relationships/chart" Target="charts/chart82.xml"/><Relationship Id="rId98" Type="http://schemas.openxmlformats.org/officeDocument/2006/relationships/chart" Target="charts/chart87.xml"/><Relationship Id="rId121" Type="http://schemas.openxmlformats.org/officeDocument/2006/relationships/header" Target="header2.xml"/><Relationship Id="rId3" Type="http://schemas.openxmlformats.org/officeDocument/2006/relationships/styles" Target="styles.xml"/><Relationship Id="rId25" Type="http://schemas.openxmlformats.org/officeDocument/2006/relationships/chart" Target="charts/chart18.xml"/><Relationship Id="rId46" Type="http://schemas.openxmlformats.org/officeDocument/2006/relationships/chart" Target="charts/chart38.xml"/><Relationship Id="rId67" Type="http://schemas.openxmlformats.org/officeDocument/2006/relationships/image" Target="media/image1.png"/><Relationship Id="rId116" Type="http://schemas.openxmlformats.org/officeDocument/2006/relationships/hyperlink" Target="https://www.who.int/news/item/23-06-2025-tobacco-control-efforts-protect-6.1-billion-people-who-s-new-report" TargetMode="External"/><Relationship Id="rId20" Type="http://schemas.openxmlformats.org/officeDocument/2006/relationships/chart" Target="charts/chart13.xml"/><Relationship Id="rId41" Type="http://schemas.openxmlformats.org/officeDocument/2006/relationships/chart" Target="charts/chart33.xml"/><Relationship Id="rId62" Type="http://schemas.openxmlformats.org/officeDocument/2006/relationships/chart" Target="charts/chart54.xml"/><Relationship Id="rId83" Type="http://schemas.openxmlformats.org/officeDocument/2006/relationships/chart" Target="charts/chart72.xml"/><Relationship Id="rId88" Type="http://schemas.openxmlformats.org/officeDocument/2006/relationships/chart" Target="charts/chart77.xml"/><Relationship Id="rId111" Type="http://schemas.openxmlformats.org/officeDocument/2006/relationships/hyperlink" Target="https://data-browser.hbsc.org" TargetMode="External"/><Relationship Id="rId15" Type="http://schemas.openxmlformats.org/officeDocument/2006/relationships/chart" Target="charts/chart8.xml"/><Relationship Id="rId36" Type="http://schemas.openxmlformats.org/officeDocument/2006/relationships/chart" Target="charts/chart29.xml"/><Relationship Id="rId57" Type="http://schemas.openxmlformats.org/officeDocument/2006/relationships/chart" Target="charts/chart49.xml"/><Relationship Id="rId106" Type="http://schemas.openxmlformats.org/officeDocument/2006/relationships/chart" Target="charts/chart95.xml"/><Relationship Id="rId10" Type="http://schemas.openxmlformats.org/officeDocument/2006/relationships/chart" Target="charts/chart3.xml"/><Relationship Id="rId31" Type="http://schemas.openxmlformats.org/officeDocument/2006/relationships/chart" Target="charts/chart24.xml"/><Relationship Id="rId52" Type="http://schemas.openxmlformats.org/officeDocument/2006/relationships/chart" Target="charts/chart44.xml"/><Relationship Id="rId73" Type="http://schemas.openxmlformats.org/officeDocument/2006/relationships/chart" Target="charts/chart64.xml"/><Relationship Id="rId78" Type="http://schemas.openxmlformats.org/officeDocument/2006/relationships/chart" Target="charts/chart69.xml"/><Relationship Id="rId94" Type="http://schemas.openxmlformats.org/officeDocument/2006/relationships/chart" Target="charts/chart83.xml"/><Relationship Id="rId99" Type="http://schemas.openxmlformats.org/officeDocument/2006/relationships/chart" Target="charts/chart88.xml"/><Relationship Id="rId101" Type="http://schemas.openxmlformats.org/officeDocument/2006/relationships/chart" Target="charts/chart90.xml"/><Relationship Id="rId122"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_rels/header2.xml.rels><?xml version="1.0" encoding="UTF-8" standalone="yes"?>
<Relationships xmlns="http://schemas.openxmlformats.org/package/2006/relationships"><Relationship Id="rId1" Type="http://schemas.openxmlformats.org/officeDocument/2006/relationships/image" Target="media/image7.png"/></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_rels/chart10.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package" Target="../embeddings/Microsoft_Excel_Worksheet9.xlsx"/><Relationship Id="rId1" Type="http://schemas.openxmlformats.org/officeDocument/2006/relationships/themeOverride" Target="../theme/themeOverride10.xml"/></Relationships>
</file>

<file path=word/charts/_rels/chart11.xml.rels><?xml version="1.0" encoding="UTF-8" standalone="yes"?>
<Relationships xmlns="http://schemas.openxmlformats.org/package/2006/relationships"><Relationship Id="rId3" Type="http://schemas.openxmlformats.org/officeDocument/2006/relationships/chartUserShapes" Target="../drawings/drawing2.xml"/><Relationship Id="rId2" Type="http://schemas.openxmlformats.org/officeDocument/2006/relationships/package" Target="../embeddings/Microsoft_Excel_Worksheet10.xlsx"/><Relationship Id="rId1" Type="http://schemas.openxmlformats.org/officeDocument/2006/relationships/themeOverride" Target="../theme/themeOverride11.xml"/></Relationships>
</file>

<file path=word/charts/_rels/chart12.xml.rels><?xml version="1.0" encoding="UTF-8" standalone="yes"?>
<Relationships xmlns="http://schemas.openxmlformats.org/package/2006/relationships"><Relationship Id="rId2" Type="http://schemas.openxmlformats.org/officeDocument/2006/relationships/package" Target="../embeddings/Microsoft_Excel_Worksheet11.xlsx"/><Relationship Id="rId1" Type="http://schemas.openxmlformats.org/officeDocument/2006/relationships/themeOverride" Target="../theme/themeOverride12.xml"/></Relationships>
</file>

<file path=word/charts/_rels/chart13.xml.rels><?xml version="1.0" encoding="UTF-8" standalone="yes"?>
<Relationships xmlns="http://schemas.openxmlformats.org/package/2006/relationships"><Relationship Id="rId3" Type="http://schemas.openxmlformats.org/officeDocument/2006/relationships/chartUserShapes" Target="../drawings/drawing3.xml"/><Relationship Id="rId2" Type="http://schemas.openxmlformats.org/officeDocument/2006/relationships/package" Target="../embeddings/Microsoft_Excel_Worksheet12.xlsx"/><Relationship Id="rId1" Type="http://schemas.openxmlformats.org/officeDocument/2006/relationships/themeOverride" Target="../theme/themeOverride13.xml"/></Relationships>
</file>

<file path=word/charts/_rels/chart14.xml.rels><?xml version="1.0" encoding="UTF-8" standalone="yes"?>
<Relationships xmlns="http://schemas.openxmlformats.org/package/2006/relationships"><Relationship Id="rId3" Type="http://schemas.openxmlformats.org/officeDocument/2006/relationships/chartUserShapes" Target="../drawings/drawing4.xml"/><Relationship Id="rId2" Type="http://schemas.openxmlformats.org/officeDocument/2006/relationships/package" Target="../embeddings/Microsoft_Excel_Worksheet13.xlsx"/><Relationship Id="rId1" Type="http://schemas.openxmlformats.org/officeDocument/2006/relationships/themeOverride" Target="../theme/themeOverride14.xml"/></Relationships>
</file>

<file path=word/charts/_rels/chart15.xml.rels><?xml version="1.0" encoding="UTF-8" standalone="yes"?>
<Relationships xmlns="http://schemas.openxmlformats.org/package/2006/relationships"><Relationship Id="rId3" Type="http://schemas.openxmlformats.org/officeDocument/2006/relationships/themeOverride" Target="../theme/themeOverride15.xml"/><Relationship Id="rId2" Type="http://schemas.microsoft.com/office/2011/relationships/chartColorStyle" Target="colors9.xml"/><Relationship Id="rId1" Type="http://schemas.microsoft.com/office/2011/relationships/chartStyle" Target="style9.xml"/><Relationship Id="rId4" Type="http://schemas.openxmlformats.org/officeDocument/2006/relationships/package" Target="../embeddings/Microsoft_Excel_Worksheet14.xlsx"/></Relationships>
</file>

<file path=word/charts/_rels/chart16.xml.rels><?xml version="1.0" encoding="UTF-8" standalone="yes"?>
<Relationships xmlns="http://schemas.openxmlformats.org/package/2006/relationships"><Relationship Id="rId3" Type="http://schemas.openxmlformats.org/officeDocument/2006/relationships/themeOverride" Target="../theme/themeOverride16.xml"/><Relationship Id="rId2" Type="http://schemas.microsoft.com/office/2011/relationships/chartColorStyle" Target="colors10.xml"/><Relationship Id="rId1" Type="http://schemas.microsoft.com/office/2011/relationships/chartStyle" Target="style10.xml"/><Relationship Id="rId4" Type="http://schemas.openxmlformats.org/officeDocument/2006/relationships/package" Target="../embeddings/Microsoft_Excel_Worksheet15.xlsx"/></Relationships>
</file>

<file path=word/charts/_rels/chart17.xml.rels><?xml version="1.0" encoding="UTF-8" standalone="yes"?>
<Relationships xmlns="http://schemas.openxmlformats.org/package/2006/relationships"><Relationship Id="rId3" Type="http://schemas.openxmlformats.org/officeDocument/2006/relationships/themeOverride" Target="../theme/themeOverride17.xml"/><Relationship Id="rId2" Type="http://schemas.microsoft.com/office/2011/relationships/chartColorStyle" Target="colors11.xml"/><Relationship Id="rId1" Type="http://schemas.microsoft.com/office/2011/relationships/chartStyle" Target="style11.xml"/><Relationship Id="rId4" Type="http://schemas.openxmlformats.org/officeDocument/2006/relationships/package" Target="../embeddings/Microsoft_Excel_Worksheet16.xlsx"/></Relationships>
</file>

<file path=word/charts/_rels/chart18.xml.rels><?xml version="1.0" encoding="UTF-8" standalone="yes"?>
<Relationships xmlns="http://schemas.openxmlformats.org/package/2006/relationships"><Relationship Id="rId3" Type="http://schemas.openxmlformats.org/officeDocument/2006/relationships/themeOverride" Target="../theme/themeOverride18.xml"/><Relationship Id="rId2" Type="http://schemas.microsoft.com/office/2011/relationships/chartColorStyle" Target="colors12.xml"/><Relationship Id="rId1" Type="http://schemas.microsoft.com/office/2011/relationships/chartStyle" Target="style12.xml"/><Relationship Id="rId4" Type="http://schemas.openxmlformats.org/officeDocument/2006/relationships/package" Target="../embeddings/Microsoft_Excel_Worksheet17.xlsx"/></Relationships>
</file>

<file path=word/charts/_rels/chart19.xml.rels><?xml version="1.0" encoding="UTF-8" standalone="yes"?>
<Relationships xmlns="http://schemas.openxmlformats.org/package/2006/relationships"><Relationship Id="rId3" Type="http://schemas.openxmlformats.org/officeDocument/2006/relationships/chartUserShapes" Target="../drawings/drawing5.xml"/><Relationship Id="rId2" Type="http://schemas.openxmlformats.org/officeDocument/2006/relationships/package" Target="../embeddings/Microsoft_Excel_Worksheet18.xlsx"/><Relationship Id="rId1" Type="http://schemas.openxmlformats.org/officeDocument/2006/relationships/themeOverride" Target="../theme/themeOverride19.xm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1.xlsx"/></Relationships>
</file>

<file path=word/charts/_rels/chart20.xml.rels><?xml version="1.0" encoding="UTF-8" standalone="yes"?>
<Relationships xmlns="http://schemas.openxmlformats.org/package/2006/relationships"><Relationship Id="rId2" Type="http://schemas.openxmlformats.org/officeDocument/2006/relationships/package" Target="../embeddings/Microsoft_Excel_Worksheet19.xlsx"/><Relationship Id="rId1" Type="http://schemas.openxmlformats.org/officeDocument/2006/relationships/themeOverride" Target="../theme/themeOverride20.xml"/></Relationships>
</file>

<file path=word/charts/_rels/chart21.xml.rels><?xml version="1.0" encoding="UTF-8" standalone="yes"?>
<Relationships xmlns="http://schemas.openxmlformats.org/package/2006/relationships"><Relationship Id="rId3" Type="http://schemas.openxmlformats.org/officeDocument/2006/relationships/themeOverride" Target="../theme/themeOverride21.xml"/><Relationship Id="rId2" Type="http://schemas.microsoft.com/office/2011/relationships/chartColorStyle" Target="colors13.xml"/><Relationship Id="rId1" Type="http://schemas.microsoft.com/office/2011/relationships/chartStyle" Target="style13.xml"/><Relationship Id="rId4" Type="http://schemas.openxmlformats.org/officeDocument/2006/relationships/package" Target="../embeddings/Microsoft_Excel_Worksheet20.xlsx"/></Relationships>
</file>

<file path=word/charts/_rels/chart22.xml.rels><?xml version="1.0" encoding="UTF-8" standalone="yes"?>
<Relationships xmlns="http://schemas.openxmlformats.org/package/2006/relationships"><Relationship Id="rId3" Type="http://schemas.openxmlformats.org/officeDocument/2006/relationships/themeOverride" Target="../theme/themeOverride22.xml"/><Relationship Id="rId2" Type="http://schemas.microsoft.com/office/2011/relationships/chartColorStyle" Target="colors14.xml"/><Relationship Id="rId1" Type="http://schemas.microsoft.com/office/2011/relationships/chartStyle" Target="style14.xml"/><Relationship Id="rId4" Type="http://schemas.openxmlformats.org/officeDocument/2006/relationships/package" Target="../embeddings/Microsoft_Excel_Worksheet21.xlsx"/></Relationships>
</file>

<file path=word/charts/_rels/chart23.xml.rels><?xml version="1.0" encoding="UTF-8" standalone="yes"?>
<Relationships xmlns="http://schemas.openxmlformats.org/package/2006/relationships"><Relationship Id="rId3" Type="http://schemas.openxmlformats.org/officeDocument/2006/relationships/themeOverride" Target="../theme/themeOverride23.xml"/><Relationship Id="rId2" Type="http://schemas.microsoft.com/office/2011/relationships/chartColorStyle" Target="colors15.xml"/><Relationship Id="rId1" Type="http://schemas.microsoft.com/office/2011/relationships/chartStyle" Target="style15.xml"/><Relationship Id="rId4" Type="http://schemas.openxmlformats.org/officeDocument/2006/relationships/package" Target="../embeddings/Microsoft_Excel_Worksheet22.xlsx"/></Relationships>
</file>

<file path=word/charts/_rels/chart24.xml.rels><?xml version="1.0" encoding="UTF-8" standalone="yes"?>
<Relationships xmlns="http://schemas.openxmlformats.org/package/2006/relationships"><Relationship Id="rId3" Type="http://schemas.openxmlformats.org/officeDocument/2006/relationships/themeOverride" Target="../theme/themeOverride24.xml"/><Relationship Id="rId2" Type="http://schemas.microsoft.com/office/2011/relationships/chartColorStyle" Target="colors16.xml"/><Relationship Id="rId1" Type="http://schemas.microsoft.com/office/2011/relationships/chartStyle" Target="style16.xml"/><Relationship Id="rId4" Type="http://schemas.openxmlformats.org/officeDocument/2006/relationships/package" Target="../embeddings/Microsoft_Excel_Worksheet23.xlsx"/></Relationships>
</file>

<file path=word/charts/_rels/chart25.xml.rels><?xml version="1.0" encoding="UTF-8" standalone="yes"?>
<Relationships xmlns="http://schemas.openxmlformats.org/package/2006/relationships"><Relationship Id="rId3" Type="http://schemas.openxmlformats.org/officeDocument/2006/relationships/themeOverride" Target="../theme/themeOverride25.xml"/><Relationship Id="rId2" Type="http://schemas.microsoft.com/office/2011/relationships/chartColorStyle" Target="colors17.xml"/><Relationship Id="rId1" Type="http://schemas.microsoft.com/office/2011/relationships/chartStyle" Target="style17.xml"/><Relationship Id="rId4" Type="http://schemas.openxmlformats.org/officeDocument/2006/relationships/package" Target="../embeddings/Microsoft_Excel_Worksheet24.xlsx"/></Relationships>
</file>

<file path=word/charts/_rels/chart26.xml.rels><?xml version="1.0" encoding="UTF-8" standalone="yes"?>
<Relationships xmlns="http://schemas.openxmlformats.org/package/2006/relationships"><Relationship Id="rId3" Type="http://schemas.openxmlformats.org/officeDocument/2006/relationships/themeOverride" Target="../theme/themeOverride26.xml"/><Relationship Id="rId2" Type="http://schemas.microsoft.com/office/2011/relationships/chartColorStyle" Target="colors18.xml"/><Relationship Id="rId1" Type="http://schemas.microsoft.com/office/2011/relationships/chartStyle" Target="style18.xml"/><Relationship Id="rId4" Type="http://schemas.openxmlformats.org/officeDocument/2006/relationships/package" Target="../embeddings/Microsoft_Excel_Worksheet25.xlsx"/></Relationships>
</file>

<file path=word/charts/_rels/chart27.xml.rels><?xml version="1.0" encoding="UTF-8" standalone="yes"?>
<Relationships xmlns="http://schemas.openxmlformats.org/package/2006/relationships"><Relationship Id="rId3" Type="http://schemas.openxmlformats.org/officeDocument/2006/relationships/themeOverride" Target="../theme/themeOverride27.xml"/><Relationship Id="rId2" Type="http://schemas.microsoft.com/office/2011/relationships/chartColorStyle" Target="colors19.xml"/><Relationship Id="rId1" Type="http://schemas.microsoft.com/office/2011/relationships/chartStyle" Target="style19.xml"/><Relationship Id="rId4" Type="http://schemas.openxmlformats.org/officeDocument/2006/relationships/package" Target="../embeddings/Microsoft_Excel_Worksheet26.xlsx"/></Relationships>
</file>

<file path=word/charts/_rels/chart28.xml.rels><?xml version="1.0" encoding="UTF-8" standalone="yes"?>
<Relationships xmlns="http://schemas.openxmlformats.org/package/2006/relationships"><Relationship Id="rId3" Type="http://schemas.openxmlformats.org/officeDocument/2006/relationships/themeOverride" Target="../theme/themeOverride28.xml"/><Relationship Id="rId2" Type="http://schemas.microsoft.com/office/2011/relationships/chartColorStyle" Target="colors20.xml"/><Relationship Id="rId1" Type="http://schemas.microsoft.com/office/2011/relationships/chartStyle" Target="style20.xml"/><Relationship Id="rId4" Type="http://schemas.openxmlformats.org/officeDocument/2006/relationships/package" Target="../embeddings/Microsoft_Excel_Worksheet27.xlsx"/></Relationships>
</file>

<file path=word/charts/_rels/chart29.xml.rels><?xml version="1.0" encoding="UTF-8" standalone="yes"?>
<Relationships xmlns="http://schemas.openxmlformats.org/package/2006/relationships"><Relationship Id="rId3" Type="http://schemas.openxmlformats.org/officeDocument/2006/relationships/themeOverride" Target="../theme/themeOverride29.xml"/><Relationship Id="rId2" Type="http://schemas.microsoft.com/office/2011/relationships/chartColorStyle" Target="colors21.xml"/><Relationship Id="rId1" Type="http://schemas.microsoft.com/office/2011/relationships/chartStyle" Target="style21.xml"/><Relationship Id="rId4" Type="http://schemas.openxmlformats.org/officeDocument/2006/relationships/package" Target="../embeddings/Microsoft_Excel_Worksheet28.xlsx"/></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Microsoft_Excel_Worksheet2.xlsx"/></Relationships>
</file>

<file path=word/charts/_rels/chart30.xml.rels><?xml version="1.0" encoding="UTF-8" standalone="yes"?>
<Relationships xmlns="http://schemas.openxmlformats.org/package/2006/relationships"><Relationship Id="rId3" Type="http://schemas.openxmlformats.org/officeDocument/2006/relationships/themeOverride" Target="../theme/themeOverride30.xml"/><Relationship Id="rId2" Type="http://schemas.microsoft.com/office/2011/relationships/chartColorStyle" Target="colors22.xml"/><Relationship Id="rId1" Type="http://schemas.microsoft.com/office/2011/relationships/chartStyle" Target="style22.xml"/><Relationship Id="rId4" Type="http://schemas.openxmlformats.org/officeDocument/2006/relationships/package" Target="../embeddings/Microsoft_Excel_Worksheet29.xlsx"/></Relationships>
</file>

<file path=word/charts/_rels/chart31.xml.rels><?xml version="1.0" encoding="UTF-8" standalone="yes"?>
<Relationships xmlns="http://schemas.openxmlformats.org/package/2006/relationships"><Relationship Id="rId3" Type="http://schemas.openxmlformats.org/officeDocument/2006/relationships/chartUserShapes" Target="../drawings/drawing6.xml"/><Relationship Id="rId2" Type="http://schemas.openxmlformats.org/officeDocument/2006/relationships/package" Target="../embeddings/Microsoft_Excel_Worksheet30.xlsx"/><Relationship Id="rId1" Type="http://schemas.openxmlformats.org/officeDocument/2006/relationships/themeOverride" Target="../theme/themeOverride31.xml"/></Relationships>
</file>

<file path=word/charts/_rels/chart32.xml.rels><?xml version="1.0" encoding="UTF-8" standalone="yes"?>
<Relationships xmlns="http://schemas.openxmlformats.org/package/2006/relationships"><Relationship Id="rId3" Type="http://schemas.openxmlformats.org/officeDocument/2006/relationships/themeOverride" Target="../theme/themeOverride32.xml"/><Relationship Id="rId2" Type="http://schemas.microsoft.com/office/2011/relationships/chartColorStyle" Target="colors23.xml"/><Relationship Id="rId1" Type="http://schemas.microsoft.com/office/2011/relationships/chartStyle" Target="style23.xml"/><Relationship Id="rId4" Type="http://schemas.openxmlformats.org/officeDocument/2006/relationships/package" Target="../embeddings/Microsoft_Excel_Worksheet31.xlsx"/></Relationships>
</file>

<file path=word/charts/_rels/chart33.xml.rels><?xml version="1.0" encoding="UTF-8" standalone="yes"?>
<Relationships xmlns="http://schemas.openxmlformats.org/package/2006/relationships"><Relationship Id="rId3" Type="http://schemas.openxmlformats.org/officeDocument/2006/relationships/themeOverride" Target="../theme/themeOverride33.xml"/><Relationship Id="rId2" Type="http://schemas.microsoft.com/office/2011/relationships/chartColorStyle" Target="colors24.xml"/><Relationship Id="rId1" Type="http://schemas.microsoft.com/office/2011/relationships/chartStyle" Target="style24.xml"/><Relationship Id="rId4" Type="http://schemas.openxmlformats.org/officeDocument/2006/relationships/package" Target="../embeddings/Microsoft_Excel_Worksheet32.xlsx"/></Relationships>
</file>

<file path=word/charts/_rels/chart34.xml.rels><?xml version="1.0" encoding="UTF-8" standalone="yes"?>
<Relationships xmlns="http://schemas.openxmlformats.org/package/2006/relationships"><Relationship Id="rId3" Type="http://schemas.openxmlformats.org/officeDocument/2006/relationships/themeOverride" Target="../theme/themeOverride34.xml"/><Relationship Id="rId2" Type="http://schemas.microsoft.com/office/2011/relationships/chartColorStyle" Target="colors25.xml"/><Relationship Id="rId1" Type="http://schemas.microsoft.com/office/2011/relationships/chartStyle" Target="style25.xml"/><Relationship Id="rId4" Type="http://schemas.openxmlformats.org/officeDocument/2006/relationships/package" Target="../embeddings/Microsoft_Excel_Worksheet33.xlsx"/></Relationships>
</file>

<file path=word/charts/_rels/chart35.xml.rels><?xml version="1.0" encoding="UTF-8" standalone="yes"?>
<Relationships xmlns="http://schemas.openxmlformats.org/package/2006/relationships"><Relationship Id="rId3" Type="http://schemas.openxmlformats.org/officeDocument/2006/relationships/themeOverride" Target="../theme/themeOverride35.xml"/><Relationship Id="rId2" Type="http://schemas.microsoft.com/office/2011/relationships/chartColorStyle" Target="colors26.xml"/><Relationship Id="rId1" Type="http://schemas.microsoft.com/office/2011/relationships/chartStyle" Target="style26.xml"/><Relationship Id="rId4" Type="http://schemas.openxmlformats.org/officeDocument/2006/relationships/package" Target="../embeddings/Microsoft_Excel_Worksheet34.xlsx"/></Relationships>
</file>

<file path=word/charts/_rels/chart36.xml.rels><?xml version="1.0" encoding="UTF-8" standalone="yes"?>
<Relationships xmlns="http://schemas.openxmlformats.org/package/2006/relationships"><Relationship Id="rId3" Type="http://schemas.openxmlformats.org/officeDocument/2006/relationships/themeOverride" Target="../theme/themeOverride36.xml"/><Relationship Id="rId2" Type="http://schemas.microsoft.com/office/2011/relationships/chartColorStyle" Target="colors27.xml"/><Relationship Id="rId1" Type="http://schemas.microsoft.com/office/2011/relationships/chartStyle" Target="style27.xml"/><Relationship Id="rId4" Type="http://schemas.openxmlformats.org/officeDocument/2006/relationships/package" Target="../embeddings/Microsoft_Excel_Worksheet35.xlsx"/></Relationships>
</file>

<file path=word/charts/_rels/chart37.xml.rels><?xml version="1.0" encoding="UTF-8" standalone="yes"?>
<Relationships xmlns="http://schemas.openxmlformats.org/package/2006/relationships"><Relationship Id="rId3" Type="http://schemas.openxmlformats.org/officeDocument/2006/relationships/themeOverride" Target="../theme/themeOverride37.xml"/><Relationship Id="rId2" Type="http://schemas.microsoft.com/office/2011/relationships/chartColorStyle" Target="colors28.xml"/><Relationship Id="rId1" Type="http://schemas.microsoft.com/office/2011/relationships/chartStyle" Target="style28.xml"/><Relationship Id="rId4" Type="http://schemas.openxmlformats.org/officeDocument/2006/relationships/package" Target="../embeddings/Microsoft_Excel_Worksheet36.xlsx"/></Relationships>
</file>

<file path=word/charts/_rels/chart38.xml.rels><?xml version="1.0" encoding="UTF-8" standalone="yes"?>
<Relationships xmlns="http://schemas.openxmlformats.org/package/2006/relationships"><Relationship Id="rId3" Type="http://schemas.openxmlformats.org/officeDocument/2006/relationships/themeOverride" Target="../theme/themeOverride38.xml"/><Relationship Id="rId2" Type="http://schemas.microsoft.com/office/2011/relationships/chartColorStyle" Target="colors29.xml"/><Relationship Id="rId1" Type="http://schemas.microsoft.com/office/2011/relationships/chartStyle" Target="style29.xml"/><Relationship Id="rId4" Type="http://schemas.openxmlformats.org/officeDocument/2006/relationships/package" Target="../embeddings/Microsoft_Excel_Worksheet37.xlsx"/></Relationships>
</file>

<file path=word/charts/_rels/chart39.xml.rels><?xml version="1.0" encoding="UTF-8" standalone="yes"?>
<Relationships xmlns="http://schemas.openxmlformats.org/package/2006/relationships"><Relationship Id="rId3" Type="http://schemas.openxmlformats.org/officeDocument/2006/relationships/themeOverride" Target="../theme/themeOverride39.xml"/><Relationship Id="rId2" Type="http://schemas.microsoft.com/office/2011/relationships/chartColorStyle" Target="colors30.xml"/><Relationship Id="rId1" Type="http://schemas.microsoft.com/office/2011/relationships/chartStyle" Target="style30.xml"/><Relationship Id="rId4" Type="http://schemas.openxmlformats.org/officeDocument/2006/relationships/package" Target="../embeddings/Microsoft_Excel_Worksheet38.xlsx"/></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package" Target="../embeddings/Microsoft_Excel_Worksheet3.xlsx"/></Relationships>
</file>

<file path=word/charts/_rels/chart40.xml.rels><?xml version="1.0" encoding="UTF-8" standalone="yes"?>
<Relationships xmlns="http://schemas.openxmlformats.org/package/2006/relationships"><Relationship Id="rId3" Type="http://schemas.openxmlformats.org/officeDocument/2006/relationships/themeOverride" Target="../theme/themeOverride40.xml"/><Relationship Id="rId2" Type="http://schemas.microsoft.com/office/2011/relationships/chartColorStyle" Target="colors31.xml"/><Relationship Id="rId1" Type="http://schemas.microsoft.com/office/2011/relationships/chartStyle" Target="style31.xml"/><Relationship Id="rId4" Type="http://schemas.openxmlformats.org/officeDocument/2006/relationships/package" Target="../embeddings/Microsoft_Excel_Worksheet39.xlsx"/></Relationships>
</file>

<file path=word/charts/_rels/chart41.xml.rels><?xml version="1.0" encoding="UTF-8" standalone="yes"?>
<Relationships xmlns="http://schemas.openxmlformats.org/package/2006/relationships"><Relationship Id="rId3" Type="http://schemas.openxmlformats.org/officeDocument/2006/relationships/themeOverride" Target="../theme/themeOverride41.xml"/><Relationship Id="rId2" Type="http://schemas.microsoft.com/office/2011/relationships/chartColorStyle" Target="colors32.xml"/><Relationship Id="rId1" Type="http://schemas.microsoft.com/office/2011/relationships/chartStyle" Target="style32.xml"/><Relationship Id="rId4" Type="http://schemas.openxmlformats.org/officeDocument/2006/relationships/package" Target="../embeddings/Microsoft_Excel_Worksheet40.xlsx"/></Relationships>
</file>

<file path=word/charts/_rels/chart42.xml.rels><?xml version="1.0" encoding="UTF-8" standalone="yes"?>
<Relationships xmlns="http://schemas.openxmlformats.org/package/2006/relationships"><Relationship Id="rId3" Type="http://schemas.openxmlformats.org/officeDocument/2006/relationships/themeOverride" Target="../theme/themeOverride42.xml"/><Relationship Id="rId2" Type="http://schemas.microsoft.com/office/2011/relationships/chartColorStyle" Target="colors33.xml"/><Relationship Id="rId1" Type="http://schemas.microsoft.com/office/2011/relationships/chartStyle" Target="style33.xml"/><Relationship Id="rId4" Type="http://schemas.openxmlformats.org/officeDocument/2006/relationships/package" Target="../embeddings/Microsoft_Excel_Worksheet41.xlsx"/></Relationships>
</file>

<file path=word/charts/_rels/chart43.xml.rels><?xml version="1.0" encoding="UTF-8" standalone="yes"?>
<Relationships xmlns="http://schemas.openxmlformats.org/package/2006/relationships"><Relationship Id="rId3" Type="http://schemas.openxmlformats.org/officeDocument/2006/relationships/themeOverride" Target="../theme/themeOverride43.xml"/><Relationship Id="rId2" Type="http://schemas.microsoft.com/office/2011/relationships/chartColorStyle" Target="colors34.xml"/><Relationship Id="rId1" Type="http://schemas.microsoft.com/office/2011/relationships/chartStyle" Target="style34.xml"/><Relationship Id="rId4" Type="http://schemas.openxmlformats.org/officeDocument/2006/relationships/package" Target="../embeddings/Microsoft_Excel_Worksheet42.xlsx"/></Relationships>
</file>

<file path=word/charts/_rels/chart44.xml.rels><?xml version="1.0" encoding="UTF-8" standalone="yes"?>
<Relationships xmlns="http://schemas.openxmlformats.org/package/2006/relationships"><Relationship Id="rId3" Type="http://schemas.openxmlformats.org/officeDocument/2006/relationships/themeOverride" Target="../theme/themeOverride44.xml"/><Relationship Id="rId2" Type="http://schemas.microsoft.com/office/2011/relationships/chartColorStyle" Target="colors35.xml"/><Relationship Id="rId1" Type="http://schemas.microsoft.com/office/2011/relationships/chartStyle" Target="style35.xml"/><Relationship Id="rId4" Type="http://schemas.openxmlformats.org/officeDocument/2006/relationships/package" Target="../embeddings/Microsoft_Excel_Worksheet43.xlsx"/></Relationships>
</file>

<file path=word/charts/_rels/chart45.xml.rels><?xml version="1.0" encoding="UTF-8" standalone="yes"?>
<Relationships xmlns="http://schemas.openxmlformats.org/package/2006/relationships"><Relationship Id="rId3" Type="http://schemas.openxmlformats.org/officeDocument/2006/relationships/themeOverride" Target="../theme/themeOverride45.xml"/><Relationship Id="rId2" Type="http://schemas.microsoft.com/office/2011/relationships/chartColorStyle" Target="colors36.xml"/><Relationship Id="rId1" Type="http://schemas.microsoft.com/office/2011/relationships/chartStyle" Target="style36.xml"/><Relationship Id="rId4" Type="http://schemas.openxmlformats.org/officeDocument/2006/relationships/package" Target="../embeddings/Microsoft_Excel_Worksheet44.xlsx"/></Relationships>
</file>

<file path=word/charts/_rels/chart46.xml.rels><?xml version="1.0" encoding="UTF-8" standalone="yes"?>
<Relationships xmlns="http://schemas.openxmlformats.org/package/2006/relationships"><Relationship Id="rId3" Type="http://schemas.openxmlformats.org/officeDocument/2006/relationships/themeOverride" Target="../theme/themeOverride46.xml"/><Relationship Id="rId2" Type="http://schemas.microsoft.com/office/2011/relationships/chartColorStyle" Target="colors37.xml"/><Relationship Id="rId1" Type="http://schemas.microsoft.com/office/2011/relationships/chartStyle" Target="style37.xml"/><Relationship Id="rId4" Type="http://schemas.openxmlformats.org/officeDocument/2006/relationships/package" Target="../embeddings/Microsoft_Excel_Worksheet45.xlsx"/></Relationships>
</file>

<file path=word/charts/_rels/chart47.xml.rels><?xml version="1.0" encoding="UTF-8" standalone="yes"?>
<Relationships xmlns="http://schemas.openxmlformats.org/package/2006/relationships"><Relationship Id="rId3" Type="http://schemas.openxmlformats.org/officeDocument/2006/relationships/themeOverride" Target="../theme/themeOverride47.xml"/><Relationship Id="rId2" Type="http://schemas.microsoft.com/office/2011/relationships/chartColorStyle" Target="colors38.xml"/><Relationship Id="rId1" Type="http://schemas.microsoft.com/office/2011/relationships/chartStyle" Target="style38.xml"/><Relationship Id="rId4" Type="http://schemas.openxmlformats.org/officeDocument/2006/relationships/package" Target="../embeddings/Microsoft_Excel_Worksheet46.xlsx"/></Relationships>
</file>

<file path=word/charts/_rels/chart48.xml.rels><?xml version="1.0" encoding="UTF-8" standalone="yes"?>
<Relationships xmlns="http://schemas.openxmlformats.org/package/2006/relationships"><Relationship Id="rId3" Type="http://schemas.openxmlformats.org/officeDocument/2006/relationships/themeOverride" Target="../theme/themeOverride48.xml"/><Relationship Id="rId2" Type="http://schemas.microsoft.com/office/2011/relationships/chartColorStyle" Target="colors39.xml"/><Relationship Id="rId1" Type="http://schemas.microsoft.com/office/2011/relationships/chartStyle" Target="style39.xml"/><Relationship Id="rId4" Type="http://schemas.openxmlformats.org/officeDocument/2006/relationships/package" Target="../embeddings/Microsoft_Excel_Worksheet47.xlsx"/></Relationships>
</file>

<file path=word/charts/_rels/chart49.xml.rels><?xml version="1.0" encoding="UTF-8" standalone="yes"?>
<Relationships xmlns="http://schemas.openxmlformats.org/package/2006/relationships"><Relationship Id="rId3" Type="http://schemas.openxmlformats.org/officeDocument/2006/relationships/themeOverride" Target="../theme/themeOverride49.xml"/><Relationship Id="rId2" Type="http://schemas.microsoft.com/office/2011/relationships/chartColorStyle" Target="colors40.xml"/><Relationship Id="rId1" Type="http://schemas.microsoft.com/office/2011/relationships/chartStyle" Target="style40.xml"/><Relationship Id="rId4" Type="http://schemas.openxmlformats.org/officeDocument/2006/relationships/package" Target="../embeddings/Microsoft_Excel_Worksheet48.xlsx"/></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package" Target="../embeddings/Microsoft_Excel_Worksheet4.xlsx"/></Relationships>
</file>

<file path=word/charts/_rels/chart50.xml.rels><?xml version="1.0" encoding="UTF-8" standalone="yes"?>
<Relationships xmlns="http://schemas.openxmlformats.org/package/2006/relationships"><Relationship Id="rId3" Type="http://schemas.openxmlformats.org/officeDocument/2006/relationships/themeOverride" Target="../theme/themeOverride50.xml"/><Relationship Id="rId2" Type="http://schemas.microsoft.com/office/2011/relationships/chartColorStyle" Target="colors41.xml"/><Relationship Id="rId1" Type="http://schemas.microsoft.com/office/2011/relationships/chartStyle" Target="style41.xml"/><Relationship Id="rId4" Type="http://schemas.openxmlformats.org/officeDocument/2006/relationships/package" Target="../embeddings/Microsoft_Excel_Worksheet49.xlsx"/></Relationships>
</file>

<file path=word/charts/_rels/chart51.xml.rels><?xml version="1.0" encoding="UTF-8" standalone="yes"?>
<Relationships xmlns="http://schemas.openxmlformats.org/package/2006/relationships"><Relationship Id="rId3" Type="http://schemas.openxmlformats.org/officeDocument/2006/relationships/themeOverride" Target="../theme/themeOverride51.xml"/><Relationship Id="rId2" Type="http://schemas.microsoft.com/office/2011/relationships/chartColorStyle" Target="colors42.xml"/><Relationship Id="rId1" Type="http://schemas.microsoft.com/office/2011/relationships/chartStyle" Target="style42.xml"/><Relationship Id="rId4" Type="http://schemas.openxmlformats.org/officeDocument/2006/relationships/package" Target="../embeddings/Microsoft_Excel_Worksheet50.xlsx"/></Relationships>
</file>

<file path=word/charts/_rels/chart52.xml.rels><?xml version="1.0" encoding="UTF-8" standalone="yes"?>
<Relationships xmlns="http://schemas.openxmlformats.org/package/2006/relationships"><Relationship Id="rId3" Type="http://schemas.openxmlformats.org/officeDocument/2006/relationships/themeOverride" Target="../theme/themeOverride52.xml"/><Relationship Id="rId2" Type="http://schemas.microsoft.com/office/2011/relationships/chartColorStyle" Target="colors43.xml"/><Relationship Id="rId1" Type="http://schemas.microsoft.com/office/2011/relationships/chartStyle" Target="style43.xml"/><Relationship Id="rId4" Type="http://schemas.openxmlformats.org/officeDocument/2006/relationships/package" Target="../embeddings/Microsoft_Excel_Worksheet51.xlsx"/></Relationships>
</file>

<file path=word/charts/_rels/chart53.xml.rels><?xml version="1.0" encoding="UTF-8" standalone="yes"?>
<Relationships xmlns="http://schemas.openxmlformats.org/package/2006/relationships"><Relationship Id="rId3" Type="http://schemas.openxmlformats.org/officeDocument/2006/relationships/themeOverride" Target="../theme/themeOverride53.xml"/><Relationship Id="rId2" Type="http://schemas.microsoft.com/office/2011/relationships/chartColorStyle" Target="colors44.xml"/><Relationship Id="rId1" Type="http://schemas.microsoft.com/office/2011/relationships/chartStyle" Target="style44.xml"/><Relationship Id="rId4" Type="http://schemas.openxmlformats.org/officeDocument/2006/relationships/package" Target="../embeddings/Microsoft_Excel_Worksheet52.xlsx"/></Relationships>
</file>

<file path=word/charts/_rels/chart54.xml.rels><?xml version="1.0" encoding="UTF-8" standalone="yes"?>
<Relationships xmlns="http://schemas.openxmlformats.org/package/2006/relationships"><Relationship Id="rId3" Type="http://schemas.openxmlformats.org/officeDocument/2006/relationships/themeOverride" Target="../theme/themeOverride54.xml"/><Relationship Id="rId2" Type="http://schemas.microsoft.com/office/2011/relationships/chartColorStyle" Target="colors45.xml"/><Relationship Id="rId1" Type="http://schemas.microsoft.com/office/2011/relationships/chartStyle" Target="style45.xml"/><Relationship Id="rId4" Type="http://schemas.openxmlformats.org/officeDocument/2006/relationships/package" Target="../embeddings/Microsoft_Excel_Worksheet53.xlsx"/></Relationships>
</file>

<file path=word/charts/_rels/chart55.xml.rels><?xml version="1.0" encoding="UTF-8" standalone="yes"?>
<Relationships xmlns="http://schemas.openxmlformats.org/package/2006/relationships"><Relationship Id="rId3" Type="http://schemas.openxmlformats.org/officeDocument/2006/relationships/themeOverride" Target="../theme/themeOverride55.xml"/><Relationship Id="rId2" Type="http://schemas.microsoft.com/office/2011/relationships/chartColorStyle" Target="colors46.xml"/><Relationship Id="rId1" Type="http://schemas.microsoft.com/office/2011/relationships/chartStyle" Target="style46.xml"/><Relationship Id="rId4" Type="http://schemas.openxmlformats.org/officeDocument/2006/relationships/package" Target="../embeddings/Microsoft_Excel_Worksheet54.xlsx"/></Relationships>
</file>

<file path=word/charts/_rels/chart56.xml.rels><?xml version="1.0" encoding="UTF-8" standalone="yes"?>
<Relationships xmlns="http://schemas.openxmlformats.org/package/2006/relationships"><Relationship Id="rId3" Type="http://schemas.openxmlformats.org/officeDocument/2006/relationships/themeOverride" Target="../theme/themeOverride56.xml"/><Relationship Id="rId2" Type="http://schemas.microsoft.com/office/2011/relationships/chartColorStyle" Target="colors47.xml"/><Relationship Id="rId1" Type="http://schemas.microsoft.com/office/2011/relationships/chartStyle" Target="style47.xml"/><Relationship Id="rId4" Type="http://schemas.openxmlformats.org/officeDocument/2006/relationships/package" Target="../embeddings/Microsoft_Excel_Worksheet55.xlsx"/></Relationships>
</file>

<file path=word/charts/_rels/chart57.xml.rels><?xml version="1.0" encoding="UTF-8" standalone="yes"?>
<Relationships xmlns="http://schemas.openxmlformats.org/package/2006/relationships"><Relationship Id="rId3" Type="http://schemas.openxmlformats.org/officeDocument/2006/relationships/themeOverride" Target="../theme/themeOverride57.xml"/><Relationship Id="rId2" Type="http://schemas.microsoft.com/office/2011/relationships/chartColorStyle" Target="colors48.xml"/><Relationship Id="rId1" Type="http://schemas.microsoft.com/office/2011/relationships/chartStyle" Target="style48.xml"/><Relationship Id="rId4" Type="http://schemas.openxmlformats.org/officeDocument/2006/relationships/package" Target="../embeddings/Microsoft_Excel_Worksheet56.xlsx"/></Relationships>
</file>

<file path=word/charts/_rels/chart58.xml.rels><?xml version="1.0" encoding="UTF-8" standalone="yes"?>
<Relationships xmlns="http://schemas.openxmlformats.org/package/2006/relationships"><Relationship Id="rId3" Type="http://schemas.openxmlformats.org/officeDocument/2006/relationships/themeOverride" Target="../theme/themeOverride58.xml"/><Relationship Id="rId2" Type="http://schemas.microsoft.com/office/2011/relationships/chartColorStyle" Target="colors49.xml"/><Relationship Id="rId1" Type="http://schemas.microsoft.com/office/2011/relationships/chartStyle" Target="style49.xml"/><Relationship Id="rId4" Type="http://schemas.openxmlformats.org/officeDocument/2006/relationships/package" Target="../embeddings/Microsoft_Excel_Worksheet57.xlsx"/></Relationships>
</file>

<file path=word/charts/_rels/chart59.xml.rels><?xml version="1.0" encoding="UTF-8" standalone="yes"?>
<Relationships xmlns="http://schemas.openxmlformats.org/package/2006/relationships"><Relationship Id="rId3" Type="http://schemas.openxmlformats.org/officeDocument/2006/relationships/themeOverride" Target="../theme/themeOverride59.xml"/><Relationship Id="rId2" Type="http://schemas.microsoft.com/office/2011/relationships/chartColorStyle" Target="colors50.xml"/><Relationship Id="rId1" Type="http://schemas.microsoft.com/office/2011/relationships/chartStyle" Target="style50.xml"/><Relationship Id="rId4" Type="http://schemas.openxmlformats.org/officeDocument/2006/relationships/package" Target="../embeddings/Microsoft_Excel_Worksheet58.xlsx"/></Relationships>
</file>

<file path=word/charts/_rels/chart6.xml.rels><?xml version="1.0" encoding="UTF-8" standalone="yes"?>
<Relationships xmlns="http://schemas.openxmlformats.org/package/2006/relationships"><Relationship Id="rId2" Type="http://schemas.openxmlformats.org/officeDocument/2006/relationships/package" Target="../embeddings/Microsoft_Excel_Worksheet5.xlsx"/><Relationship Id="rId1" Type="http://schemas.openxmlformats.org/officeDocument/2006/relationships/themeOverride" Target="../theme/themeOverride6.xml"/></Relationships>
</file>

<file path=word/charts/_rels/chart60.xml.rels><?xml version="1.0" encoding="UTF-8" standalone="yes"?>
<Relationships xmlns="http://schemas.openxmlformats.org/package/2006/relationships"><Relationship Id="rId3" Type="http://schemas.openxmlformats.org/officeDocument/2006/relationships/themeOverride" Target="../theme/themeOverride60.xml"/><Relationship Id="rId2" Type="http://schemas.microsoft.com/office/2011/relationships/chartColorStyle" Target="colors51.xml"/><Relationship Id="rId1" Type="http://schemas.microsoft.com/office/2011/relationships/chartStyle" Target="style51.xml"/><Relationship Id="rId4" Type="http://schemas.openxmlformats.org/officeDocument/2006/relationships/package" Target="../embeddings/Microsoft_Excel_Worksheet59.xlsx"/></Relationships>
</file>

<file path=word/charts/_rels/chart61.xml.rels><?xml version="1.0" encoding="UTF-8" standalone="yes"?>
<Relationships xmlns="http://schemas.openxmlformats.org/package/2006/relationships"><Relationship Id="rId3" Type="http://schemas.openxmlformats.org/officeDocument/2006/relationships/themeOverride" Target="../theme/themeOverride61.xml"/><Relationship Id="rId2" Type="http://schemas.microsoft.com/office/2011/relationships/chartColorStyle" Target="colors52.xml"/><Relationship Id="rId1" Type="http://schemas.microsoft.com/office/2011/relationships/chartStyle" Target="style52.xml"/><Relationship Id="rId4" Type="http://schemas.openxmlformats.org/officeDocument/2006/relationships/package" Target="../embeddings/Microsoft_Excel_Worksheet60.xlsx"/></Relationships>
</file>

<file path=word/charts/_rels/chart62.xml.rels><?xml version="1.0" encoding="UTF-8" standalone="yes"?>
<Relationships xmlns="http://schemas.openxmlformats.org/package/2006/relationships"><Relationship Id="rId3" Type="http://schemas.openxmlformats.org/officeDocument/2006/relationships/themeOverride" Target="../theme/themeOverride62.xml"/><Relationship Id="rId2" Type="http://schemas.microsoft.com/office/2011/relationships/chartColorStyle" Target="colors53.xml"/><Relationship Id="rId1" Type="http://schemas.microsoft.com/office/2011/relationships/chartStyle" Target="style53.xml"/><Relationship Id="rId4" Type="http://schemas.openxmlformats.org/officeDocument/2006/relationships/package" Target="../embeddings/Microsoft_Excel_Worksheet61.xlsx"/></Relationships>
</file>

<file path=word/charts/_rels/chart63.xml.rels><?xml version="1.0" encoding="UTF-8" standalone="yes"?>
<Relationships xmlns="http://schemas.openxmlformats.org/package/2006/relationships"><Relationship Id="rId3" Type="http://schemas.openxmlformats.org/officeDocument/2006/relationships/themeOverride" Target="../theme/themeOverride63.xml"/><Relationship Id="rId2" Type="http://schemas.microsoft.com/office/2011/relationships/chartColorStyle" Target="colors54.xml"/><Relationship Id="rId1" Type="http://schemas.microsoft.com/office/2011/relationships/chartStyle" Target="style54.xml"/><Relationship Id="rId4" Type="http://schemas.openxmlformats.org/officeDocument/2006/relationships/package" Target="../embeddings/Microsoft_Excel_Worksheet62.xlsx"/></Relationships>
</file>

<file path=word/charts/_rels/chart64.xml.rels><?xml version="1.0" encoding="UTF-8" standalone="yes"?>
<Relationships xmlns="http://schemas.openxmlformats.org/package/2006/relationships"><Relationship Id="rId3" Type="http://schemas.openxmlformats.org/officeDocument/2006/relationships/themeOverride" Target="../theme/themeOverride64.xml"/><Relationship Id="rId2" Type="http://schemas.microsoft.com/office/2011/relationships/chartColorStyle" Target="colors55.xml"/><Relationship Id="rId1" Type="http://schemas.microsoft.com/office/2011/relationships/chartStyle" Target="style55.xml"/><Relationship Id="rId4" Type="http://schemas.openxmlformats.org/officeDocument/2006/relationships/package" Target="../embeddings/Microsoft_Excel_Worksheet63.xlsx"/></Relationships>
</file>

<file path=word/charts/_rels/chart65.xml.rels><?xml version="1.0" encoding="UTF-8" standalone="yes"?>
<Relationships xmlns="http://schemas.openxmlformats.org/package/2006/relationships"><Relationship Id="rId2" Type="http://schemas.openxmlformats.org/officeDocument/2006/relationships/package" Target="../embeddings/Microsoft_Excel_Worksheet64.xlsx"/><Relationship Id="rId1" Type="http://schemas.openxmlformats.org/officeDocument/2006/relationships/themeOverride" Target="../theme/themeOverride65.xml"/></Relationships>
</file>

<file path=word/charts/_rels/chart66.xml.rels><?xml version="1.0" encoding="UTF-8" standalone="yes"?>
<Relationships xmlns="http://schemas.openxmlformats.org/package/2006/relationships"><Relationship Id="rId3" Type="http://schemas.openxmlformats.org/officeDocument/2006/relationships/themeOverride" Target="../theme/themeOverride66.xml"/><Relationship Id="rId2" Type="http://schemas.microsoft.com/office/2011/relationships/chartColorStyle" Target="colors56.xml"/><Relationship Id="rId1" Type="http://schemas.microsoft.com/office/2011/relationships/chartStyle" Target="style56.xml"/><Relationship Id="rId4" Type="http://schemas.openxmlformats.org/officeDocument/2006/relationships/package" Target="../embeddings/Microsoft_Excel_Worksheet65.xlsx"/></Relationships>
</file>

<file path=word/charts/_rels/chart67.xml.rels><?xml version="1.0" encoding="UTF-8" standalone="yes"?>
<Relationships xmlns="http://schemas.openxmlformats.org/package/2006/relationships"><Relationship Id="rId3" Type="http://schemas.openxmlformats.org/officeDocument/2006/relationships/themeOverride" Target="../theme/themeOverride67.xml"/><Relationship Id="rId2" Type="http://schemas.microsoft.com/office/2011/relationships/chartColorStyle" Target="colors57.xml"/><Relationship Id="rId1" Type="http://schemas.microsoft.com/office/2011/relationships/chartStyle" Target="style57.xml"/><Relationship Id="rId4" Type="http://schemas.openxmlformats.org/officeDocument/2006/relationships/package" Target="../embeddings/Microsoft_Excel_Worksheet66.xlsx"/></Relationships>
</file>

<file path=word/charts/_rels/chart68.xml.rels><?xml version="1.0" encoding="UTF-8" standalone="yes"?>
<Relationships xmlns="http://schemas.openxmlformats.org/package/2006/relationships"><Relationship Id="rId3" Type="http://schemas.openxmlformats.org/officeDocument/2006/relationships/themeOverride" Target="../theme/themeOverride68.xml"/><Relationship Id="rId2" Type="http://schemas.microsoft.com/office/2011/relationships/chartColorStyle" Target="colors58.xml"/><Relationship Id="rId1" Type="http://schemas.microsoft.com/office/2011/relationships/chartStyle" Target="style58.xml"/><Relationship Id="rId4" Type="http://schemas.openxmlformats.org/officeDocument/2006/relationships/package" Target="../embeddings/Microsoft_Excel_Worksheet67.xlsx"/></Relationships>
</file>

<file path=word/charts/_rels/chart69.xml.rels><?xml version="1.0" encoding="UTF-8" standalone="yes"?>
<Relationships xmlns="http://schemas.openxmlformats.org/package/2006/relationships"><Relationship Id="rId3" Type="http://schemas.openxmlformats.org/officeDocument/2006/relationships/themeOverride" Target="../theme/themeOverride69.xml"/><Relationship Id="rId2" Type="http://schemas.microsoft.com/office/2011/relationships/chartColorStyle" Target="colors59.xml"/><Relationship Id="rId1" Type="http://schemas.microsoft.com/office/2011/relationships/chartStyle" Target="style59.xml"/><Relationship Id="rId4" Type="http://schemas.openxmlformats.org/officeDocument/2006/relationships/package" Target="../embeddings/Microsoft_Excel_Worksheet68.xlsx"/></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package" Target="../embeddings/Microsoft_Excel_Worksheet6.xlsx"/></Relationships>
</file>

<file path=word/charts/_rels/chart70.xml.rels><?xml version="1.0" encoding="UTF-8" standalone="yes"?>
<Relationships xmlns="http://schemas.openxmlformats.org/package/2006/relationships"><Relationship Id="rId3" Type="http://schemas.openxmlformats.org/officeDocument/2006/relationships/themeOverride" Target="../theme/themeOverride70.xml"/><Relationship Id="rId2" Type="http://schemas.microsoft.com/office/2011/relationships/chartColorStyle" Target="colors60.xml"/><Relationship Id="rId1" Type="http://schemas.microsoft.com/office/2011/relationships/chartStyle" Target="style60.xml"/><Relationship Id="rId4" Type="http://schemas.openxmlformats.org/officeDocument/2006/relationships/package" Target="../embeddings/Microsoft_Excel_Worksheet69.xlsx"/></Relationships>
</file>

<file path=word/charts/_rels/chart71.xml.rels><?xml version="1.0" encoding="UTF-8" standalone="yes"?>
<Relationships xmlns="http://schemas.openxmlformats.org/package/2006/relationships"><Relationship Id="rId3" Type="http://schemas.openxmlformats.org/officeDocument/2006/relationships/themeOverride" Target="../theme/themeOverride71.xml"/><Relationship Id="rId2" Type="http://schemas.microsoft.com/office/2011/relationships/chartColorStyle" Target="colors61.xml"/><Relationship Id="rId1" Type="http://schemas.microsoft.com/office/2011/relationships/chartStyle" Target="style61.xml"/><Relationship Id="rId4" Type="http://schemas.openxmlformats.org/officeDocument/2006/relationships/package" Target="../embeddings/Microsoft_Excel_Worksheet70.xlsx"/></Relationships>
</file>

<file path=word/charts/_rels/chart72.xml.rels><?xml version="1.0" encoding="UTF-8" standalone="yes"?>
<Relationships xmlns="http://schemas.openxmlformats.org/package/2006/relationships"><Relationship Id="rId3" Type="http://schemas.openxmlformats.org/officeDocument/2006/relationships/themeOverride" Target="../theme/themeOverride72.xml"/><Relationship Id="rId2" Type="http://schemas.microsoft.com/office/2011/relationships/chartColorStyle" Target="colors62.xml"/><Relationship Id="rId1" Type="http://schemas.microsoft.com/office/2011/relationships/chartStyle" Target="style62.xml"/><Relationship Id="rId4" Type="http://schemas.openxmlformats.org/officeDocument/2006/relationships/package" Target="../embeddings/Microsoft_Excel_Worksheet71.xlsx"/></Relationships>
</file>

<file path=word/charts/_rels/chart73.xml.rels><?xml version="1.0" encoding="UTF-8" standalone="yes"?>
<Relationships xmlns="http://schemas.openxmlformats.org/package/2006/relationships"><Relationship Id="rId2" Type="http://schemas.openxmlformats.org/officeDocument/2006/relationships/package" Target="../embeddings/Microsoft_Excel_Worksheet72.xlsx"/><Relationship Id="rId1" Type="http://schemas.openxmlformats.org/officeDocument/2006/relationships/themeOverride" Target="../theme/themeOverride73.xml"/></Relationships>
</file>

<file path=word/charts/_rels/chart74.xml.rels><?xml version="1.0" encoding="UTF-8" standalone="yes"?>
<Relationships xmlns="http://schemas.openxmlformats.org/package/2006/relationships"><Relationship Id="rId3" Type="http://schemas.openxmlformats.org/officeDocument/2006/relationships/themeOverride" Target="../theme/themeOverride74.xml"/><Relationship Id="rId2" Type="http://schemas.microsoft.com/office/2011/relationships/chartColorStyle" Target="colors63.xml"/><Relationship Id="rId1" Type="http://schemas.microsoft.com/office/2011/relationships/chartStyle" Target="style63.xml"/><Relationship Id="rId4" Type="http://schemas.openxmlformats.org/officeDocument/2006/relationships/package" Target="../embeddings/Microsoft_Excel_Worksheet73.xlsx"/></Relationships>
</file>

<file path=word/charts/_rels/chart75.xml.rels><?xml version="1.0" encoding="UTF-8" standalone="yes"?>
<Relationships xmlns="http://schemas.openxmlformats.org/package/2006/relationships"><Relationship Id="rId3" Type="http://schemas.openxmlformats.org/officeDocument/2006/relationships/themeOverride" Target="../theme/themeOverride75.xml"/><Relationship Id="rId2" Type="http://schemas.microsoft.com/office/2011/relationships/chartColorStyle" Target="colors64.xml"/><Relationship Id="rId1" Type="http://schemas.microsoft.com/office/2011/relationships/chartStyle" Target="style64.xml"/><Relationship Id="rId4" Type="http://schemas.openxmlformats.org/officeDocument/2006/relationships/package" Target="../embeddings/Microsoft_Excel_Worksheet74.xlsx"/></Relationships>
</file>

<file path=word/charts/_rels/chart76.xml.rels><?xml version="1.0" encoding="UTF-8" standalone="yes"?>
<Relationships xmlns="http://schemas.openxmlformats.org/package/2006/relationships"><Relationship Id="rId3" Type="http://schemas.openxmlformats.org/officeDocument/2006/relationships/themeOverride" Target="../theme/themeOverride76.xml"/><Relationship Id="rId2" Type="http://schemas.microsoft.com/office/2011/relationships/chartColorStyle" Target="colors65.xml"/><Relationship Id="rId1" Type="http://schemas.microsoft.com/office/2011/relationships/chartStyle" Target="style65.xml"/><Relationship Id="rId4" Type="http://schemas.openxmlformats.org/officeDocument/2006/relationships/package" Target="../embeddings/Microsoft_Excel_Worksheet75.xlsx"/></Relationships>
</file>

<file path=word/charts/_rels/chart77.xml.rels><?xml version="1.0" encoding="UTF-8" standalone="yes"?>
<Relationships xmlns="http://schemas.openxmlformats.org/package/2006/relationships"><Relationship Id="rId3" Type="http://schemas.openxmlformats.org/officeDocument/2006/relationships/themeOverride" Target="../theme/themeOverride77.xml"/><Relationship Id="rId2" Type="http://schemas.microsoft.com/office/2011/relationships/chartColorStyle" Target="colors66.xml"/><Relationship Id="rId1" Type="http://schemas.microsoft.com/office/2011/relationships/chartStyle" Target="style66.xml"/><Relationship Id="rId4" Type="http://schemas.openxmlformats.org/officeDocument/2006/relationships/package" Target="../embeddings/Microsoft_Excel_Worksheet76.xlsx"/></Relationships>
</file>

<file path=word/charts/_rels/chart78.xml.rels><?xml version="1.0" encoding="UTF-8" standalone="yes"?>
<Relationships xmlns="http://schemas.openxmlformats.org/package/2006/relationships"><Relationship Id="rId3" Type="http://schemas.openxmlformats.org/officeDocument/2006/relationships/themeOverride" Target="../theme/themeOverride78.xml"/><Relationship Id="rId2" Type="http://schemas.microsoft.com/office/2011/relationships/chartColorStyle" Target="colors67.xml"/><Relationship Id="rId1" Type="http://schemas.microsoft.com/office/2011/relationships/chartStyle" Target="style67.xml"/><Relationship Id="rId4" Type="http://schemas.openxmlformats.org/officeDocument/2006/relationships/package" Target="../embeddings/Microsoft_Excel_Worksheet77.xlsx"/></Relationships>
</file>

<file path=word/charts/_rels/chart79.xml.rels><?xml version="1.0" encoding="UTF-8" standalone="yes"?>
<Relationships xmlns="http://schemas.openxmlformats.org/package/2006/relationships"><Relationship Id="rId3" Type="http://schemas.openxmlformats.org/officeDocument/2006/relationships/themeOverride" Target="../theme/themeOverride79.xml"/><Relationship Id="rId2" Type="http://schemas.microsoft.com/office/2011/relationships/chartColorStyle" Target="colors68.xml"/><Relationship Id="rId1" Type="http://schemas.microsoft.com/office/2011/relationships/chartStyle" Target="style68.xml"/><Relationship Id="rId4" Type="http://schemas.openxmlformats.org/officeDocument/2006/relationships/package" Target="../embeddings/Microsoft_Excel_Worksheet78.xlsx"/></Relationships>
</file>

<file path=word/charts/_rels/chart8.xml.rels><?xml version="1.0" encoding="UTF-8" standalone="yes"?>
<Relationships xmlns="http://schemas.openxmlformats.org/package/2006/relationships"><Relationship Id="rId3" Type="http://schemas.openxmlformats.org/officeDocument/2006/relationships/themeOverride" Target="../theme/themeOverride8.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package" Target="../embeddings/Microsoft_Excel_Worksheet7.xlsx"/></Relationships>
</file>

<file path=word/charts/_rels/chart80.xml.rels><?xml version="1.0" encoding="UTF-8" standalone="yes"?>
<Relationships xmlns="http://schemas.openxmlformats.org/package/2006/relationships"><Relationship Id="rId3" Type="http://schemas.openxmlformats.org/officeDocument/2006/relationships/chartUserShapes" Target="../drawings/drawing7.xml"/><Relationship Id="rId2" Type="http://schemas.openxmlformats.org/officeDocument/2006/relationships/package" Target="../embeddings/Microsoft_Excel_Worksheet79.xlsx"/><Relationship Id="rId1" Type="http://schemas.openxmlformats.org/officeDocument/2006/relationships/themeOverride" Target="../theme/themeOverride80.xml"/></Relationships>
</file>

<file path=word/charts/_rels/chart81.xml.rels><?xml version="1.0" encoding="UTF-8" standalone="yes"?>
<Relationships xmlns="http://schemas.openxmlformats.org/package/2006/relationships"><Relationship Id="rId3" Type="http://schemas.openxmlformats.org/officeDocument/2006/relationships/chartUserShapes" Target="../drawings/drawing8.xml"/><Relationship Id="rId2" Type="http://schemas.openxmlformats.org/officeDocument/2006/relationships/package" Target="../embeddings/Microsoft_Excel_Worksheet80.xlsx"/><Relationship Id="rId1" Type="http://schemas.openxmlformats.org/officeDocument/2006/relationships/themeOverride" Target="../theme/themeOverride81.xml"/></Relationships>
</file>

<file path=word/charts/_rels/chart82.xml.rels><?xml version="1.0" encoding="UTF-8" standalone="yes"?>
<Relationships xmlns="http://schemas.openxmlformats.org/package/2006/relationships"><Relationship Id="rId3" Type="http://schemas.openxmlformats.org/officeDocument/2006/relationships/chartUserShapes" Target="../drawings/drawing9.xml"/><Relationship Id="rId2" Type="http://schemas.openxmlformats.org/officeDocument/2006/relationships/package" Target="../embeddings/Microsoft_Excel_Worksheet81.xlsx"/><Relationship Id="rId1" Type="http://schemas.openxmlformats.org/officeDocument/2006/relationships/themeOverride" Target="../theme/themeOverride82.xml"/></Relationships>
</file>

<file path=word/charts/_rels/chart83.xml.rels><?xml version="1.0" encoding="UTF-8" standalone="yes"?>
<Relationships xmlns="http://schemas.openxmlformats.org/package/2006/relationships"><Relationship Id="rId2" Type="http://schemas.openxmlformats.org/officeDocument/2006/relationships/package" Target="../embeddings/Microsoft_Excel_Worksheet82.xlsx"/><Relationship Id="rId1" Type="http://schemas.openxmlformats.org/officeDocument/2006/relationships/themeOverride" Target="../theme/themeOverride83.xml"/></Relationships>
</file>

<file path=word/charts/_rels/chart84.xml.rels><?xml version="1.0" encoding="UTF-8" standalone="yes"?>
<Relationships xmlns="http://schemas.openxmlformats.org/package/2006/relationships"><Relationship Id="rId3" Type="http://schemas.openxmlformats.org/officeDocument/2006/relationships/chartUserShapes" Target="../drawings/drawing10.xml"/><Relationship Id="rId2" Type="http://schemas.openxmlformats.org/officeDocument/2006/relationships/package" Target="../embeddings/Microsoft_Excel_Worksheet83.xlsx"/><Relationship Id="rId1" Type="http://schemas.openxmlformats.org/officeDocument/2006/relationships/themeOverride" Target="../theme/themeOverride84.xml"/></Relationships>
</file>

<file path=word/charts/_rels/chart85.xml.rels><?xml version="1.0" encoding="UTF-8" standalone="yes"?>
<Relationships xmlns="http://schemas.openxmlformats.org/package/2006/relationships"><Relationship Id="rId3" Type="http://schemas.openxmlformats.org/officeDocument/2006/relationships/chartUserShapes" Target="../drawings/drawing11.xml"/><Relationship Id="rId2" Type="http://schemas.openxmlformats.org/officeDocument/2006/relationships/package" Target="../embeddings/Microsoft_Excel_Worksheet84.xlsx"/><Relationship Id="rId1" Type="http://schemas.openxmlformats.org/officeDocument/2006/relationships/themeOverride" Target="../theme/themeOverride85.xml"/></Relationships>
</file>

<file path=word/charts/_rels/chart86.xml.rels><?xml version="1.0" encoding="UTF-8" standalone="yes"?>
<Relationships xmlns="http://schemas.openxmlformats.org/package/2006/relationships"><Relationship Id="rId3" Type="http://schemas.openxmlformats.org/officeDocument/2006/relationships/chartUserShapes" Target="../drawings/drawing12.xml"/><Relationship Id="rId2" Type="http://schemas.openxmlformats.org/officeDocument/2006/relationships/package" Target="../embeddings/Microsoft_Excel_Worksheet85.xlsx"/><Relationship Id="rId1" Type="http://schemas.openxmlformats.org/officeDocument/2006/relationships/themeOverride" Target="../theme/themeOverride86.xml"/></Relationships>
</file>

<file path=word/charts/_rels/chart87.xml.rels><?xml version="1.0" encoding="UTF-8" standalone="yes"?>
<Relationships xmlns="http://schemas.openxmlformats.org/package/2006/relationships"><Relationship Id="rId3" Type="http://schemas.openxmlformats.org/officeDocument/2006/relationships/chartUserShapes" Target="../drawings/drawing13.xml"/><Relationship Id="rId2" Type="http://schemas.openxmlformats.org/officeDocument/2006/relationships/package" Target="../embeddings/Microsoft_Excel_Worksheet86.xlsx"/><Relationship Id="rId1" Type="http://schemas.openxmlformats.org/officeDocument/2006/relationships/themeOverride" Target="../theme/themeOverride87.xml"/></Relationships>
</file>

<file path=word/charts/_rels/chart88.xml.rels><?xml version="1.0" encoding="UTF-8" standalone="yes"?>
<Relationships xmlns="http://schemas.openxmlformats.org/package/2006/relationships"><Relationship Id="rId3" Type="http://schemas.openxmlformats.org/officeDocument/2006/relationships/themeOverride" Target="../theme/themeOverride88.xml"/><Relationship Id="rId2" Type="http://schemas.microsoft.com/office/2011/relationships/chartColorStyle" Target="colors69.xml"/><Relationship Id="rId1" Type="http://schemas.microsoft.com/office/2011/relationships/chartStyle" Target="style69.xml"/><Relationship Id="rId5" Type="http://schemas.openxmlformats.org/officeDocument/2006/relationships/chartUserShapes" Target="../drawings/drawing14.xml"/><Relationship Id="rId4" Type="http://schemas.openxmlformats.org/officeDocument/2006/relationships/package" Target="../embeddings/Microsoft_Excel_Worksheet87.xlsx"/></Relationships>
</file>

<file path=word/charts/_rels/chart89.xml.rels><?xml version="1.0" encoding="UTF-8" standalone="yes"?>
<Relationships xmlns="http://schemas.openxmlformats.org/package/2006/relationships"><Relationship Id="rId3" Type="http://schemas.openxmlformats.org/officeDocument/2006/relationships/chartUserShapes" Target="../drawings/drawing15.xml"/><Relationship Id="rId2" Type="http://schemas.openxmlformats.org/officeDocument/2006/relationships/package" Target="../embeddings/Microsoft_Excel_Worksheet88.xlsx"/><Relationship Id="rId1" Type="http://schemas.openxmlformats.org/officeDocument/2006/relationships/themeOverride" Target="../theme/themeOverride89.xml"/></Relationships>
</file>

<file path=word/charts/_rels/chart9.xml.rels><?xml version="1.0" encoding="UTF-8" standalone="yes"?>
<Relationships xmlns="http://schemas.openxmlformats.org/package/2006/relationships"><Relationship Id="rId3" Type="http://schemas.openxmlformats.org/officeDocument/2006/relationships/themeOverride" Target="../theme/themeOverride9.xm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package" Target="../embeddings/Microsoft_Excel_Worksheet8.xlsx"/></Relationships>
</file>

<file path=word/charts/_rels/chart90.xml.rels><?xml version="1.0" encoding="UTF-8" standalone="yes"?>
<Relationships xmlns="http://schemas.openxmlformats.org/package/2006/relationships"><Relationship Id="rId3" Type="http://schemas.openxmlformats.org/officeDocument/2006/relationships/chartUserShapes" Target="../drawings/drawing16.xml"/><Relationship Id="rId2" Type="http://schemas.openxmlformats.org/officeDocument/2006/relationships/package" Target="../embeddings/Microsoft_Excel_Worksheet89.xlsx"/><Relationship Id="rId1" Type="http://schemas.openxmlformats.org/officeDocument/2006/relationships/themeOverride" Target="../theme/themeOverride90.xml"/></Relationships>
</file>

<file path=word/charts/_rels/chart91.xml.rels><?xml version="1.0" encoding="UTF-8" standalone="yes"?>
<Relationships xmlns="http://schemas.openxmlformats.org/package/2006/relationships"><Relationship Id="rId2" Type="http://schemas.openxmlformats.org/officeDocument/2006/relationships/package" Target="../embeddings/Microsoft_Excel_Worksheet90.xlsx"/><Relationship Id="rId1" Type="http://schemas.openxmlformats.org/officeDocument/2006/relationships/themeOverride" Target="../theme/themeOverride91.xml"/></Relationships>
</file>

<file path=word/charts/_rels/chart92.xml.rels><?xml version="1.0" encoding="UTF-8" standalone="yes"?>
<Relationships xmlns="http://schemas.openxmlformats.org/package/2006/relationships"><Relationship Id="rId3" Type="http://schemas.openxmlformats.org/officeDocument/2006/relationships/chartUserShapes" Target="../drawings/drawing17.xml"/><Relationship Id="rId2" Type="http://schemas.openxmlformats.org/officeDocument/2006/relationships/package" Target="../embeddings/Microsoft_Excel_Worksheet91.xlsx"/><Relationship Id="rId1" Type="http://schemas.openxmlformats.org/officeDocument/2006/relationships/themeOverride" Target="../theme/themeOverride92.xml"/></Relationships>
</file>

<file path=word/charts/_rels/chart93.xml.rels><?xml version="1.0" encoding="UTF-8" standalone="yes"?>
<Relationships xmlns="http://schemas.openxmlformats.org/package/2006/relationships"><Relationship Id="rId3" Type="http://schemas.openxmlformats.org/officeDocument/2006/relationships/themeOverride" Target="../theme/themeOverride93.xml"/><Relationship Id="rId2" Type="http://schemas.microsoft.com/office/2011/relationships/chartColorStyle" Target="colors70.xml"/><Relationship Id="rId1" Type="http://schemas.microsoft.com/office/2011/relationships/chartStyle" Target="style70.xml"/><Relationship Id="rId4" Type="http://schemas.openxmlformats.org/officeDocument/2006/relationships/package" Target="../embeddings/Microsoft_Excel_Worksheet92.xlsx"/></Relationships>
</file>

<file path=word/charts/_rels/chart94.xml.rels><?xml version="1.0" encoding="UTF-8" standalone="yes"?>
<Relationships xmlns="http://schemas.openxmlformats.org/package/2006/relationships"><Relationship Id="rId2" Type="http://schemas.openxmlformats.org/officeDocument/2006/relationships/package" Target="../embeddings/Microsoft_Excel_Worksheet93.xlsx"/><Relationship Id="rId1" Type="http://schemas.openxmlformats.org/officeDocument/2006/relationships/themeOverride" Target="../theme/themeOverride94.xml"/></Relationships>
</file>

<file path=word/charts/_rels/chart95.xml.rels><?xml version="1.0" encoding="UTF-8" standalone="yes"?>
<Relationships xmlns="http://schemas.openxmlformats.org/package/2006/relationships"><Relationship Id="rId3" Type="http://schemas.openxmlformats.org/officeDocument/2006/relationships/chartUserShapes" Target="../drawings/drawing18.xml"/><Relationship Id="rId2" Type="http://schemas.openxmlformats.org/officeDocument/2006/relationships/package" Target="../embeddings/Microsoft_Excel_Worksheet94.xlsx"/><Relationship Id="rId1" Type="http://schemas.openxmlformats.org/officeDocument/2006/relationships/themeOverride" Target="../theme/themeOverride95.xml"/></Relationships>
</file>

<file path=word/charts/_rels/chart96.xml.rels><?xml version="1.0" encoding="UTF-8" standalone="yes"?>
<Relationships xmlns="http://schemas.openxmlformats.org/package/2006/relationships"><Relationship Id="rId3" Type="http://schemas.openxmlformats.org/officeDocument/2006/relationships/chartUserShapes" Target="../drawings/drawing19.xml"/><Relationship Id="rId2" Type="http://schemas.openxmlformats.org/officeDocument/2006/relationships/package" Target="../embeddings/Microsoft_Excel_Worksheet95.xlsx"/><Relationship Id="rId1" Type="http://schemas.openxmlformats.org/officeDocument/2006/relationships/themeOverride" Target="../theme/themeOverride96.xml"/></Relationships>
</file>

<file path=word/charts/_rels/chart97.xml.rels><?xml version="1.0" encoding="UTF-8" standalone="yes"?>
<Relationships xmlns="http://schemas.openxmlformats.org/package/2006/relationships"><Relationship Id="rId3" Type="http://schemas.openxmlformats.org/officeDocument/2006/relationships/chartUserShapes" Target="../drawings/drawing20.xml"/><Relationship Id="rId2" Type="http://schemas.openxmlformats.org/officeDocument/2006/relationships/package" Target="../embeddings/Microsoft_Excel_Worksheet96.xlsx"/><Relationship Id="rId1" Type="http://schemas.openxmlformats.org/officeDocument/2006/relationships/themeOverride" Target="../theme/themeOverride97.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chemeClr val="accent1"/>
            </a:solidFill>
            <a:ln>
              <a:noFill/>
            </a:ln>
            <a:effectLst/>
          </c:spPr>
          <c:invertIfNegative val="0"/>
          <c:dPt>
            <c:idx val="2"/>
            <c:invertIfNegative val="0"/>
            <c:bubble3D val="0"/>
            <c:spPr>
              <a:solidFill>
                <a:schemeClr val="accent2"/>
              </a:solidFill>
              <a:ln>
                <a:noFill/>
              </a:ln>
              <a:effectLst/>
            </c:spPr>
            <c:extLst>
              <c:ext xmlns:c16="http://schemas.microsoft.com/office/drawing/2014/chart" uri="{C3380CC4-5D6E-409C-BE32-E72D297353CC}">
                <c16:uniqueId val="{00000001-AE1F-4020-B2CA-E2F6665AA1C3}"/>
              </c:ext>
            </c:extLst>
          </c:dPt>
          <c:dLbls>
            <c:numFmt formatCode="#,##0.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o-R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('51'!$C$3:$C$4,'51'!$D$4,'51'!$E$4)</c:f>
              <c:strCache>
                <c:ptCount val="3"/>
                <c:pt idx="0">
                  <c:v>Persoane
fumătoare
(%)</c:v>
                </c:pt>
                <c:pt idx="1">
                  <c:v> Zilnic</c:v>
                </c:pt>
                <c:pt idx="2">
                  <c:v>Ocazional</c:v>
                </c:pt>
              </c:strCache>
            </c:strRef>
          </c:cat>
          <c:val>
            <c:numRef>
              <c:f>'51'!$C$7:$E$7</c:f>
              <c:numCache>
                <c:formatCode>0.00</c:formatCode>
                <c:ptCount val="3"/>
                <c:pt idx="0">
                  <c:v>26.81</c:v>
                </c:pt>
                <c:pt idx="1">
                  <c:v>18.670000000000002</c:v>
                </c:pt>
                <c:pt idx="2">
                  <c:v>8.14</c:v>
                </c:pt>
              </c:numCache>
            </c:numRef>
          </c:val>
          <c:extLst>
            <c:ext xmlns:c16="http://schemas.microsoft.com/office/drawing/2014/chart" uri="{C3380CC4-5D6E-409C-BE32-E72D297353CC}">
              <c16:uniqueId val="{00000002-AE1F-4020-B2CA-E2F6665AA1C3}"/>
            </c:ext>
          </c:extLst>
        </c:ser>
        <c:dLbls>
          <c:showLegendKey val="0"/>
          <c:showVal val="0"/>
          <c:showCatName val="0"/>
          <c:showSerName val="0"/>
          <c:showPercent val="0"/>
          <c:showBubbleSize val="0"/>
        </c:dLbls>
        <c:gapWidth val="219"/>
        <c:overlap val="-27"/>
        <c:axId val="766564111"/>
        <c:axId val="766561231"/>
      </c:barChart>
      <c:catAx>
        <c:axId val="76656411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o-RO"/>
          </a:p>
        </c:txPr>
        <c:crossAx val="766561231"/>
        <c:crosses val="autoZero"/>
        <c:auto val="1"/>
        <c:lblAlgn val="ctr"/>
        <c:lblOffset val="100"/>
        <c:noMultiLvlLbl val="0"/>
      </c:catAx>
      <c:valAx>
        <c:axId val="766561231"/>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o-RO"/>
          </a:p>
        </c:txPr>
        <c:crossAx val="766564111"/>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o-RO"/>
    </a:p>
  </c:txPr>
  <c:externalData r:id="rId4">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3.9510570471308182E-2"/>
          <c:y val="0.16173776119667677"/>
          <c:w val="0.94580641739775784"/>
          <c:h val="0.54846891868052683"/>
        </c:manualLayout>
      </c:layout>
      <c:lineChart>
        <c:grouping val="standard"/>
        <c:varyColors val="0"/>
        <c:ser>
          <c:idx val="1"/>
          <c:order val="0"/>
          <c:tx>
            <c:strRef>
              <c:f>'g4-2'!$B$27</c:f>
              <c:strCache>
                <c:ptCount val="1"/>
                <c:pt idx="0">
                  <c:v>2013</c:v>
                </c:pt>
              </c:strCache>
            </c:strRef>
          </c:tx>
          <c:spPr>
            <a:ln w="25400">
              <a:noFill/>
            </a:ln>
            <a:effectLst/>
          </c:spPr>
          <c:marker>
            <c:symbol val="circle"/>
            <c:size val="5"/>
            <c:spPr>
              <a:solidFill>
                <a:sysClr val="window" lastClr="FFFFFF"/>
              </a:solidFill>
              <a:ln w="6350" cap="flat" cmpd="sng" algn="ctr">
                <a:solidFill>
                  <a:srgbClr val="000000"/>
                </a:solidFill>
                <a:prstDash val="solid"/>
                <a:round/>
              </a:ln>
              <a:effectLst/>
            </c:spPr>
          </c:marker>
          <c:dPt>
            <c:idx val="10"/>
            <c:bubble3D val="0"/>
            <c:extLst>
              <c:ext xmlns:c16="http://schemas.microsoft.com/office/drawing/2014/chart" uri="{C3380CC4-5D6E-409C-BE32-E72D297353CC}">
                <c16:uniqueId val="{00000000-15D9-4028-96FD-01D12D9D835D}"/>
              </c:ext>
            </c:extLst>
          </c:dPt>
          <c:dPt>
            <c:idx val="12"/>
            <c:bubble3D val="0"/>
            <c:extLst>
              <c:ext xmlns:c16="http://schemas.microsoft.com/office/drawing/2014/chart" uri="{C3380CC4-5D6E-409C-BE32-E72D297353CC}">
                <c16:uniqueId val="{00000001-15D9-4028-96FD-01D12D9D835D}"/>
              </c:ext>
            </c:extLst>
          </c:dPt>
          <c:dPt>
            <c:idx val="15"/>
            <c:bubble3D val="0"/>
            <c:extLst>
              <c:ext xmlns:c16="http://schemas.microsoft.com/office/drawing/2014/chart" uri="{C3380CC4-5D6E-409C-BE32-E72D297353CC}">
                <c16:uniqueId val="{00000002-15D9-4028-96FD-01D12D9D835D}"/>
              </c:ext>
            </c:extLst>
          </c:dPt>
          <c:dPt>
            <c:idx val="16"/>
            <c:bubble3D val="0"/>
            <c:extLst>
              <c:ext xmlns:c16="http://schemas.microsoft.com/office/drawing/2014/chart" uri="{C3380CC4-5D6E-409C-BE32-E72D297353CC}">
                <c16:uniqueId val="{00000003-15D9-4028-96FD-01D12D9D835D}"/>
              </c:ext>
            </c:extLst>
          </c:dPt>
          <c:dPt>
            <c:idx val="17"/>
            <c:marker>
              <c:spPr>
                <a:solidFill>
                  <a:sysClr val="windowText" lastClr="000000"/>
                </a:solidFill>
                <a:ln w="6350" cap="flat" cmpd="sng" algn="ctr">
                  <a:solidFill>
                    <a:srgbClr val="000000"/>
                  </a:solidFill>
                  <a:prstDash val="solid"/>
                  <a:round/>
                </a:ln>
                <a:effectLst/>
              </c:spPr>
            </c:marker>
            <c:bubble3D val="0"/>
            <c:extLst>
              <c:ext xmlns:c16="http://schemas.microsoft.com/office/drawing/2014/chart" uri="{C3380CC4-5D6E-409C-BE32-E72D297353CC}">
                <c16:uniqueId val="{00000004-15D9-4028-96FD-01D12D9D835D}"/>
              </c:ext>
            </c:extLst>
          </c:dPt>
          <c:dPt>
            <c:idx val="18"/>
            <c:bubble3D val="0"/>
            <c:extLst>
              <c:ext xmlns:c16="http://schemas.microsoft.com/office/drawing/2014/chart" uri="{C3380CC4-5D6E-409C-BE32-E72D297353CC}">
                <c16:uniqueId val="{00000005-15D9-4028-96FD-01D12D9D835D}"/>
              </c:ext>
            </c:extLst>
          </c:dPt>
          <c:dLbls>
            <c:delete val="1"/>
          </c:dLbls>
          <c:cat>
            <c:strRef>
              <c:f>'g4-2'!$A$28:$A$62</c:f>
              <c:strCache>
                <c:ptCount val="35"/>
                <c:pt idx="0">
                  <c:v>Islanda²</c:v>
                </c:pt>
                <c:pt idx="1">
                  <c:v>Costa Rica</c:v>
                </c:pt>
                <c:pt idx="2">
                  <c:v>Noua Zeelandă²</c:v>
                </c:pt>
                <c:pt idx="3">
                  <c:v>Norvegia²</c:v>
                </c:pt>
                <c:pt idx="4">
                  <c:v>SUA</c:v>
                </c:pt>
                <c:pt idx="5">
                  <c:v>India*¹</c:v>
                </c:pt>
                <c:pt idx="6">
                  <c:v>Australia¹</c:v>
                </c:pt>
                <c:pt idx="7">
                  <c:v>Mexic</c:v>
                </c:pt>
                <c:pt idx="8">
                  <c:v>Suedia</c:v>
                </c:pt>
                <c:pt idx="9">
                  <c:v>Canada</c:v>
                </c:pt>
                <c:pt idx="10">
                  <c:v>Brazilia*¹</c:v>
                </c:pt>
                <c:pt idx="11">
                  <c:v>UK</c:v>
                </c:pt>
                <c:pt idx="12">
                  <c:v>Danemarca²</c:v>
                </c:pt>
                <c:pt idx="13">
                  <c:v>Finlanda¹</c:v>
                </c:pt>
                <c:pt idx="14">
                  <c:v>Belgia</c:v>
                </c:pt>
                <c:pt idx="15">
                  <c:v>Estonia²</c:v>
                </c:pt>
                <c:pt idx="16">
                  <c:v>Țările de Jos</c:v>
                </c:pt>
                <c:pt idx="17">
                  <c:v>OECD28</c:v>
                </c:pt>
                <c:pt idx="18">
                  <c:v>Irlanda²</c:v>
                </c:pt>
                <c:pt idx="19">
                  <c:v>Germania¹</c:v>
                </c:pt>
                <c:pt idx="20">
                  <c:v>Luxemburg²</c:v>
                </c:pt>
                <c:pt idx="21">
                  <c:v>Korea</c:v>
                </c:pt>
                <c:pt idx="22">
                  <c:v>Japonia</c:v>
                </c:pt>
                <c:pt idx="23">
                  <c:v>Cehia</c:v>
                </c:pt>
                <c:pt idx="24">
                  <c:v>Chile¹</c:v>
                </c:pt>
                <c:pt idx="25">
                  <c:v>Elveția¹</c:v>
                </c:pt>
                <c:pt idx="26">
                  <c:v>Israel²</c:v>
                </c:pt>
                <c:pt idx="27">
                  <c:v>Italia</c:v>
                </c:pt>
                <c:pt idx="28">
                  <c:v>Spania¹</c:v>
                </c:pt>
                <c:pt idx="29">
                  <c:v>Africa de Sud*¹</c:v>
                </c:pt>
                <c:pt idx="30">
                  <c:v>Argentina*¹</c:v>
                </c:pt>
                <c:pt idx="31">
                  <c:v>Franța</c:v>
                </c:pt>
                <c:pt idx="32">
                  <c:v>China*¹</c:v>
                </c:pt>
                <c:pt idx="33">
                  <c:v>Turcia¹</c:v>
                </c:pt>
                <c:pt idx="34">
                  <c:v>Indonezia*¹</c:v>
                </c:pt>
              </c:strCache>
            </c:strRef>
          </c:cat>
          <c:val>
            <c:numRef>
              <c:f>'g4-2'!$B$28:$B$62</c:f>
              <c:numCache>
                <c:formatCode>General</c:formatCode>
                <c:ptCount val="35"/>
                <c:pt idx="0">
                  <c:v>11.4</c:v>
                </c:pt>
                <c:pt idx="1">
                  <c:v>12.3</c:v>
                </c:pt>
                <c:pt idx="2">
                  <c:v>15.8</c:v>
                </c:pt>
                <c:pt idx="3">
                  <c:v>15</c:v>
                </c:pt>
                <c:pt idx="4">
                  <c:v>13.7</c:v>
                </c:pt>
                <c:pt idx="5">
                  <c:v>10.9</c:v>
                </c:pt>
                <c:pt idx="6">
                  <c:v>13</c:v>
                </c:pt>
                <c:pt idx="7">
                  <c:v>7.6</c:v>
                </c:pt>
                <c:pt idx="8">
                  <c:v>10.7</c:v>
                </c:pt>
                <c:pt idx="9">
                  <c:v>14.9</c:v>
                </c:pt>
                <c:pt idx="10">
                  <c:v>11.3</c:v>
                </c:pt>
                <c:pt idx="11">
                  <c:v>19.2</c:v>
                </c:pt>
                <c:pt idx="12">
                  <c:v>17</c:v>
                </c:pt>
                <c:pt idx="13">
                  <c:v>15.8</c:v>
                </c:pt>
                <c:pt idx="14">
                  <c:v>18.899999999999999</c:v>
                </c:pt>
                <c:pt idx="15">
                  <c:v>22.1</c:v>
                </c:pt>
                <c:pt idx="16">
                  <c:v>18.5</c:v>
                </c:pt>
                <c:pt idx="17" formatCode="0.0">
                  <c:v>17.99642857142857</c:v>
                </c:pt>
                <c:pt idx="18">
                  <c:v>19</c:v>
                </c:pt>
                <c:pt idx="19">
                  <c:v>20.9</c:v>
                </c:pt>
                <c:pt idx="20">
                  <c:v>15.7</c:v>
                </c:pt>
                <c:pt idx="21">
                  <c:v>19.899999999999999</c:v>
                </c:pt>
                <c:pt idx="22">
                  <c:v>19.3</c:v>
                </c:pt>
                <c:pt idx="23">
                  <c:v>22.2</c:v>
                </c:pt>
                <c:pt idx="24">
                  <c:v>24.5</c:v>
                </c:pt>
                <c:pt idx="25">
                  <c:v>20.399999999999999</c:v>
                </c:pt>
                <c:pt idx="26">
                  <c:v>16.2</c:v>
                </c:pt>
                <c:pt idx="27">
                  <c:v>21.1</c:v>
                </c:pt>
                <c:pt idx="28">
                  <c:v>23</c:v>
                </c:pt>
                <c:pt idx="29">
                  <c:v>20.6</c:v>
                </c:pt>
                <c:pt idx="30">
                  <c:v>26</c:v>
                </c:pt>
                <c:pt idx="31">
                  <c:v>28.5</c:v>
                </c:pt>
                <c:pt idx="32">
                  <c:v>25.8</c:v>
                </c:pt>
                <c:pt idx="33">
                  <c:v>27.3</c:v>
                </c:pt>
                <c:pt idx="34">
                  <c:v>32</c:v>
                </c:pt>
              </c:numCache>
            </c:numRef>
          </c:val>
          <c:smooth val="0"/>
          <c:extLst>
            <c:ext xmlns:c16="http://schemas.microsoft.com/office/drawing/2014/chart" uri="{C3380CC4-5D6E-409C-BE32-E72D297353CC}">
              <c16:uniqueId val="{00000006-15D9-4028-96FD-01D12D9D835D}"/>
            </c:ext>
          </c:extLst>
        </c:ser>
        <c:ser>
          <c:idx val="2"/>
          <c:order val="1"/>
          <c:tx>
            <c:strRef>
              <c:f>'g4-2'!$C$27</c:f>
              <c:strCache>
                <c:ptCount val="1"/>
                <c:pt idx="0">
                  <c:v>2023</c:v>
                </c:pt>
              </c:strCache>
            </c:strRef>
          </c:tx>
          <c:spPr>
            <a:ln w="25400">
              <a:noFill/>
            </a:ln>
            <a:effectLst/>
          </c:spPr>
          <c:marker>
            <c:symbol val="circle"/>
            <c:size val="5"/>
            <c:spPr>
              <a:solidFill>
                <a:srgbClr val="0E2841">
                  <a:lumMod val="50000"/>
                  <a:lumOff val="50000"/>
                </a:srgbClr>
              </a:solidFill>
              <a:ln w="6350" cap="flat" cmpd="sng" algn="ctr">
                <a:solidFill>
                  <a:srgbClr val="000000"/>
                </a:solidFill>
                <a:prstDash val="solid"/>
                <a:round/>
              </a:ln>
              <a:effectLst/>
            </c:spPr>
          </c:marker>
          <c:dPt>
            <c:idx val="15"/>
            <c:bubble3D val="0"/>
            <c:extLst>
              <c:ext xmlns:c16="http://schemas.microsoft.com/office/drawing/2014/chart" uri="{C3380CC4-5D6E-409C-BE32-E72D297353CC}">
                <c16:uniqueId val="{00000007-15D9-4028-96FD-01D12D9D835D}"/>
              </c:ext>
            </c:extLst>
          </c:dPt>
          <c:dPt>
            <c:idx val="16"/>
            <c:bubble3D val="0"/>
            <c:extLst>
              <c:ext xmlns:c16="http://schemas.microsoft.com/office/drawing/2014/chart" uri="{C3380CC4-5D6E-409C-BE32-E72D297353CC}">
                <c16:uniqueId val="{00000008-15D9-4028-96FD-01D12D9D835D}"/>
              </c:ext>
            </c:extLst>
          </c:dPt>
          <c:dPt>
            <c:idx val="17"/>
            <c:bubble3D val="0"/>
            <c:extLst>
              <c:ext xmlns:c16="http://schemas.microsoft.com/office/drawing/2014/chart" uri="{C3380CC4-5D6E-409C-BE32-E72D297353CC}">
                <c16:uniqueId val="{00000009-15D9-4028-96FD-01D12D9D835D}"/>
              </c:ext>
            </c:extLst>
          </c:dPt>
          <c:dLbls>
            <c:delete val="1"/>
          </c:dLbls>
          <c:cat>
            <c:strRef>
              <c:f>'g4-2'!$A$28:$A$62</c:f>
              <c:strCache>
                <c:ptCount val="35"/>
                <c:pt idx="0">
                  <c:v>Islanda²</c:v>
                </c:pt>
                <c:pt idx="1">
                  <c:v>Costa Rica</c:v>
                </c:pt>
                <c:pt idx="2">
                  <c:v>Noua Zeelandă²</c:v>
                </c:pt>
                <c:pt idx="3">
                  <c:v>Norvegia²</c:v>
                </c:pt>
                <c:pt idx="4">
                  <c:v>SUA</c:v>
                </c:pt>
                <c:pt idx="5">
                  <c:v>India*¹</c:v>
                </c:pt>
                <c:pt idx="6">
                  <c:v>Australia¹</c:v>
                </c:pt>
                <c:pt idx="7">
                  <c:v>Mexic</c:v>
                </c:pt>
                <c:pt idx="8">
                  <c:v>Suedia</c:v>
                </c:pt>
                <c:pt idx="9">
                  <c:v>Canada</c:v>
                </c:pt>
                <c:pt idx="10">
                  <c:v>Brazilia*¹</c:v>
                </c:pt>
                <c:pt idx="11">
                  <c:v>UK</c:v>
                </c:pt>
                <c:pt idx="12">
                  <c:v>Danemarca²</c:v>
                </c:pt>
                <c:pt idx="13">
                  <c:v>Finlanda¹</c:v>
                </c:pt>
                <c:pt idx="14">
                  <c:v>Belgia</c:v>
                </c:pt>
                <c:pt idx="15">
                  <c:v>Estonia²</c:v>
                </c:pt>
                <c:pt idx="16">
                  <c:v>Țările de Jos</c:v>
                </c:pt>
                <c:pt idx="17">
                  <c:v>OECD28</c:v>
                </c:pt>
                <c:pt idx="18">
                  <c:v>Irlanda²</c:v>
                </c:pt>
                <c:pt idx="19">
                  <c:v>Germania¹</c:v>
                </c:pt>
                <c:pt idx="20">
                  <c:v>Luxemburg²</c:v>
                </c:pt>
                <c:pt idx="21">
                  <c:v>Korea</c:v>
                </c:pt>
                <c:pt idx="22">
                  <c:v>Japonia</c:v>
                </c:pt>
                <c:pt idx="23">
                  <c:v>Cehia</c:v>
                </c:pt>
                <c:pt idx="24">
                  <c:v>Chile¹</c:v>
                </c:pt>
                <c:pt idx="25">
                  <c:v>Elveția¹</c:v>
                </c:pt>
                <c:pt idx="26">
                  <c:v>Israel²</c:v>
                </c:pt>
                <c:pt idx="27">
                  <c:v>Italia</c:v>
                </c:pt>
                <c:pt idx="28">
                  <c:v>Spania¹</c:v>
                </c:pt>
                <c:pt idx="29">
                  <c:v>Africa de Sud*¹</c:v>
                </c:pt>
                <c:pt idx="30">
                  <c:v>Argentina*¹</c:v>
                </c:pt>
                <c:pt idx="31">
                  <c:v>Franța</c:v>
                </c:pt>
                <c:pt idx="32">
                  <c:v>China*¹</c:v>
                </c:pt>
                <c:pt idx="33">
                  <c:v>Turcia¹</c:v>
                </c:pt>
                <c:pt idx="34">
                  <c:v>Indonezia*¹</c:v>
                </c:pt>
              </c:strCache>
            </c:strRef>
          </c:cat>
          <c:val>
            <c:numRef>
              <c:f>'g4-2'!$C$28:$C$62</c:f>
              <c:numCache>
                <c:formatCode>General</c:formatCode>
                <c:ptCount val="35"/>
                <c:pt idx="0">
                  <c:v>5.6</c:v>
                </c:pt>
                <c:pt idx="1">
                  <c:v>6.2</c:v>
                </c:pt>
                <c:pt idx="2">
                  <c:v>6.9</c:v>
                </c:pt>
                <c:pt idx="3">
                  <c:v>8</c:v>
                </c:pt>
                <c:pt idx="4">
                  <c:v>8</c:v>
                </c:pt>
                <c:pt idx="5">
                  <c:v>8.1</c:v>
                </c:pt>
                <c:pt idx="6">
                  <c:v>8.5</c:v>
                </c:pt>
                <c:pt idx="7">
                  <c:v>8.5</c:v>
                </c:pt>
                <c:pt idx="8">
                  <c:v>8.5</c:v>
                </c:pt>
                <c:pt idx="9">
                  <c:v>8.6999999999999993</c:v>
                </c:pt>
                <c:pt idx="10">
                  <c:v>9.1</c:v>
                </c:pt>
                <c:pt idx="11">
                  <c:v>10.5</c:v>
                </c:pt>
                <c:pt idx="12">
                  <c:v>11</c:v>
                </c:pt>
                <c:pt idx="13">
                  <c:v>11.3</c:v>
                </c:pt>
                <c:pt idx="14">
                  <c:v>12.8</c:v>
                </c:pt>
                <c:pt idx="15">
                  <c:v>13.2</c:v>
                </c:pt>
                <c:pt idx="16">
                  <c:v>13.2</c:v>
                </c:pt>
                <c:pt idx="17" formatCode="0.0">
                  <c:v>13.260714285714288</c:v>
                </c:pt>
                <c:pt idx="18">
                  <c:v>14</c:v>
                </c:pt>
                <c:pt idx="19">
                  <c:v>14.6</c:v>
                </c:pt>
                <c:pt idx="20">
                  <c:v>15.1</c:v>
                </c:pt>
                <c:pt idx="21">
                  <c:v>15.3</c:v>
                </c:pt>
                <c:pt idx="22">
                  <c:v>15.7</c:v>
                </c:pt>
                <c:pt idx="23">
                  <c:v>15.9</c:v>
                </c:pt>
                <c:pt idx="24">
                  <c:v>16</c:v>
                </c:pt>
                <c:pt idx="25">
                  <c:v>16.100000000000001</c:v>
                </c:pt>
                <c:pt idx="26">
                  <c:v>17</c:v>
                </c:pt>
                <c:pt idx="27">
                  <c:v>19.5</c:v>
                </c:pt>
                <c:pt idx="28">
                  <c:v>19.8</c:v>
                </c:pt>
                <c:pt idx="29">
                  <c:v>20.2</c:v>
                </c:pt>
                <c:pt idx="30">
                  <c:v>23.1</c:v>
                </c:pt>
                <c:pt idx="31">
                  <c:v>23.1</c:v>
                </c:pt>
                <c:pt idx="32">
                  <c:v>25.3</c:v>
                </c:pt>
                <c:pt idx="33">
                  <c:v>28.3</c:v>
                </c:pt>
                <c:pt idx="34">
                  <c:v>32.6</c:v>
                </c:pt>
              </c:numCache>
            </c:numRef>
          </c:val>
          <c:smooth val="0"/>
          <c:extLst>
            <c:ext xmlns:c16="http://schemas.microsoft.com/office/drawing/2014/chart" uri="{C3380CC4-5D6E-409C-BE32-E72D297353CC}">
              <c16:uniqueId val="{0000000A-15D9-4028-96FD-01D12D9D835D}"/>
            </c:ext>
          </c:extLst>
        </c:ser>
        <c:dLbls>
          <c:dLblPos val="t"/>
          <c:showLegendKey val="0"/>
          <c:showVal val="1"/>
          <c:showCatName val="0"/>
          <c:showSerName val="0"/>
          <c:showPercent val="0"/>
          <c:showBubbleSize val="0"/>
        </c:dLbls>
        <c:hiLowLines>
          <c:spPr>
            <a:ln w="6350">
              <a:solidFill>
                <a:srgbClr val="000000"/>
              </a:solidFill>
            </a:ln>
          </c:spPr>
        </c:hiLowLines>
        <c:marker val="1"/>
        <c:smooth val="0"/>
        <c:axId val="802942560"/>
        <c:axId val="1"/>
      </c:lineChart>
      <c:catAx>
        <c:axId val="802942560"/>
        <c:scaling>
          <c:orientation val="minMax"/>
        </c:scaling>
        <c:delete val="0"/>
        <c:axPos val="b"/>
        <c:majorGridlines>
          <c:spPr>
            <a:ln w="9525" cmpd="sng">
              <a:solidFill>
                <a:srgbClr val="FFFFFF"/>
              </a:solidFill>
              <a:prstDash val="solid"/>
            </a:ln>
          </c:spPr>
        </c:majorGridlines>
        <c:numFmt formatCode="General" sourceLinked="0"/>
        <c:majorTickMark val="in"/>
        <c:minorTickMark val="none"/>
        <c:tickLblPos val="low"/>
        <c:spPr>
          <a:noFill/>
          <a:ln w="9525">
            <a:solidFill>
              <a:srgbClr val="000000"/>
            </a:solidFill>
            <a:prstDash val="solid"/>
          </a:ln>
          <a:extLst>
            <a:ext uri="{909E8E84-426E-40DD-AFC4-6F175D3DCCD1}">
              <a14:hiddenFill xmlns:a14="http://schemas.microsoft.com/office/drawing/2010/main">
                <a:noFill/>
              </a14:hiddenFill>
            </a:ext>
          </a:extLst>
        </c:spPr>
        <c:txPr>
          <a:bodyPr rot="-2700000" vert="horz"/>
          <a:lstStyle/>
          <a:p>
            <a:pPr>
              <a:defRPr sz="800" b="0" i="0" u="none" strike="noStrike" baseline="0">
                <a:solidFill>
                  <a:srgbClr val="000000"/>
                </a:solidFill>
                <a:latin typeface="Arial Narrow"/>
                <a:ea typeface="Arial Narrow"/>
                <a:cs typeface="Arial Narrow"/>
              </a:defRPr>
            </a:pPr>
            <a:endParaRPr lang="en-US"/>
          </a:p>
        </c:txPr>
        <c:crossAx val="1"/>
        <c:crosses val="autoZero"/>
        <c:auto val="1"/>
        <c:lblAlgn val="ctr"/>
        <c:lblOffset val="0"/>
        <c:tickLblSkip val="1"/>
        <c:noMultiLvlLbl val="0"/>
      </c:catAx>
      <c:valAx>
        <c:axId val="1"/>
        <c:scaling>
          <c:orientation val="minMax"/>
        </c:scaling>
        <c:delete val="0"/>
        <c:axPos val="l"/>
        <c:majorGridlines>
          <c:spPr>
            <a:ln w="9525" cmpd="sng">
              <a:solidFill>
                <a:srgbClr val="FFFFFF"/>
              </a:solidFill>
              <a:prstDash val="solid"/>
            </a:ln>
          </c:spPr>
        </c:majorGridlines>
        <c:numFmt formatCode="General" sourceLinked="0"/>
        <c:majorTickMark val="in"/>
        <c:minorTickMark val="none"/>
        <c:tickLblPos val="nextTo"/>
        <c:spPr>
          <a:noFill/>
          <a:ln w="9525">
            <a:solidFill>
              <a:srgbClr val="000000"/>
            </a:solidFill>
            <a:prstDash val="solid"/>
          </a:ln>
          <a:extLst>
            <a:ext uri="{909E8E84-426E-40DD-AFC4-6F175D3DCCD1}">
              <a14:hiddenFill xmlns:a14="http://schemas.microsoft.com/office/drawing/2010/main">
                <a:noFill/>
              </a14:hiddenFill>
            </a:ext>
          </a:extLst>
        </c:spPr>
        <c:txPr>
          <a:bodyPr rot="-60000000" vert="horz"/>
          <a:lstStyle/>
          <a:p>
            <a:pPr>
              <a:defRPr sz="800" b="0" i="0" u="none" strike="noStrike" baseline="0">
                <a:solidFill>
                  <a:srgbClr val="000000"/>
                </a:solidFill>
                <a:latin typeface="Arial Narrow"/>
                <a:ea typeface="Arial Narrow"/>
                <a:cs typeface="Arial Narrow"/>
              </a:defRPr>
            </a:pPr>
            <a:endParaRPr lang="en-US"/>
          </a:p>
        </c:txPr>
        <c:crossAx val="802942560"/>
        <c:crosses val="autoZero"/>
        <c:crossBetween val="between"/>
      </c:valAx>
      <c:spPr>
        <a:solidFill>
          <a:srgbClr val="EAEAEA"/>
        </a:solidFill>
        <a:ln w="25400">
          <a:noFill/>
        </a:ln>
      </c:spPr>
    </c:plotArea>
    <c:legend>
      <c:legendPos val="r"/>
      <c:layout>
        <c:manualLayout>
          <c:xMode val="edge"/>
          <c:yMode val="edge"/>
          <c:x val="4.300804398556176E-2"/>
          <c:y val="1.9889285587041269E-2"/>
          <c:w val="0.93978048975831074"/>
          <c:h val="7.4584820951404757E-2"/>
        </c:manualLayout>
      </c:layout>
      <c:overlay val="1"/>
      <c:spPr>
        <a:solidFill>
          <a:srgbClr val="EAEAEA"/>
        </a:solidFill>
        <a:ln w="25400">
          <a:noFill/>
        </a:ln>
      </c:spPr>
      <c:txPr>
        <a:bodyPr/>
        <a:lstStyle/>
        <a:p>
          <a:pPr>
            <a:defRPr sz="800" b="0" i="0">
              <a:solidFill>
                <a:srgbClr val="000000"/>
              </a:solidFill>
              <a:latin typeface="Arial Narrow"/>
              <a:ea typeface="Arial Narrow"/>
              <a:cs typeface="Arial Narrow"/>
            </a:defRPr>
          </a:pPr>
          <a:endParaRPr lang="en-US"/>
        </a:p>
      </c:txPr>
    </c:legend>
    <c:plotVisOnly val="1"/>
    <c:dispBlanksAs val="gap"/>
    <c:showDLblsOverMax val="1"/>
  </c:chart>
  <c:spPr>
    <a:noFill/>
    <a:ln w="9525">
      <a:noFill/>
    </a:ln>
    <a:extLst>
      <a:ext uri="{909E8E84-426E-40DD-AFC4-6F175D3DCCD1}">
        <a14:hiddenFill xmlns:a14="http://schemas.microsoft.com/office/drawing/2010/main">
          <a:solidFill>
            <a:srgbClr val="FFFFFF"/>
          </a:solidFill>
        </a14:hiddenFill>
      </a:ext>
    </a:extLst>
  </c:spPr>
  <c:txPr>
    <a:bodyPr/>
    <a:lstStyle/>
    <a:p>
      <a:pPr>
        <a:defRPr sz="1000" b="0" i="0" u="none" strike="noStrike" baseline="0">
          <a:solidFill>
            <a:srgbClr val="000000"/>
          </a:solidFill>
          <a:latin typeface="Calibri"/>
          <a:ea typeface="Calibri"/>
          <a:cs typeface="Calibri"/>
        </a:defRPr>
      </a:pPr>
      <a:endParaRPr lang="en-US"/>
    </a:p>
  </c:txPr>
  <c:externalData r:id="rId2">
    <c:autoUpdate val="0"/>
  </c:externalData>
  <c:userShapes r:id="rId3"/>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xMode val="edge"/>
          <c:yMode val="edge"/>
          <c:x val="7.8555251403092663E-3"/>
          <c:y val="0.15173143326249861"/>
          <c:w val="0.98821671228953611"/>
          <c:h val="0.83024809434571634"/>
        </c:manualLayout>
      </c:layout>
      <c:barChart>
        <c:barDir val="col"/>
        <c:grouping val="clustered"/>
        <c:varyColors val="0"/>
        <c:ser>
          <c:idx val="2"/>
          <c:order val="1"/>
          <c:tx>
            <c:strRef>
              <c:f>'g4-1'!$C$23</c:f>
              <c:strCache>
                <c:ptCount val="1"/>
                <c:pt idx="0">
                  <c:v>Total</c:v>
                </c:pt>
              </c:strCache>
            </c:strRef>
          </c:tx>
          <c:spPr>
            <a:solidFill>
              <a:srgbClr val="0E2841">
                <a:lumMod val="50000"/>
                <a:lumOff val="50000"/>
              </a:srgbClr>
            </a:solidFill>
            <a:ln>
              <a:solidFill>
                <a:srgbClr val="0E2841">
                  <a:lumMod val="50000"/>
                  <a:lumOff val="50000"/>
                </a:srgbClr>
              </a:solidFill>
            </a:ln>
          </c:spPr>
          <c:invertIfNegative val="0"/>
          <c:dPt>
            <c:idx val="11"/>
            <c:invertIfNegative val="0"/>
            <c:bubble3D val="0"/>
            <c:extLst>
              <c:ext xmlns:c16="http://schemas.microsoft.com/office/drawing/2014/chart" uri="{C3380CC4-5D6E-409C-BE32-E72D297353CC}">
                <c16:uniqueId val="{00000000-E555-485E-ABCE-FD1BDE1DE87F}"/>
              </c:ext>
            </c:extLst>
          </c:dPt>
          <c:dPt>
            <c:idx val="13"/>
            <c:invertIfNegative val="0"/>
            <c:bubble3D val="0"/>
            <c:extLst>
              <c:ext xmlns:c16="http://schemas.microsoft.com/office/drawing/2014/chart" uri="{C3380CC4-5D6E-409C-BE32-E72D297353CC}">
                <c16:uniqueId val="{00000001-E555-485E-ABCE-FD1BDE1DE87F}"/>
              </c:ext>
            </c:extLst>
          </c:dPt>
          <c:dPt>
            <c:idx val="14"/>
            <c:invertIfNegative val="0"/>
            <c:bubble3D val="0"/>
            <c:extLst>
              <c:ext xmlns:c16="http://schemas.microsoft.com/office/drawing/2014/chart" uri="{C3380CC4-5D6E-409C-BE32-E72D297353CC}">
                <c16:uniqueId val="{00000002-E555-485E-ABCE-FD1BDE1DE87F}"/>
              </c:ext>
            </c:extLst>
          </c:dPt>
          <c:dPt>
            <c:idx val="18"/>
            <c:invertIfNegative val="0"/>
            <c:bubble3D val="0"/>
            <c:extLst>
              <c:ext xmlns:c16="http://schemas.microsoft.com/office/drawing/2014/chart" uri="{C3380CC4-5D6E-409C-BE32-E72D297353CC}">
                <c16:uniqueId val="{00000003-E555-485E-ABCE-FD1BDE1DE87F}"/>
              </c:ext>
            </c:extLst>
          </c:dPt>
          <c:dPt>
            <c:idx val="19"/>
            <c:invertIfNegative val="0"/>
            <c:bubble3D val="0"/>
            <c:extLst>
              <c:ext xmlns:c16="http://schemas.microsoft.com/office/drawing/2014/chart" uri="{C3380CC4-5D6E-409C-BE32-E72D297353CC}">
                <c16:uniqueId val="{00000004-E555-485E-ABCE-FD1BDE1DE87F}"/>
              </c:ext>
            </c:extLst>
          </c:dPt>
          <c:dPt>
            <c:idx val="21"/>
            <c:invertIfNegative val="0"/>
            <c:bubble3D val="0"/>
            <c:spPr>
              <a:solidFill>
                <a:srgbClr val="FF0000"/>
              </a:solidFill>
              <a:ln>
                <a:solidFill>
                  <a:srgbClr val="FF0000"/>
                </a:solidFill>
              </a:ln>
            </c:spPr>
            <c:extLst>
              <c:ext xmlns:c16="http://schemas.microsoft.com/office/drawing/2014/chart" uri="{C3380CC4-5D6E-409C-BE32-E72D297353CC}">
                <c16:uniqueId val="{00000006-E555-485E-ABCE-FD1BDE1DE87F}"/>
              </c:ext>
            </c:extLst>
          </c:dPt>
          <c:dPt>
            <c:idx val="31"/>
            <c:invertIfNegative val="0"/>
            <c:bubble3D val="0"/>
            <c:spPr>
              <a:solidFill>
                <a:srgbClr val="C00000"/>
              </a:solidFill>
              <a:ln>
                <a:solidFill>
                  <a:srgbClr val="C00000"/>
                </a:solidFill>
              </a:ln>
            </c:spPr>
            <c:extLst>
              <c:ext xmlns:c16="http://schemas.microsoft.com/office/drawing/2014/chart" uri="{C3380CC4-5D6E-409C-BE32-E72D297353CC}">
                <c16:uniqueId val="{00000008-E555-485E-ABCE-FD1BDE1DE87F}"/>
              </c:ext>
            </c:extLst>
          </c:dPt>
          <c:cat>
            <c:strRef>
              <c:f>'g4-1'!$A$24:$A$71</c:f>
              <c:strCache>
                <c:ptCount val="48"/>
                <c:pt idx="0">
                  <c:v>Islanda³</c:v>
                </c:pt>
                <c:pt idx="1">
                  <c:v>Costa Rica</c:v>
                </c:pt>
                <c:pt idx="2">
                  <c:v>Noua Zeelandă³</c:v>
                </c:pt>
                <c:pt idx="3">
                  <c:v>Norvegia³</c:v>
                </c:pt>
                <c:pt idx="4">
                  <c:v>SUA</c:v>
                </c:pt>
                <c:pt idx="5">
                  <c:v>India*²</c:v>
                </c:pt>
                <c:pt idx="6">
                  <c:v>Australia²</c:v>
                </c:pt>
                <c:pt idx="7">
                  <c:v>Mexic</c:v>
                </c:pt>
                <c:pt idx="8">
                  <c:v>Suedia</c:v>
                </c:pt>
                <c:pt idx="9">
                  <c:v>Canada</c:v>
                </c:pt>
                <c:pt idx="10">
                  <c:v>Brazilia*²</c:v>
                </c:pt>
                <c:pt idx="11">
                  <c:v>Columbia¹</c:v>
                </c:pt>
                <c:pt idx="12">
                  <c:v>UK</c:v>
                </c:pt>
                <c:pt idx="13">
                  <c:v>Danemarca³</c:v>
                </c:pt>
                <c:pt idx="14">
                  <c:v>Finlanda²</c:v>
                </c:pt>
                <c:pt idx="15">
                  <c:v>Belgia</c:v>
                </c:pt>
                <c:pt idx="16">
                  <c:v>Estonia³</c:v>
                </c:pt>
                <c:pt idx="17">
                  <c:v>Țările de Jos</c:v>
                </c:pt>
                <c:pt idx="18">
                  <c:v>Irlanda³</c:v>
                </c:pt>
                <c:pt idx="19">
                  <c:v>Portugalia¹</c:v>
                </c:pt>
                <c:pt idx="20">
                  <c:v>Germania²</c:v>
                </c:pt>
                <c:pt idx="21">
                  <c:v>OECD38</c:v>
                </c:pt>
                <c:pt idx="22">
                  <c:v>Luxemburg³</c:v>
                </c:pt>
                <c:pt idx="23">
                  <c:v>Korea</c:v>
                </c:pt>
                <c:pt idx="24">
                  <c:v>Japonia</c:v>
                </c:pt>
                <c:pt idx="25">
                  <c:v>Cehia</c:v>
                </c:pt>
                <c:pt idx="26">
                  <c:v>Chile²</c:v>
                </c:pt>
                <c:pt idx="27">
                  <c:v>Elveția²</c:v>
                </c:pt>
                <c:pt idx="28">
                  <c:v>Israel³</c:v>
                </c:pt>
                <c:pt idx="29">
                  <c:v>Polonia¹</c:v>
                </c:pt>
                <c:pt idx="30">
                  <c:v>Slovenia¹</c:v>
                </c:pt>
                <c:pt idx="31">
                  <c:v>România*¹</c:v>
                </c:pt>
                <c:pt idx="32">
                  <c:v>Lituania¹</c:v>
                </c:pt>
                <c:pt idx="33">
                  <c:v>Italia</c:v>
                </c:pt>
                <c:pt idx="34">
                  <c:v>Spania²</c:v>
                </c:pt>
                <c:pt idx="35">
                  <c:v>Africa de Sud*²</c:v>
                </c:pt>
                <c:pt idx="36">
                  <c:v>Austria¹</c:v>
                </c:pt>
                <c:pt idx="37">
                  <c:v>Slovacia¹</c:v>
                </c:pt>
                <c:pt idx="38">
                  <c:v>Croația*¹</c:v>
                </c:pt>
                <c:pt idx="39">
                  <c:v>Letonia¹</c:v>
                </c:pt>
                <c:pt idx="40">
                  <c:v>Argentina*²</c:v>
                </c:pt>
                <c:pt idx="41">
                  <c:v>Franța</c:v>
                </c:pt>
                <c:pt idx="42">
                  <c:v>Grecia¹</c:v>
                </c:pt>
                <c:pt idx="43">
                  <c:v>Ungaria¹</c:v>
                </c:pt>
                <c:pt idx="44">
                  <c:v>China*²</c:v>
                </c:pt>
                <c:pt idx="45">
                  <c:v>Turcia²</c:v>
                </c:pt>
                <c:pt idx="46">
                  <c:v>Bulgaria*¹</c:v>
                </c:pt>
                <c:pt idx="47">
                  <c:v>Indonezia*²</c:v>
                </c:pt>
              </c:strCache>
            </c:strRef>
          </c:cat>
          <c:val>
            <c:numRef>
              <c:f>'g4-1'!$C$24:$C$71</c:f>
              <c:numCache>
                <c:formatCode>General</c:formatCode>
                <c:ptCount val="48"/>
                <c:pt idx="0">
                  <c:v>5.6</c:v>
                </c:pt>
                <c:pt idx="1">
                  <c:v>6.2</c:v>
                </c:pt>
                <c:pt idx="2">
                  <c:v>6.9</c:v>
                </c:pt>
                <c:pt idx="3">
                  <c:v>8</c:v>
                </c:pt>
                <c:pt idx="4">
                  <c:v>8</c:v>
                </c:pt>
                <c:pt idx="5">
                  <c:v>8.1</c:v>
                </c:pt>
                <c:pt idx="6">
                  <c:v>8.5</c:v>
                </c:pt>
                <c:pt idx="7">
                  <c:v>8.5</c:v>
                </c:pt>
                <c:pt idx="8">
                  <c:v>8.5</c:v>
                </c:pt>
                <c:pt idx="9">
                  <c:v>8.6999999999999993</c:v>
                </c:pt>
                <c:pt idx="10">
                  <c:v>9.1</c:v>
                </c:pt>
                <c:pt idx="11">
                  <c:v>9.8000000000000007</c:v>
                </c:pt>
                <c:pt idx="12">
                  <c:v>10.5</c:v>
                </c:pt>
                <c:pt idx="13">
                  <c:v>11</c:v>
                </c:pt>
                <c:pt idx="14">
                  <c:v>11.3</c:v>
                </c:pt>
                <c:pt idx="15">
                  <c:v>12.8</c:v>
                </c:pt>
                <c:pt idx="16">
                  <c:v>13.2</c:v>
                </c:pt>
                <c:pt idx="17">
                  <c:v>13.2</c:v>
                </c:pt>
                <c:pt idx="18">
                  <c:v>14</c:v>
                </c:pt>
                <c:pt idx="19">
                  <c:v>14.2</c:v>
                </c:pt>
                <c:pt idx="20">
                  <c:v>14.6</c:v>
                </c:pt>
                <c:pt idx="21" formatCode="0.0">
                  <c:v>14.80789473684211</c:v>
                </c:pt>
                <c:pt idx="22">
                  <c:v>15.1</c:v>
                </c:pt>
                <c:pt idx="23">
                  <c:v>15.3</c:v>
                </c:pt>
                <c:pt idx="24">
                  <c:v>15.7</c:v>
                </c:pt>
                <c:pt idx="25">
                  <c:v>15.9</c:v>
                </c:pt>
                <c:pt idx="26">
                  <c:v>16</c:v>
                </c:pt>
                <c:pt idx="27">
                  <c:v>16.100000000000001</c:v>
                </c:pt>
                <c:pt idx="28">
                  <c:v>17</c:v>
                </c:pt>
                <c:pt idx="29">
                  <c:v>17.100000000000001</c:v>
                </c:pt>
                <c:pt idx="30">
                  <c:v>17.399999999999999</c:v>
                </c:pt>
                <c:pt idx="31">
                  <c:v>18.7</c:v>
                </c:pt>
                <c:pt idx="32">
                  <c:v>18.899999999999999</c:v>
                </c:pt>
                <c:pt idx="33">
                  <c:v>19.5</c:v>
                </c:pt>
                <c:pt idx="34">
                  <c:v>19.8</c:v>
                </c:pt>
                <c:pt idx="35">
                  <c:v>20.2</c:v>
                </c:pt>
                <c:pt idx="36">
                  <c:v>20.6</c:v>
                </c:pt>
                <c:pt idx="37">
                  <c:v>21</c:v>
                </c:pt>
                <c:pt idx="38">
                  <c:v>22.1</c:v>
                </c:pt>
                <c:pt idx="39">
                  <c:v>22.6</c:v>
                </c:pt>
                <c:pt idx="40">
                  <c:v>23.1</c:v>
                </c:pt>
                <c:pt idx="41">
                  <c:v>23.1</c:v>
                </c:pt>
                <c:pt idx="42">
                  <c:v>24.9</c:v>
                </c:pt>
                <c:pt idx="43">
                  <c:v>24.9</c:v>
                </c:pt>
                <c:pt idx="44">
                  <c:v>25.3</c:v>
                </c:pt>
                <c:pt idx="45">
                  <c:v>28.3</c:v>
                </c:pt>
                <c:pt idx="46">
                  <c:v>29.1</c:v>
                </c:pt>
                <c:pt idx="47">
                  <c:v>32.6</c:v>
                </c:pt>
              </c:numCache>
            </c:numRef>
          </c:val>
          <c:extLst>
            <c:ext xmlns:c16="http://schemas.microsoft.com/office/drawing/2014/chart" uri="{C3380CC4-5D6E-409C-BE32-E72D297353CC}">
              <c16:uniqueId val="{00000009-E555-485E-ABCE-FD1BDE1DE87F}"/>
            </c:ext>
          </c:extLst>
        </c:ser>
        <c:dLbls>
          <c:showLegendKey val="0"/>
          <c:showVal val="0"/>
          <c:showCatName val="0"/>
          <c:showSerName val="0"/>
          <c:showPercent val="0"/>
          <c:showBubbleSize val="0"/>
        </c:dLbls>
        <c:gapWidth val="150"/>
        <c:axId val="614726783"/>
        <c:axId val="1"/>
      </c:barChart>
      <c:lineChart>
        <c:grouping val="standard"/>
        <c:varyColors val="0"/>
        <c:ser>
          <c:idx val="0"/>
          <c:order val="0"/>
          <c:tx>
            <c:strRef>
              <c:f>'g4-1'!$B$23</c:f>
              <c:strCache>
                <c:ptCount val="1"/>
                <c:pt idx="0">
                  <c:v>Feminin</c:v>
                </c:pt>
              </c:strCache>
            </c:strRef>
          </c:tx>
          <c:spPr>
            <a:ln w="25400">
              <a:noFill/>
            </a:ln>
            <a:effectLst/>
          </c:spPr>
          <c:marker>
            <c:symbol val="diamond"/>
            <c:size val="4"/>
            <c:spPr>
              <a:solidFill>
                <a:sysClr val="window" lastClr="FFFFFF"/>
              </a:solidFill>
              <a:ln w="6350" cap="flat" cmpd="sng" algn="ctr">
                <a:solidFill>
                  <a:sysClr val="windowText" lastClr="000000"/>
                </a:solidFill>
                <a:prstDash val="solid"/>
                <a:round/>
              </a:ln>
              <a:effectLst/>
            </c:spPr>
          </c:marker>
          <c:dPt>
            <c:idx val="11"/>
            <c:bubble3D val="0"/>
            <c:extLst>
              <c:ext xmlns:c16="http://schemas.microsoft.com/office/drawing/2014/chart" uri="{C3380CC4-5D6E-409C-BE32-E72D297353CC}">
                <c16:uniqueId val="{0000000A-E555-485E-ABCE-FD1BDE1DE87F}"/>
              </c:ext>
            </c:extLst>
          </c:dPt>
          <c:dPt>
            <c:idx val="13"/>
            <c:bubble3D val="0"/>
            <c:extLst>
              <c:ext xmlns:c16="http://schemas.microsoft.com/office/drawing/2014/chart" uri="{C3380CC4-5D6E-409C-BE32-E72D297353CC}">
                <c16:uniqueId val="{0000000B-E555-485E-ABCE-FD1BDE1DE87F}"/>
              </c:ext>
            </c:extLst>
          </c:dPt>
          <c:dPt>
            <c:idx val="14"/>
            <c:bubble3D val="0"/>
            <c:extLst>
              <c:ext xmlns:c16="http://schemas.microsoft.com/office/drawing/2014/chart" uri="{C3380CC4-5D6E-409C-BE32-E72D297353CC}">
                <c16:uniqueId val="{0000000C-E555-485E-ABCE-FD1BDE1DE87F}"/>
              </c:ext>
            </c:extLst>
          </c:dPt>
          <c:cat>
            <c:strRef>
              <c:f>'g4-1'!$A$24:$A$71</c:f>
              <c:strCache>
                <c:ptCount val="48"/>
                <c:pt idx="0">
                  <c:v>Islanda³</c:v>
                </c:pt>
                <c:pt idx="1">
                  <c:v>Costa Rica</c:v>
                </c:pt>
                <c:pt idx="2">
                  <c:v>Noua Zeelandă³</c:v>
                </c:pt>
                <c:pt idx="3">
                  <c:v>Norvegia³</c:v>
                </c:pt>
                <c:pt idx="4">
                  <c:v>SUA</c:v>
                </c:pt>
                <c:pt idx="5">
                  <c:v>India*²</c:v>
                </c:pt>
                <c:pt idx="6">
                  <c:v>Australia²</c:v>
                </c:pt>
                <c:pt idx="7">
                  <c:v>Mexic</c:v>
                </c:pt>
                <c:pt idx="8">
                  <c:v>Suedia</c:v>
                </c:pt>
                <c:pt idx="9">
                  <c:v>Canada</c:v>
                </c:pt>
                <c:pt idx="10">
                  <c:v>Brazilia*²</c:v>
                </c:pt>
                <c:pt idx="11">
                  <c:v>Columbia¹</c:v>
                </c:pt>
                <c:pt idx="12">
                  <c:v>UK</c:v>
                </c:pt>
                <c:pt idx="13">
                  <c:v>Danemarca³</c:v>
                </c:pt>
                <c:pt idx="14">
                  <c:v>Finlanda²</c:v>
                </c:pt>
                <c:pt idx="15">
                  <c:v>Belgia</c:v>
                </c:pt>
                <c:pt idx="16">
                  <c:v>Estonia³</c:v>
                </c:pt>
                <c:pt idx="17">
                  <c:v>Țările de Jos</c:v>
                </c:pt>
                <c:pt idx="18">
                  <c:v>Irlanda³</c:v>
                </c:pt>
                <c:pt idx="19">
                  <c:v>Portugalia¹</c:v>
                </c:pt>
                <c:pt idx="20">
                  <c:v>Germania²</c:v>
                </c:pt>
                <c:pt idx="21">
                  <c:v>OECD38</c:v>
                </c:pt>
                <c:pt idx="22">
                  <c:v>Luxemburg³</c:v>
                </c:pt>
                <c:pt idx="23">
                  <c:v>Korea</c:v>
                </c:pt>
                <c:pt idx="24">
                  <c:v>Japonia</c:v>
                </c:pt>
                <c:pt idx="25">
                  <c:v>Cehia</c:v>
                </c:pt>
                <c:pt idx="26">
                  <c:v>Chile²</c:v>
                </c:pt>
                <c:pt idx="27">
                  <c:v>Elveția²</c:v>
                </c:pt>
                <c:pt idx="28">
                  <c:v>Israel³</c:v>
                </c:pt>
                <c:pt idx="29">
                  <c:v>Polonia¹</c:v>
                </c:pt>
                <c:pt idx="30">
                  <c:v>Slovenia¹</c:v>
                </c:pt>
                <c:pt idx="31">
                  <c:v>România*¹</c:v>
                </c:pt>
                <c:pt idx="32">
                  <c:v>Lituania¹</c:v>
                </c:pt>
                <c:pt idx="33">
                  <c:v>Italia</c:v>
                </c:pt>
                <c:pt idx="34">
                  <c:v>Spania²</c:v>
                </c:pt>
                <c:pt idx="35">
                  <c:v>Africa de Sud*²</c:v>
                </c:pt>
                <c:pt idx="36">
                  <c:v>Austria¹</c:v>
                </c:pt>
                <c:pt idx="37">
                  <c:v>Slovacia¹</c:v>
                </c:pt>
                <c:pt idx="38">
                  <c:v>Croația*¹</c:v>
                </c:pt>
                <c:pt idx="39">
                  <c:v>Letonia¹</c:v>
                </c:pt>
                <c:pt idx="40">
                  <c:v>Argentina*²</c:v>
                </c:pt>
                <c:pt idx="41">
                  <c:v>Franța</c:v>
                </c:pt>
                <c:pt idx="42">
                  <c:v>Grecia¹</c:v>
                </c:pt>
                <c:pt idx="43">
                  <c:v>Ungaria¹</c:v>
                </c:pt>
                <c:pt idx="44">
                  <c:v>China*²</c:v>
                </c:pt>
                <c:pt idx="45">
                  <c:v>Turcia²</c:v>
                </c:pt>
                <c:pt idx="46">
                  <c:v>Bulgaria*¹</c:v>
                </c:pt>
                <c:pt idx="47">
                  <c:v>Indonezia*²</c:v>
                </c:pt>
              </c:strCache>
            </c:strRef>
          </c:cat>
          <c:val>
            <c:numRef>
              <c:f>'g4-1'!$B$24:$B$71</c:f>
              <c:numCache>
                <c:formatCode>General</c:formatCode>
                <c:ptCount val="48"/>
                <c:pt idx="0">
                  <c:v>5.9</c:v>
                </c:pt>
                <c:pt idx="1">
                  <c:v>3.2</c:v>
                </c:pt>
                <c:pt idx="2">
                  <c:v>5.8</c:v>
                </c:pt>
                <c:pt idx="3">
                  <c:v>8</c:v>
                </c:pt>
                <c:pt idx="4">
                  <c:v>6.9</c:v>
                </c:pt>
                <c:pt idx="5">
                  <c:v>1.4</c:v>
                </c:pt>
                <c:pt idx="6">
                  <c:v>7.8</c:v>
                </c:pt>
                <c:pt idx="7">
                  <c:v>5.0999999999999996</c:v>
                </c:pt>
                <c:pt idx="8">
                  <c:v>7.8</c:v>
                </c:pt>
                <c:pt idx="9">
                  <c:v>7.4</c:v>
                </c:pt>
                <c:pt idx="10">
                  <c:v>6.7</c:v>
                </c:pt>
                <c:pt idx="11">
                  <c:v>6</c:v>
                </c:pt>
                <c:pt idx="12">
                  <c:v>9.6</c:v>
                </c:pt>
                <c:pt idx="13">
                  <c:v>10</c:v>
                </c:pt>
                <c:pt idx="14">
                  <c:v>10.6</c:v>
                </c:pt>
                <c:pt idx="15">
                  <c:v>11.1</c:v>
                </c:pt>
                <c:pt idx="16">
                  <c:v>9.6999999999999993</c:v>
                </c:pt>
                <c:pt idx="17">
                  <c:v>10.9</c:v>
                </c:pt>
                <c:pt idx="18">
                  <c:v>12</c:v>
                </c:pt>
                <c:pt idx="19">
                  <c:v>9</c:v>
                </c:pt>
                <c:pt idx="20">
                  <c:v>11.8</c:v>
                </c:pt>
                <c:pt idx="21" formatCode="0.0">
                  <c:v>11.381578947368425</c:v>
                </c:pt>
                <c:pt idx="22">
                  <c:v>13.5</c:v>
                </c:pt>
                <c:pt idx="23">
                  <c:v>3.8</c:v>
                </c:pt>
                <c:pt idx="24">
                  <c:v>6.9</c:v>
                </c:pt>
                <c:pt idx="25">
                  <c:v>11.9</c:v>
                </c:pt>
                <c:pt idx="26">
                  <c:v>16.100000000000001</c:v>
                </c:pt>
                <c:pt idx="27">
                  <c:v>14</c:v>
                </c:pt>
                <c:pt idx="28">
                  <c:v>12.8</c:v>
                </c:pt>
                <c:pt idx="29">
                  <c:v>14.1</c:v>
                </c:pt>
                <c:pt idx="30">
                  <c:v>15.6</c:v>
                </c:pt>
                <c:pt idx="31">
                  <c:v>7.5</c:v>
                </c:pt>
                <c:pt idx="32">
                  <c:v>9.6999999999999993</c:v>
                </c:pt>
                <c:pt idx="33">
                  <c:v>15.8</c:v>
                </c:pt>
                <c:pt idx="34">
                  <c:v>16.5</c:v>
                </c:pt>
                <c:pt idx="35">
                  <c:v>6.5</c:v>
                </c:pt>
                <c:pt idx="36">
                  <c:v>17.8</c:v>
                </c:pt>
                <c:pt idx="37">
                  <c:v>15.4</c:v>
                </c:pt>
                <c:pt idx="38">
                  <c:v>19.5</c:v>
                </c:pt>
                <c:pt idx="39">
                  <c:v>12.3</c:v>
                </c:pt>
                <c:pt idx="40">
                  <c:v>18.100000000000001</c:v>
                </c:pt>
                <c:pt idx="41">
                  <c:v>20.9</c:v>
                </c:pt>
                <c:pt idx="42">
                  <c:v>19</c:v>
                </c:pt>
                <c:pt idx="43">
                  <c:v>22.3</c:v>
                </c:pt>
                <c:pt idx="44">
                  <c:v>2.1</c:v>
                </c:pt>
                <c:pt idx="45">
                  <c:v>15.5</c:v>
                </c:pt>
                <c:pt idx="46">
                  <c:v>21.1</c:v>
                </c:pt>
                <c:pt idx="47">
                  <c:v>2.5</c:v>
                </c:pt>
              </c:numCache>
            </c:numRef>
          </c:val>
          <c:smooth val="0"/>
          <c:extLst>
            <c:ext xmlns:c16="http://schemas.microsoft.com/office/drawing/2014/chart" uri="{C3380CC4-5D6E-409C-BE32-E72D297353CC}">
              <c16:uniqueId val="{0000000D-E555-485E-ABCE-FD1BDE1DE87F}"/>
            </c:ext>
          </c:extLst>
        </c:ser>
        <c:ser>
          <c:idx val="1"/>
          <c:order val="2"/>
          <c:tx>
            <c:strRef>
              <c:f>'g4-1'!$D$23</c:f>
              <c:strCache>
                <c:ptCount val="1"/>
                <c:pt idx="0">
                  <c:v>Masculin</c:v>
                </c:pt>
              </c:strCache>
            </c:strRef>
          </c:tx>
          <c:spPr>
            <a:ln w="25400">
              <a:noFill/>
            </a:ln>
            <a:effectLst/>
          </c:spPr>
          <c:marker>
            <c:symbol val="diamond"/>
            <c:size val="4"/>
            <c:spPr>
              <a:solidFill>
                <a:srgbClr val="000000"/>
              </a:solidFill>
              <a:ln w="6350" cap="flat" cmpd="sng" algn="ctr">
                <a:solidFill>
                  <a:srgbClr val="000000"/>
                </a:solidFill>
                <a:prstDash val="solid"/>
                <a:round/>
              </a:ln>
              <a:effectLst/>
            </c:spPr>
          </c:marker>
          <c:dPt>
            <c:idx val="11"/>
            <c:bubble3D val="0"/>
            <c:extLst>
              <c:ext xmlns:c16="http://schemas.microsoft.com/office/drawing/2014/chart" uri="{C3380CC4-5D6E-409C-BE32-E72D297353CC}">
                <c16:uniqueId val="{0000000E-E555-485E-ABCE-FD1BDE1DE87F}"/>
              </c:ext>
            </c:extLst>
          </c:dPt>
          <c:dPt>
            <c:idx val="13"/>
            <c:bubble3D val="0"/>
            <c:extLst>
              <c:ext xmlns:c16="http://schemas.microsoft.com/office/drawing/2014/chart" uri="{C3380CC4-5D6E-409C-BE32-E72D297353CC}">
                <c16:uniqueId val="{0000000F-E555-485E-ABCE-FD1BDE1DE87F}"/>
              </c:ext>
            </c:extLst>
          </c:dPt>
          <c:dPt>
            <c:idx val="14"/>
            <c:bubble3D val="0"/>
            <c:extLst>
              <c:ext xmlns:c16="http://schemas.microsoft.com/office/drawing/2014/chart" uri="{C3380CC4-5D6E-409C-BE32-E72D297353CC}">
                <c16:uniqueId val="{00000010-E555-485E-ABCE-FD1BDE1DE87F}"/>
              </c:ext>
            </c:extLst>
          </c:dPt>
          <c:cat>
            <c:strRef>
              <c:f>'g4-1'!$A$24:$A$71</c:f>
              <c:strCache>
                <c:ptCount val="48"/>
                <c:pt idx="0">
                  <c:v>Islanda³</c:v>
                </c:pt>
                <c:pt idx="1">
                  <c:v>Costa Rica</c:v>
                </c:pt>
                <c:pt idx="2">
                  <c:v>Noua Zeelandă³</c:v>
                </c:pt>
                <c:pt idx="3">
                  <c:v>Norvegia³</c:v>
                </c:pt>
                <c:pt idx="4">
                  <c:v>SUA</c:v>
                </c:pt>
                <c:pt idx="5">
                  <c:v>India*²</c:v>
                </c:pt>
                <c:pt idx="6">
                  <c:v>Australia²</c:v>
                </c:pt>
                <c:pt idx="7">
                  <c:v>Mexic</c:v>
                </c:pt>
                <c:pt idx="8">
                  <c:v>Suedia</c:v>
                </c:pt>
                <c:pt idx="9">
                  <c:v>Canada</c:v>
                </c:pt>
                <c:pt idx="10">
                  <c:v>Brazilia*²</c:v>
                </c:pt>
                <c:pt idx="11">
                  <c:v>Columbia¹</c:v>
                </c:pt>
                <c:pt idx="12">
                  <c:v>UK</c:v>
                </c:pt>
                <c:pt idx="13">
                  <c:v>Danemarca³</c:v>
                </c:pt>
                <c:pt idx="14">
                  <c:v>Finlanda²</c:v>
                </c:pt>
                <c:pt idx="15">
                  <c:v>Belgia</c:v>
                </c:pt>
                <c:pt idx="16">
                  <c:v>Estonia³</c:v>
                </c:pt>
                <c:pt idx="17">
                  <c:v>Țările de Jos</c:v>
                </c:pt>
                <c:pt idx="18">
                  <c:v>Irlanda³</c:v>
                </c:pt>
                <c:pt idx="19">
                  <c:v>Portugalia¹</c:v>
                </c:pt>
                <c:pt idx="20">
                  <c:v>Germania²</c:v>
                </c:pt>
                <c:pt idx="21">
                  <c:v>OECD38</c:v>
                </c:pt>
                <c:pt idx="22">
                  <c:v>Luxemburg³</c:v>
                </c:pt>
                <c:pt idx="23">
                  <c:v>Korea</c:v>
                </c:pt>
                <c:pt idx="24">
                  <c:v>Japonia</c:v>
                </c:pt>
                <c:pt idx="25">
                  <c:v>Cehia</c:v>
                </c:pt>
                <c:pt idx="26">
                  <c:v>Chile²</c:v>
                </c:pt>
                <c:pt idx="27">
                  <c:v>Elveția²</c:v>
                </c:pt>
                <c:pt idx="28">
                  <c:v>Israel³</c:v>
                </c:pt>
                <c:pt idx="29">
                  <c:v>Polonia¹</c:v>
                </c:pt>
                <c:pt idx="30">
                  <c:v>Slovenia¹</c:v>
                </c:pt>
                <c:pt idx="31">
                  <c:v>România*¹</c:v>
                </c:pt>
                <c:pt idx="32">
                  <c:v>Lituania¹</c:v>
                </c:pt>
                <c:pt idx="33">
                  <c:v>Italia</c:v>
                </c:pt>
                <c:pt idx="34">
                  <c:v>Spania²</c:v>
                </c:pt>
                <c:pt idx="35">
                  <c:v>Africa de Sud*²</c:v>
                </c:pt>
                <c:pt idx="36">
                  <c:v>Austria¹</c:v>
                </c:pt>
                <c:pt idx="37">
                  <c:v>Slovacia¹</c:v>
                </c:pt>
                <c:pt idx="38">
                  <c:v>Croația*¹</c:v>
                </c:pt>
                <c:pt idx="39">
                  <c:v>Letonia¹</c:v>
                </c:pt>
                <c:pt idx="40">
                  <c:v>Argentina*²</c:v>
                </c:pt>
                <c:pt idx="41">
                  <c:v>Franța</c:v>
                </c:pt>
                <c:pt idx="42">
                  <c:v>Grecia¹</c:v>
                </c:pt>
                <c:pt idx="43">
                  <c:v>Ungaria¹</c:v>
                </c:pt>
                <c:pt idx="44">
                  <c:v>China*²</c:v>
                </c:pt>
                <c:pt idx="45">
                  <c:v>Turcia²</c:v>
                </c:pt>
                <c:pt idx="46">
                  <c:v>Bulgaria*¹</c:v>
                </c:pt>
                <c:pt idx="47">
                  <c:v>Indonezia*²</c:v>
                </c:pt>
              </c:strCache>
            </c:strRef>
          </c:cat>
          <c:val>
            <c:numRef>
              <c:f>'g4-1'!$D$24:$D$71</c:f>
              <c:numCache>
                <c:formatCode>General</c:formatCode>
                <c:ptCount val="48"/>
                <c:pt idx="0">
                  <c:v>5.4</c:v>
                </c:pt>
                <c:pt idx="1">
                  <c:v>9.5</c:v>
                </c:pt>
                <c:pt idx="2">
                  <c:v>8.1</c:v>
                </c:pt>
                <c:pt idx="3">
                  <c:v>8</c:v>
                </c:pt>
                <c:pt idx="4">
                  <c:v>9.1</c:v>
                </c:pt>
                <c:pt idx="5">
                  <c:v>14.4</c:v>
                </c:pt>
                <c:pt idx="6">
                  <c:v>9.1</c:v>
                </c:pt>
                <c:pt idx="7">
                  <c:v>12.3</c:v>
                </c:pt>
                <c:pt idx="8">
                  <c:v>9.1999999999999993</c:v>
                </c:pt>
                <c:pt idx="9">
                  <c:v>10</c:v>
                </c:pt>
                <c:pt idx="10">
                  <c:v>11.8</c:v>
                </c:pt>
                <c:pt idx="11">
                  <c:v>13.8</c:v>
                </c:pt>
                <c:pt idx="12">
                  <c:v>11.5</c:v>
                </c:pt>
                <c:pt idx="13">
                  <c:v>12</c:v>
                </c:pt>
                <c:pt idx="14">
                  <c:v>12</c:v>
                </c:pt>
                <c:pt idx="15">
                  <c:v>14.5</c:v>
                </c:pt>
                <c:pt idx="16">
                  <c:v>18.100000000000001</c:v>
                </c:pt>
                <c:pt idx="17">
                  <c:v>15.5</c:v>
                </c:pt>
                <c:pt idx="18">
                  <c:v>15</c:v>
                </c:pt>
                <c:pt idx="19">
                  <c:v>20.2</c:v>
                </c:pt>
                <c:pt idx="20">
                  <c:v>17.5</c:v>
                </c:pt>
                <c:pt idx="21" formatCode="0.0">
                  <c:v>18.502631578947376</c:v>
                </c:pt>
                <c:pt idx="22">
                  <c:v>16.399999999999999</c:v>
                </c:pt>
                <c:pt idx="23">
                  <c:v>26.8</c:v>
                </c:pt>
                <c:pt idx="24">
                  <c:v>25.6</c:v>
                </c:pt>
                <c:pt idx="25">
                  <c:v>20.100000000000001</c:v>
                </c:pt>
                <c:pt idx="26">
                  <c:v>15.8</c:v>
                </c:pt>
                <c:pt idx="27">
                  <c:v>18.3</c:v>
                </c:pt>
                <c:pt idx="28">
                  <c:v>21.3</c:v>
                </c:pt>
                <c:pt idx="29">
                  <c:v>20.8</c:v>
                </c:pt>
                <c:pt idx="30">
                  <c:v>19.3</c:v>
                </c:pt>
                <c:pt idx="31">
                  <c:v>30.6</c:v>
                </c:pt>
                <c:pt idx="32">
                  <c:v>29.9</c:v>
                </c:pt>
                <c:pt idx="33">
                  <c:v>23.4</c:v>
                </c:pt>
                <c:pt idx="34">
                  <c:v>23.3</c:v>
                </c:pt>
                <c:pt idx="35">
                  <c:v>34.6</c:v>
                </c:pt>
                <c:pt idx="36">
                  <c:v>23.5</c:v>
                </c:pt>
                <c:pt idx="37">
                  <c:v>26.9</c:v>
                </c:pt>
                <c:pt idx="38">
                  <c:v>25.6</c:v>
                </c:pt>
                <c:pt idx="39">
                  <c:v>35.200000000000003</c:v>
                </c:pt>
                <c:pt idx="40">
                  <c:v>28.2</c:v>
                </c:pt>
                <c:pt idx="41">
                  <c:v>25.4</c:v>
                </c:pt>
                <c:pt idx="42">
                  <c:v>31.3</c:v>
                </c:pt>
                <c:pt idx="43">
                  <c:v>27.7</c:v>
                </c:pt>
                <c:pt idx="44">
                  <c:v>47.8</c:v>
                </c:pt>
                <c:pt idx="45">
                  <c:v>41.3</c:v>
                </c:pt>
                <c:pt idx="46">
                  <c:v>38</c:v>
                </c:pt>
                <c:pt idx="47">
                  <c:v>62.7</c:v>
                </c:pt>
              </c:numCache>
            </c:numRef>
          </c:val>
          <c:smooth val="0"/>
          <c:extLst>
            <c:ext xmlns:c16="http://schemas.microsoft.com/office/drawing/2014/chart" uri="{C3380CC4-5D6E-409C-BE32-E72D297353CC}">
              <c16:uniqueId val="{00000011-E555-485E-ABCE-FD1BDE1DE87F}"/>
            </c:ext>
          </c:extLst>
        </c:ser>
        <c:dLbls>
          <c:showLegendKey val="0"/>
          <c:showVal val="0"/>
          <c:showCatName val="0"/>
          <c:showSerName val="0"/>
          <c:showPercent val="0"/>
          <c:showBubbleSize val="0"/>
        </c:dLbls>
        <c:hiLowLines>
          <c:spPr>
            <a:ln w="6350">
              <a:solidFill>
                <a:srgbClr val="000000"/>
              </a:solidFill>
            </a:ln>
          </c:spPr>
        </c:hiLowLines>
        <c:marker val="1"/>
        <c:smooth val="0"/>
        <c:axId val="614726783"/>
        <c:axId val="1"/>
      </c:lineChart>
      <c:catAx>
        <c:axId val="614726783"/>
        <c:scaling>
          <c:orientation val="minMax"/>
        </c:scaling>
        <c:delete val="0"/>
        <c:axPos val="b"/>
        <c:majorGridlines>
          <c:spPr>
            <a:ln w="9525" cmpd="sng">
              <a:solidFill>
                <a:srgbClr val="FFFFFF"/>
              </a:solidFill>
              <a:prstDash val="solid"/>
            </a:ln>
          </c:spPr>
        </c:majorGridlines>
        <c:numFmt formatCode="General" sourceLinked="0"/>
        <c:majorTickMark val="in"/>
        <c:minorTickMark val="none"/>
        <c:tickLblPos val="low"/>
        <c:spPr>
          <a:noFill/>
          <a:ln w="9525">
            <a:solidFill>
              <a:srgbClr val="000000"/>
            </a:solidFill>
            <a:prstDash val="solid"/>
          </a:ln>
          <a:extLst>
            <a:ext uri="{909E8E84-426E-40DD-AFC4-6F175D3DCCD1}">
              <a14:hiddenFill xmlns:a14="http://schemas.microsoft.com/office/drawing/2010/main">
                <a:noFill/>
              </a14:hiddenFill>
            </a:ext>
          </a:extLst>
        </c:spPr>
        <c:txPr>
          <a:bodyPr rot="-2700000" vert="horz"/>
          <a:lstStyle/>
          <a:p>
            <a:pPr>
              <a:defRPr sz="700" b="0" i="0" u="none" strike="noStrike" baseline="0">
                <a:solidFill>
                  <a:srgbClr val="000000"/>
                </a:solidFill>
                <a:latin typeface="+mn-lt"/>
                <a:ea typeface="Arial Narrow"/>
                <a:cs typeface="Arial Narrow"/>
              </a:defRPr>
            </a:pPr>
            <a:endParaRPr lang="en-US"/>
          </a:p>
        </c:txPr>
        <c:crossAx val="1"/>
        <c:crosses val="autoZero"/>
        <c:auto val="1"/>
        <c:lblAlgn val="ctr"/>
        <c:lblOffset val="0"/>
        <c:tickLblSkip val="1"/>
        <c:noMultiLvlLbl val="0"/>
      </c:catAx>
      <c:valAx>
        <c:axId val="1"/>
        <c:scaling>
          <c:orientation val="minMax"/>
          <c:max val="50"/>
          <c:min val="0"/>
        </c:scaling>
        <c:delete val="0"/>
        <c:axPos val="l"/>
        <c:majorGridlines>
          <c:spPr>
            <a:ln w="9525" cmpd="sng">
              <a:solidFill>
                <a:srgbClr val="FFFFFF"/>
              </a:solidFill>
              <a:prstDash val="solid"/>
            </a:ln>
          </c:spPr>
        </c:majorGridlines>
        <c:numFmt formatCode="General" sourceLinked="0"/>
        <c:majorTickMark val="in"/>
        <c:minorTickMark val="none"/>
        <c:tickLblPos val="nextTo"/>
        <c:spPr>
          <a:noFill/>
          <a:ln w="9525">
            <a:solidFill>
              <a:srgbClr val="000000"/>
            </a:solidFill>
            <a:prstDash val="solid"/>
          </a:ln>
          <a:extLst>
            <a:ext uri="{909E8E84-426E-40DD-AFC4-6F175D3DCCD1}">
              <a14:hiddenFill xmlns:a14="http://schemas.microsoft.com/office/drawing/2010/main">
                <a:noFill/>
              </a14:hiddenFill>
            </a:ext>
          </a:extLst>
        </c:spPr>
        <c:txPr>
          <a:bodyPr rot="-60000000" vert="horz"/>
          <a:lstStyle/>
          <a:p>
            <a:pPr>
              <a:defRPr sz="800" b="0" i="0" u="none" strike="noStrike" baseline="0">
                <a:solidFill>
                  <a:srgbClr val="000000"/>
                </a:solidFill>
                <a:latin typeface="Arial Narrow"/>
                <a:ea typeface="Arial Narrow"/>
                <a:cs typeface="Arial Narrow"/>
              </a:defRPr>
            </a:pPr>
            <a:endParaRPr lang="en-US"/>
          </a:p>
        </c:txPr>
        <c:crossAx val="614726783"/>
        <c:crosses val="autoZero"/>
        <c:crossBetween val="between"/>
        <c:majorUnit val="10"/>
      </c:valAx>
      <c:spPr>
        <a:solidFill>
          <a:srgbClr val="EAEAEA"/>
        </a:solidFill>
        <a:ln w="25400">
          <a:noFill/>
        </a:ln>
      </c:spPr>
    </c:plotArea>
    <c:legend>
      <c:legendPos val="r"/>
      <c:layout>
        <c:manualLayout>
          <c:xMode val="edge"/>
          <c:yMode val="edge"/>
          <c:x val="4.3354972981636E-2"/>
          <c:y val="1.9822085080447228E-2"/>
          <c:w val="0.93495011655944604"/>
          <c:h val="7.4332819051677115E-2"/>
        </c:manualLayout>
      </c:layout>
      <c:overlay val="1"/>
      <c:spPr>
        <a:solidFill>
          <a:srgbClr val="EAEAEA"/>
        </a:solidFill>
        <a:ln w="25400">
          <a:noFill/>
        </a:ln>
      </c:spPr>
      <c:txPr>
        <a:bodyPr/>
        <a:lstStyle/>
        <a:p>
          <a:pPr>
            <a:defRPr sz="800" b="0" i="0">
              <a:solidFill>
                <a:srgbClr val="000000"/>
              </a:solidFill>
              <a:latin typeface="+mn-lt"/>
              <a:ea typeface="Arial Narrow"/>
              <a:cs typeface="Arial Narrow"/>
            </a:defRPr>
          </a:pPr>
          <a:endParaRPr lang="en-US"/>
        </a:p>
      </c:txPr>
    </c:legend>
    <c:plotVisOnly val="1"/>
    <c:dispBlanksAs val="gap"/>
    <c:showDLblsOverMax val="1"/>
  </c:chart>
  <c:spPr>
    <a:noFill/>
    <a:ln>
      <a:noFill/>
    </a:ln>
    <a:extLst>
      <a:ext uri="{909E8E84-426E-40DD-AFC4-6F175D3DCCD1}">
        <a14:hiddenFill xmlns:a14="http://schemas.microsoft.com/office/drawing/2010/main">
          <a:solidFill>
            <a:sysClr val="window" lastClr="FFFFFF"/>
          </a:solidFill>
        </a14:hiddenFill>
      </a:ext>
    </a:extLst>
  </c:spPr>
  <c:txPr>
    <a:bodyPr/>
    <a:lstStyle/>
    <a:p>
      <a:pPr>
        <a:defRPr sz="700" b="0" i="0" u="none" strike="noStrike" baseline="0">
          <a:solidFill>
            <a:srgbClr val="000000"/>
          </a:solidFill>
          <a:latin typeface="Arial"/>
          <a:ea typeface="Arial"/>
          <a:cs typeface="Arial"/>
        </a:defRPr>
      </a:pPr>
      <a:endParaRPr lang="en-US"/>
    </a:p>
  </c:txPr>
  <c:externalData r:id="rId2">
    <c:autoUpdate val="0"/>
  </c:externalData>
  <c:userShapes r:id="rId3"/>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en-GB"/>
              <a:t>%</a:t>
            </a:r>
            <a:endParaRPr lang="ro-RO"/>
          </a:p>
        </c:rich>
      </c:tx>
      <c:overlay val="1"/>
    </c:title>
    <c:autoTitleDeleted val="0"/>
    <c:plotArea>
      <c:layout>
        <c:manualLayout>
          <c:layoutTarget val="inner"/>
          <c:xMode val="edge"/>
          <c:yMode val="edge"/>
          <c:x val="4.1569028871391078E-2"/>
          <c:y val="6.3798635747454632E-2"/>
          <c:w val="0.93827810997309546"/>
          <c:h val="0.65363632430561558"/>
        </c:manualLayout>
      </c:layout>
      <c:lineChart>
        <c:grouping val="standard"/>
        <c:varyColors val="0"/>
        <c:ser>
          <c:idx val="1"/>
          <c:order val="0"/>
          <c:tx>
            <c:strRef>
              <c:f>'F2'!$E$9</c:f>
              <c:strCache>
                <c:ptCount val="1"/>
                <c:pt idx="0">
                  <c:v>mediu</c:v>
                </c:pt>
              </c:strCache>
            </c:strRef>
          </c:tx>
          <c:spPr>
            <a:ln>
              <a:noFill/>
            </a:ln>
          </c:spPr>
          <c:marker>
            <c:symbol val="diamond"/>
            <c:size val="7"/>
            <c:spPr>
              <a:solidFill>
                <a:schemeClr val="accent3"/>
              </a:solidFill>
              <a:ln>
                <a:noFill/>
              </a:ln>
            </c:spPr>
          </c:marker>
          <c:dLbls>
            <c:dLbl>
              <c:idx val="0"/>
              <c:layout>
                <c:manualLayout>
                  <c:x val="-2.6477146042363439E-2"/>
                  <c:y val="-2.870116369224564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DDA1-4D11-918B-A20BB923EBA7}"/>
                </c:ext>
              </c:extLst>
            </c:dLbl>
            <c:dLbl>
              <c:idx val="15"/>
              <c:layout>
                <c:manualLayout>
                  <c:x val="-3.6224912675389263E-2"/>
                  <c:y val="-4.149268781867956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DDA1-4D11-918B-A20BB923EBA7}"/>
                </c:ext>
              </c:extLst>
            </c:dLbl>
            <c:spPr>
              <a:noFill/>
              <a:ln>
                <a:noFill/>
              </a:ln>
              <a:effectLst/>
            </c:spPr>
            <c:txPr>
              <a:bodyPr wrap="square" lIns="38100" tIns="19050" rIns="38100" bIns="19050" anchor="ctr">
                <a:spAutoFit/>
              </a:bodyPr>
              <a:lstStyle/>
              <a:p>
                <a:pPr>
                  <a:defRPr sz="1000"/>
                </a:pPr>
                <a:endParaRPr lang="ro-RO"/>
              </a:p>
            </c:txPr>
            <c:showLegendKey val="0"/>
            <c:showVal val="0"/>
            <c:showCatName val="0"/>
            <c:showSerName val="0"/>
            <c:showPercent val="0"/>
            <c:showBubbleSize val="0"/>
            <c:extLst>
              <c:ext xmlns:c15="http://schemas.microsoft.com/office/drawing/2012/chart" uri="{CE6537A1-D6FC-4f65-9D91-7224C49458BB}">
                <c15:showLeaderLines val="1"/>
              </c:ext>
            </c:extLst>
          </c:dLbls>
          <c:cat>
            <c:strRef>
              <c:f>'F2'!$H$11:$H$45</c:f>
              <c:strCache>
                <c:ptCount val="35"/>
                <c:pt idx="0">
                  <c:v>UE</c:v>
                </c:pt>
                <c:pt idx="2">
                  <c:v>Bulgaria</c:v>
                </c:pt>
                <c:pt idx="3">
                  <c:v>Grecia</c:v>
                </c:pt>
                <c:pt idx="4">
                  <c:v>Letonia</c:v>
                </c:pt>
                <c:pt idx="5">
                  <c:v>Germania</c:v>
                </c:pt>
                <c:pt idx="6">
                  <c:v>Croaţia</c:v>
                </c:pt>
                <c:pt idx="7">
                  <c:v>Cipru</c:v>
                </c:pt>
                <c:pt idx="8">
                  <c:v>Slovacia</c:v>
                </c:pt>
                <c:pt idx="9">
                  <c:v>Austria</c:v>
                </c:pt>
                <c:pt idx="10">
                  <c:v>Spania</c:v>
                </c:pt>
                <c:pt idx="11">
                  <c:v>Malta</c:v>
                </c:pt>
                <c:pt idx="12">
                  <c:v>Cehia</c:v>
                </c:pt>
                <c:pt idx="13">
                  <c:v>Ungaria</c:v>
                </c:pt>
                <c:pt idx="14">
                  <c:v>Estonia</c:v>
                </c:pt>
                <c:pt idx="15">
                  <c:v>România</c:v>
                </c:pt>
                <c:pt idx="16">
                  <c:v>Lituania</c:v>
                </c:pt>
                <c:pt idx="17">
                  <c:v>Polonia</c:v>
                </c:pt>
                <c:pt idx="18">
                  <c:v>Franţa</c:v>
                </c:pt>
                <c:pt idx="19">
                  <c:v>Slovenia</c:v>
                </c:pt>
                <c:pt idx="20">
                  <c:v>Italia</c:v>
                </c:pt>
                <c:pt idx="21">
                  <c:v>Belgia</c:v>
                </c:pt>
                <c:pt idx="22">
                  <c:v>Olanda</c:v>
                </c:pt>
                <c:pt idx="23">
                  <c:v>Irlanda</c:v>
                </c:pt>
                <c:pt idx="24">
                  <c:v>Danemarca</c:v>
                </c:pt>
                <c:pt idx="25">
                  <c:v>Portugalia</c:v>
                </c:pt>
                <c:pt idx="26">
                  <c:v>Luxemburg</c:v>
                </c:pt>
                <c:pt idx="27">
                  <c:v>Finlanda</c:v>
                </c:pt>
                <c:pt idx="28">
                  <c:v>Suedia</c:v>
                </c:pt>
                <c:pt idx="30">
                  <c:v>Norvegia</c:v>
                </c:pt>
                <c:pt idx="31">
                  <c:v>Islanda</c:v>
                </c:pt>
                <c:pt idx="33">
                  <c:v>Turcia</c:v>
                </c:pt>
                <c:pt idx="34">
                  <c:v>Serbia</c:v>
                </c:pt>
              </c:strCache>
            </c:strRef>
          </c:cat>
          <c:val>
            <c:numRef>
              <c:f>'F2'!$E$11:$E$45</c:f>
              <c:numCache>
                <c:formatCode>General</c:formatCode>
                <c:ptCount val="35"/>
                <c:pt idx="0" formatCode="0.0">
                  <c:v>21.9</c:v>
                </c:pt>
                <c:pt idx="2" formatCode="0.0">
                  <c:v>33.700000000000003</c:v>
                </c:pt>
                <c:pt idx="3" formatCode="0.0">
                  <c:v>29.7</c:v>
                </c:pt>
                <c:pt idx="4" formatCode="0.0">
                  <c:v>27.5</c:v>
                </c:pt>
                <c:pt idx="5" formatCode="0.0">
                  <c:v>24.6</c:v>
                </c:pt>
                <c:pt idx="6" formatCode="0.0">
                  <c:v>26.9</c:v>
                </c:pt>
                <c:pt idx="7" formatCode="0.0">
                  <c:v>25</c:v>
                </c:pt>
                <c:pt idx="8" formatCode="0.0">
                  <c:v>23.6</c:v>
                </c:pt>
                <c:pt idx="9" formatCode="0.0">
                  <c:v>23.8</c:v>
                </c:pt>
                <c:pt idx="10" formatCode="0.0">
                  <c:v>22.5</c:v>
                </c:pt>
                <c:pt idx="11" formatCode="0.0">
                  <c:v>21.2</c:v>
                </c:pt>
                <c:pt idx="12" formatCode="0.0">
                  <c:v>22.3</c:v>
                </c:pt>
                <c:pt idx="13" formatCode="0.0">
                  <c:v>22.4</c:v>
                </c:pt>
                <c:pt idx="14" formatCode="0.0">
                  <c:v>23.6</c:v>
                </c:pt>
                <c:pt idx="15" formatCode="0.0">
                  <c:v>21.7</c:v>
                </c:pt>
                <c:pt idx="16" formatCode="0.0">
                  <c:v>25</c:v>
                </c:pt>
                <c:pt idx="17" formatCode="0.0">
                  <c:v>22.9</c:v>
                </c:pt>
                <c:pt idx="18" formatCode="0.0">
                  <c:v>19.8</c:v>
                </c:pt>
                <c:pt idx="19" formatCode="0.0">
                  <c:v>23.3</c:v>
                </c:pt>
                <c:pt idx="20" formatCode="0.0">
                  <c:v>18.2</c:v>
                </c:pt>
                <c:pt idx="21" formatCode="0.0">
                  <c:v>18.399999999999999</c:v>
                </c:pt>
                <c:pt idx="22" formatCode="0.0">
                  <c:v>17.3</c:v>
                </c:pt>
                <c:pt idx="23" formatCode="0.0">
                  <c:v>17.399999999999999</c:v>
                </c:pt>
                <c:pt idx="24" formatCode="0.0">
                  <c:v>14.8</c:v>
                </c:pt>
                <c:pt idx="25" formatCode="0.0">
                  <c:v>14.6</c:v>
                </c:pt>
                <c:pt idx="26" formatCode="0.0">
                  <c:v>12.9</c:v>
                </c:pt>
                <c:pt idx="27" formatCode="0.0">
                  <c:v>13</c:v>
                </c:pt>
                <c:pt idx="28" formatCode="0.0">
                  <c:v>7.3</c:v>
                </c:pt>
                <c:pt idx="30" formatCode="0.0">
                  <c:v>9.8000000000000007</c:v>
                </c:pt>
                <c:pt idx="31" formatCode="0.0">
                  <c:v>8.8000000000000007</c:v>
                </c:pt>
                <c:pt idx="33" formatCode="0.0">
                  <c:v>31.2</c:v>
                </c:pt>
                <c:pt idx="34" formatCode="0.0">
                  <c:v>29.5</c:v>
                </c:pt>
              </c:numCache>
            </c:numRef>
          </c:val>
          <c:smooth val="0"/>
          <c:extLst>
            <c:ext xmlns:c16="http://schemas.microsoft.com/office/drawing/2014/chart" uri="{C3380CC4-5D6E-409C-BE32-E72D297353CC}">
              <c16:uniqueId val="{00000002-DDA1-4D11-918B-A20BB923EBA7}"/>
            </c:ext>
          </c:extLst>
        </c:ser>
        <c:ser>
          <c:idx val="0"/>
          <c:order val="1"/>
          <c:tx>
            <c:strRef>
              <c:f>'F2'!$D$9</c:f>
              <c:strCache>
                <c:ptCount val="1"/>
                <c:pt idx="0">
                  <c:v>scăzut</c:v>
                </c:pt>
              </c:strCache>
            </c:strRef>
          </c:tx>
          <c:spPr>
            <a:ln>
              <a:noFill/>
            </a:ln>
          </c:spPr>
          <c:marker>
            <c:symbol val="diamond"/>
            <c:size val="7"/>
            <c:spPr>
              <a:solidFill>
                <a:schemeClr val="accent1"/>
              </a:solidFill>
              <a:ln>
                <a:noFill/>
              </a:ln>
            </c:spPr>
          </c:marker>
          <c:dLbls>
            <c:dLbl>
              <c:idx val="0"/>
              <c:layout>
                <c:manualLayout>
                  <c:x val="-2.0885547201336684E-2"/>
                  <c:y val="1.058387722702410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DDA1-4D11-918B-A20BB923EBA7}"/>
                </c:ext>
              </c:extLst>
            </c:dLbl>
            <c:dLbl>
              <c:idx val="15"/>
              <c:layout>
                <c:manualLayout>
                  <c:x val="-3.9008446312631971E-2"/>
                  <c:y val="4.502064689435435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DDA1-4D11-918B-A20BB923EBA7}"/>
                </c:ext>
              </c:extLst>
            </c:dLbl>
            <c:spPr>
              <a:noFill/>
              <a:ln>
                <a:noFill/>
              </a:ln>
              <a:effectLst/>
            </c:spPr>
            <c:txPr>
              <a:bodyPr wrap="square" lIns="38100" tIns="19050" rIns="38100" bIns="19050" anchor="ctr">
                <a:spAutoFit/>
              </a:bodyPr>
              <a:lstStyle/>
              <a:p>
                <a:pPr>
                  <a:defRPr sz="1000"/>
                </a:pPr>
                <a:endParaRPr lang="ro-RO"/>
              </a:p>
            </c:txPr>
            <c:showLegendKey val="0"/>
            <c:showVal val="0"/>
            <c:showCatName val="0"/>
            <c:showSerName val="0"/>
            <c:showPercent val="0"/>
            <c:showBubbleSize val="0"/>
            <c:extLst>
              <c:ext xmlns:c15="http://schemas.microsoft.com/office/drawing/2012/chart" uri="{CE6537A1-D6FC-4f65-9D91-7224C49458BB}">
                <c15:showLeaderLines val="1"/>
              </c:ext>
            </c:extLst>
          </c:dLbls>
          <c:cat>
            <c:strRef>
              <c:f>'F2'!$H$11:$H$45</c:f>
              <c:strCache>
                <c:ptCount val="35"/>
                <c:pt idx="0">
                  <c:v>UE</c:v>
                </c:pt>
                <c:pt idx="2">
                  <c:v>Bulgaria</c:v>
                </c:pt>
                <c:pt idx="3">
                  <c:v>Grecia</c:v>
                </c:pt>
                <c:pt idx="4">
                  <c:v>Letonia</c:v>
                </c:pt>
                <c:pt idx="5">
                  <c:v>Germania</c:v>
                </c:pt>
                <c:pt idx="6">
                  <c:v>Croaţia</c:v>
                </c:pt>
                <c:pt idx="7">
                  <c:v>Cipru</c:v>
                </c:pt>
                <c:pt idx="8">
                  <c:v>Slovacia</c:v>
                </c:pt>
                <c:pt idx="9">
                  <c:v>Austria</c:v>
                </c:pt>
                <c:pt idx="10">
                  <c:v>Spania</c:v>
                </c:pt>
                <c:pt idx="11">
                  <c:v>Malta</c:v>
                </c:pt>
                <c:pt idx="12">
                  <c:v>Cehia</c:v>
                </c:pt>
                <c:pt idx="13">
                  <c:v>Ungaria</c:v>
                </c:pt>
                <c:pt idx="14">
                  <c:v>Estonia</c:v>
                </c:pt>
                <c:pt idx="15">
                  <c:v>România</c:v>
                </c:pt>
                <c:pt idx="16">
                  <c:v>Lituania</c:v>
                </c:pt>
                <c:pt idx="17">
                  <c:v>Polonia</c:v>
                </c:pt>
                <c:pt idx="18">
                  <c:v>Franţa</c:v>
                </c:pt>
                <c:pt idx="19">
                  <c:v>Slovenia</c:v>
                </c:pt>
                <c:pt idx="20">
                  <c:v>Italia</c:v>
                </c:pt>
                <c:pt idx="21">
                  <c:v>Belgia</c:v>
                </c:pt>
                <c:pt idx="22">
                  <c:v>Olanda</c:v>
                </c:pt>
                <c:pt idx="23">
                  <c:v>Irlanda</c:v>
                </c:pt>
                <c:pt idx="24">
                  <c:v>Danemarca</c:v>
                </c:pt>
                <c:pt idx="25">
                  <c:v>Portugalia</c:v>
                </c:pt>
                <c:pt idx="26">
                  <c:v>Luxemburg</c:v>
                </c:pt>
                <c:pt idx="27">
                  <c:v>Finlanda</c:v>
                </c:pt>
                <c:pt idx="28">
                  <c:v>Suedia</c:v>
                </c:pt>
                <c:pt idx="30">
                  <c:v>Norvegia</c:v>
                </c:pt>
                <c:pt idx="31">
                  <c:v>Islanda</c:v>
                </c:pt>
                <c:pt idx="33">
                  <c:v>Turcia</c:v>
                </c:pt>
                <c:pt idx="34">
                  <c:v>Serbia</c:v>
                </c:pt>
              </c:strCache>
            </c:strRef>
          </c:cat>
          <c:val>
            <c:numRef>
              <c:f>'F2'!$D$11:$D$45</c:f>
              <c:numCache>
                <c:formatCode>General</c:formatCode>
                <c:ptCount val="35"/>
                <c:pt idx="0" formatCode="0.0">
                  <c:v>18.600000000000001</c:v>
                </c:pt>
                <c:pt idx="2" formatCode="0.0">
                  <c:v>23.5</c:v>
                </c:pt>
                <c:pt idx="3" formatCode="0.0">
                  <c:v>19.3</c:v>
                </c:pt>
                <c:pt idx="4" formatCode="0.0">
                  <c:v>23.1</c:v>
                </c:pt>
                <c:pt idx="5" formatCode="0.0">
                  <c:v>24.9</c:v>
                </c:pt>
                <c:pt idx="6" formatCode="0.0">
                  <c:v>14.9</c:v>
                </c:pt>
                <c:pt idx="7" formatCode="0.0">
                  <c:v>16.5</c:v>
                </c:pt>
                <c:pt idx="8" formatCode="0.0">
                  <c:v>22.5</c:v>
                </c:pt>
                <c:pt idx="9" formatCode="0.0">
                  <c:v>20.399999999999999</c:v>
                </c:pt>
                <c:pt idx="10" formatCode="0.0">
                  <c:v>20.8</c:v>
                </c:pt>
                <c:pt idx="11" formatCode="0.0">
                  <c:v>22.6</c:v>
                </c:pt>
                <c:pt idx="12" formatCode="0.0">
                  <c:v>21.6</c:v>
                </c:pt>
                <c:pt idx="13" formatCode="0.0">
                  <c:v>25.3</c:v>
                </c:pt>
                <c:pt idx="14" formatCode="0.0">
                  <c:v>23.1</c:v>
                </c:pt>
                <c:pt idx="15" formatCode="0.0">
                  <c:v>13.4</c:v>
                </c:pt>
                <c:pt idx="16" formatCode="0.0">
                  <c:v>14.5</c:v>
                </c:pt>
                <c:pt idx="17" formatCode="0.0">
                  <c:v>17.600000000000001</c:v>
                </c:pt>
                <c:pt idx="18" formatCode="0.0">
                  <c:v>18.5</c:v>
                </c:pt>
                <c:pt idx="19" formatCode="0.0">
                  <c:v>14.9</c:v>
                </c:pt>
                <c:pt idx="20" formatCode="0.0">
                  <c:v>16</c:v>
                </c:pt>
                <c:pt idx="21" formatCode="0.0">
                  <c:v>17.2</c:v>
                </c:pt>
                <c:pt idx="22" formatCode="0.0">
                  <c:v>19.2</c:v>
                </c:pt>
                <c:pt idx="23" formatCode="0.0">
                  <c:v>16.5</c:v>
                </c:pt>
                <c:pt idx="24" formatCode="0.0">
                  <c:v>15</c:v>
                </c:pt>
                <c:pt idx="25" formatCode="0.0">
                  <c:v>11.5</c:v>
                </c:pt>
                <c:pt idx="26" formatCode="0.0">
                  <c:v>13.8</c:v>
                </c:pt>
                <c:pt idx="27" formatCode="0.0">
                  <c:v>10.7</c:v>
                </c:pt>
                <c:pt idx="28" formatCode="0.0">
                  <c:v>9.6999999999999993</c:v>
                </c:pt>
                <c:pt idx="30" formatCode="0.0">
                  <c:v>17.399999999999999</c:v>
                </c:pt>
                <c:pt idx="31" formatCode="0.0">
                  <c:v>9.9</c:v>
                </c:pt>
                <c:pt idx="33" formatCode="0.0">
                  <c:v>25</c:v>
                </c:pt>
                <c:pt idx="34" formatCode="0.0">
                  <c:v>23.4</c:v>
                </c:pt>
              </c:numCache>
            </c:numRef>
          </c:val>
          <c:smooth val="0"/>
          <c:extLst>
            <c:ext xmlns:c16="http://schemas.microsoft.com/office/drawing/2014/chart" uri="{C3380CC4-5D6E-409C-BE32-E72D297353CC}">
              <c16:uniqueId val="{00000005-DDA1-4D11-918B-A20BB923EBA7}"/>
            </c:ext>
          </c:extLst>
        </c:ser>
        <c:ser>
          <c:idx val="2"/>
          <c:order val="2"/>
          <c:tx>
            <c:strRef>
              <c:f>'F2'!$F$9</c:f>
              <c:strCache>
                <c:ptCount val="1"/>
                <c:pt idx="0">
                  <c:v>crescut</c:v>
                </c:pt>
              </c:strCache>
            </c:strRef>
          </c:tx>
          <c:spPr>
            <a:ln>
              <a:noFill/>
            </a:ln>
          </c:spPr>
          <c:marker>
            <c:symbol val="diamond"/>
            <c:size val="7"/>
            <c:spPr>
              <a:solidFill>
                <a:schemeClr val="accent2"/>
              </a:solidFill>
              <a:ln>
                <a:noFill/>
              </a:ln>
            </c:spPr>
          </c:marker>
          <c:dLbls>
            <c:dLbl>
              <c:idx val="0"/>
              <c:layout>
                <c:manualLayout>
                  <c:x val="-2.6477146042363439E-2"/>
                  <c:y val="2.649338186976521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DDA1-4D11-918B-A20BB923EBA7}"/>
                </c:ext>
              </c:extLst>
            </c:dLbl>
            <c:dLbl>
              <c:idx val="15"/>
              <c:layout>
                <c:manualLayout>
                  <c:x val="-7.0217418403174539E-2"/>
                  <c:y val="-1.807213614427228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DDA1-4D11-918B-A20BB923EBA7}"/>
                </c:ext>
              </c:extLst>
            </c:dLbl>
            <c:spPr>
              <a:noFill/>
              <a:ln>
                <a:noFill/>
              </a:ln>
              <a:effectLst/>
            </c:spPr>
            <c:txPr>
              <a:bodyPr wrap="square" lIns="38100" tIns="19050" rIns="38100" bIns="19050" anchor="ctr">
                <a:spAutoFit/>
              </a:bodyPr>
              <a:lstStyle/>
              <a:p>
                <a:pPr>
                  <a:defRPr sz="1000"/>
                </a:pPr>
                <a:endParaRPr lang="ro-RO"/>
              </a:p>
            </c:txPr>
            <c:showLegendKey val="0"/>
            <c:showVal val="0"/>
            <c:showCatName val="0"/>
            <c:showSerName val="0"/>
            <c:showPercent val="0"/>
            <c:showBubbleSize val="0"/>
            <c:extLst>
              <c:ext xmlns:c15="http://schemas.microsoft.com/office/drawing/2012/chart" uri="{CE6537A1-D6FC-4f65-9D91-7224C49458BB}">
                <c15:showLeaderLines val="1"/>
              </c:ext>
            </c:extLst>
          </c:dLbls>
          <c:cat>
            <c:strRef>
              <c:f>'F2'!$H$11:$H$45</c:f>
              <c:strCache>
                <c:ptCount val="35"/>
                <c:pt idx="0">
                  <c:v>UE</c:v>
                </c:pt>
                <c:pt idx="2">
                  <c:v>Bulgaria</c:v>
                </c:pt>
                <c:pt idx="3">
                  <c:v>Grecia</c:v>
                </c:pt>
                <c:pt idx="4">
                  <c:v>Letonia</c:v>
                </c:pt>
                <c:pt idx="5">
                  <c:v>Germania</c:v>
                </c:pt>
                <c:pt idx="6">
                  <c:v>Croaţia</c:v>
                </c:pt>
                <c:pt idx="7">
                  <c:v>Cipru</c:v>
                </c:pt>
                <c:pt idx="8">
                  <c:v>Slovacia</c:v>
                </c:pt>
                <c:pt idx="9">
                  <c:v>Austria</c:v>
                </c:pt>
                <c:pt idx="10">
                  <c:v>Spania</c:v>
                </c:pt>
                <c:pt idx="11">
                  <c:v>Malta</c:v>
                </c:pt>
                <c:pt idx="12">
                  <c:v>Cehia</c:v>
                </c:pt>
                <c:pt idx="13">
                  <c:v>Ungaria</c:v>
                </c:pt>
                <c:pt idx="14">
                  <c:v>Estonia</c:v>
                </c:pt>
                <c:pt idx="15">
                  <c:v>România</c:v>
                </c:pt>
                <c:pt idx="16">
                  <c:v>Lituania</c:v>
                </c:pt>
                <c:pt idx="17">
                  <c:v>Polonia</c:v>
                </c:pt>
                <c:pt idx="18">
                  <c:v>Franţa</c:v>
                </c:pt>
                <c:pt idx="19">
                  <c:v>Slovenia</c:v>
                </c:pt>
                <c:pt idx="20">
                  <c:v>Italia</c:v>
                </c:pt>
                <c:pt idx="21">
                  <c:v>Belgia</c:v>
                </c:pt>
                <c:pt idx="22">
                  <c:v>Olanda</c:v>
                </c:pt>
                <c:pt idx="23">
                  <c:v>Irlanda</c:v>
                </c:pt>
                <c:pt idx="24">
                  <c:v>Danemarca</c:v>
                </c:pt>
                <c:pt idx="25">
                  <c:v>Portugalia</c:v>
                </c:pt>
                <c:pt idx="26">
                  <c:v>Luxemburg</c:v>
                </c:pt>
                <c:pt idx="27">
                  <c:v>Finlanda</c:v>
                </c:pt>
                <c:pt idx="28">
                  <c:v>Suedia</c:v>
                </c:pt>
                <c:pt idx="30">
                  <c:v>Norvegia</c:v>
                </c:pt>
                <c:pt idx="31">
                  <c:v>Islanda</c:v>
                </c:pt>
                <c:pt idx="33">
                  <c:v>Turcia</c:v>
                </c:pt>
                <c:pt idx="34">
                  <c:v>Serbia</c:v>
                </c:pt>
              </c:strCache>
            </c:strRef>
          </c:cat>
          <c:val>
            <c:numRef>
              <c:f>'F2'!$F$11:$F$45</c:f>
              <c:numCache>
                <c:formatCode>General</c:formatCode>
                <c:ptCount val="35"/>
                <c:pt idx="0" formatCode="0.0">
                  <c:v>12.7</c:v>
                </c:pt>
                <c:pt idx="2" formatCode="0.0">
                  <c:v>23.5</c:v>
                </c:pt>
                <c:pt idx="3" formatCode="0.0">
                  <c:v>20.2</c:v>
                </c:pt>
                <c:pt idx="4" formatCode="0.0">
                  <c:v>11.5</c:v>
                </c:pt>
                <c:pt idx="5" formatCode="0.0">
                  <c:v>13.5</c:v>
                </c:pt>
                <c:pt idx="6" formatCode="0.0">
                  <c:v>17.3</c:v>
                </c:pt>
                <c:pt idx="7" formatCode="0.0">
                  <c:v>20</c:v>
                </c:pt>
                <c:pt idx="8" formatCode="0.0">
                  <c:v>10</c:v>
                </c:pt>
                <c:pt idx="9" formatCode="0.0">
                  <c:v>14.1</c:v>
                </c:pt>
                <c:pt idx="10" formatCode="0.0">
                  <c:v>15.8</c:v>
                </c:pt>
                <c:pt idx="11" formatCode="0.0">
                  <c:v>12.1</c:v>
                </c:pt>
                <c:pt idx="12" formatCode="0.0">
                  <c:v>7.9</c:v>
                </c:pt>
                <c:pt idx="13" formatCode="0.0">
                  <c:v>8.6</c:v>
                </c:pt>
                <c:pt idx="14" formatCode="0.0">
                  <c:v>10.6</c:v>
                </c:pt>
                <c:pt idx="15" formatCode="0.0">
                  <c:v>17.8</c:v>
                </c:pt>
                <c:pt idx="16" formatCode="0.0">
                  <c:v>11</c:v>
                </c:pt>
                <c:pt idx="17" formatCode="0.0">
                  <c:v>8.1999999999999993</c:v>
                </c:pt>
                <c:pt idx="18" formatCode="0.0">
                  <c:v>15.5</c:v>
                </c:pt>
                <c:pt idx="19" formatCode="0.0">
                  <c:v>15.6</c:v>
                </c:pt>
                <c:pt idx="20" formatCode="0.0">
                  <c:v>13.3</c:v>
                </c:pt>
                <c:pt idx="21" formatCode="0.0">
                  <c:v>9.4</c:v>
                </c:pt>
                <c:pt idx="22" formatCode="0.0">
                  <c:v>6.8</c:v>
                </c:pt>
                <c:pt idx="23" formatCode="0.0">
                  <c:v>8.5</c:v>
                </c:pt>
                <c:pt idx="24" formatCode="0.0">
                  <c:v>7.6</c:v>
                </c:pt>
                <c:pt idx="25" formatCode="0.0">
                  <c:v>7.9</c:v>
                </c:pt>
                <c:pt idx="26" formatCode="0.0">
                  <c:v>7.2</c:v>
                </c:pt>
                <c:pt idx="27" formatCode="0.0">
                  <c:v>5.4</c:v>
                </c:pt>
                <c:pt idx="28" formatCode="0.0">
                  <c:v>2.8</c:v>
                </c:pt>
                <c:pt idx="30" formatCode="0.0">
                  <c:v>4.9000000000000004</c:v>
                </c:pt>
                <c:pt idx="31" formatCode="0.0">
                  <c:v>3.9</c:v>
                </c:pt>
                <c:pt idx="33" formatCode="0.0">
                  <c:v>27.1</c:v>
                </c:pt>
                <c:pt idx="34" formatCode="0.0">
                  <c:v>20.5</c:v>
                </c:pt>
              </c:numCache>
            </c:numRef>
          </c:val>
          <c:smooth val="0"/>
          <c:extLst>
            <c:ext xmlns:c16="http://schemas.microsoft.com/office/drawing/2014/chart" uri="{C3380CC4-5D6E-409C-BE32-E72D297353CC}">
              <c16:uniqueId val="{00000008-DDA1-4D11-918B-A20BB923EBA7}"/>
            </c:ext>
          </c:extLst>
        </c:ser>
        <c:dLbls>
          <c:showLegendKey val="0"/>
          <c:showVal val="0"/>
          <c:showCatName val="0"/>
          <c:showSerName val="0"/>
          <c:showPercent val="0"/>
          <c:showBubbleSize val="0"/>
        </c:dLbls>
        <c:hiLowLines>
          <c:spPr>
            <a:ln>
              <a:solidFill>
                <a:schemeClr val="bg1">
                  <a:lumMod val="85000"/>
                </a:schemeClr>
              </a:solidFill>
            </a:ln>
          </c:spPr>
        </c:hiLowLines>
        <c:marker val="1"/>
        <c:smooth val="0"/>
        <c:axId val="225063800"/>
        <c:axId val="225064192"/>
      </c:lineChart>
      <c:catAx>
        <c:axId val="225063800"/>
        <c:scaling>
          <c:orientation val="minMax"/>
        </c:scaling>
        <c:delete val="0"/>
        <c:axPos val="b"/>
        <c:numFmt formatCode="General" sourceLinked="0"/>
        <c:majorTickMark val="out"/>
        <c:minorTickMark val="none"/>
        <c:tickLblPos val="nextTo"/>
        <c:spPr>
          <a:ln>
            <a:solidFill>
              <a:srgbClr val="000000"/>
            </a:solidFill>
            <a:prstDash val="solid"/>
          </a:ln>
        </c:spPr>
        <c:txPr>
          <a:bodyPr rot="-5400000" vert="horz"/>
          <a:lstStyle/>
          <a:p>
            <a:pPr>
              <a:defRPr sz="1000">
                <a:latin typeface="Calibri" panose="020F0502020204030204" pitchFamily="34" charset="0"/>
                <a:ea typeface="Calibri" panose="020F0502020204030204" pitchFamily="34" charset="0"/>
                <a:cs typeface="Calibri" panose="020F0502020204030204" pitchFamily="34" charset="0"/>
              </a:defRPr>
            </a:pPr>
            <a:endParaRPr lang="en-US"/>
          </a:p>
        </c:txPr>
        <c:crossAx val="225064192"/>
        <c:crosses val="autoZero"/>
        <c:auto val="1"/>
        <c:lblAlgn val="ctr"/>
        <c:lblOffset val="100"/>
        <c:tickMarkSkip val="1"/>
        <c:noMultiLvlLbl val="0"/>
      </c:catAx>
      <c:valAx>
        <c:axId val="225064192"/>
        <c:scaling>
          <c:orientation val="minMax"/>
          <c:max val="35"/>
          <c:min val="0"/>
        </c:scaling>
        <c:delete val="0"/>
        <c:axPos val="l"/>
        <c:majorGridlines>
          <c:spPr>
            <a:ln w="3175">
              <a:solidFill>
                <a:srgbClr val="C0C0C0"/>
              </a:solidFill>
              <a:prstDash val="sysDash"/>
            </a:ln>
          </c:spPr>
        </c:majorGridlines>
        <c:numFmt formatCode="0" sourceLinked="0"/>
        <c:majorTickMark val="out"/>
        <c:minorTickMark val="none"/>
        <c:tickLblPos val="nextTo"/>
        <c:spPr>
          <a:noFill/>
          <a:ln w="9525" cap="flat" cmpd="sng" algn="ctr">
            <a:noFill/>
            <a:prstDash val="solid"/>
            <a:round/>
          </a:ln>
          <a:effectLst/>
          <a:extLst>
            <a:ext uri="{91240B29-F687-4F45-9708-019B960494DF}">
              <a14:hiddenLine xmlns:a14="http://schemas.microsoft.com/office/drawing/2010/main" w="9525" cap="flat" cmpd="sng" algn="ctr">
                <a:solidFill>
                  <a:sysClr val="windowText" lastClr="000000">
                    <a:tint val="75000"/>
                    <a:shade val="95000"/>
                    <a:satMod val="105000"/>
                  </a:sysClr>
                </a:solidFill>
                <a:prstDash val="solid"/>
                <a:round/>
              </a14:hiddenLine>
            </a:ext>
          </a:extLst>
        </c:spPr>
        <c:txPr>
          <a:bodyPr/>
          <a:lstStyle/>
          <a:p>
            <a:pPr>
              <a:defRPr sz="1000"/>
            </a:pPr>
            <a:endParaRPr lang="ro-RO"/>
          </a:p>
        </c:txPr>
        <c:crossAx val="225063800"/>
        <c:crosses val="autoZero"/>
        <c:crossBetween val="between"/>
        <c:majorUnit val="10"/>
      </c:valAx>
    </c:plotArea>
    <c:legend>
      <c:legendPos val="b"/>
      <c:layout>
        <c:manualLayout>
          <c:xMode val="edge"/>
          <c:yMode val="edge"/>
          <c:x val="0.50460781486053996"/>
          <c:y val="0.10436892503821638"/>
          <c:w val="0.31657243502456928"/>
          <c:h val="5.8697035935523542E-2"/>
        </c:manualLayout>
      </c:layout>
      <c:overlay val="0"/>
      <c:spPr>
        <a:noFill/>
        <a:ln>
          <a:noFill/>
          <a:round/>
        </a:ln>
        <a:effectLst/>
        <a:extLst>
          <a:ext uri="{91240B29-F687-4F45-9708-019B960494DF}">
            <a14:hiddenLine xmlns:a14="http://schemas.microsoft.com/office/drawing/2010/main">
              <a:noFill/>
              <a:round/>
            </a14:hiddenLine>
          </a:ext>
        </a:extLst>
      </c:spPr>
      <c:txPr>
        <a:bodyPr/>
        <a:lstStyle/>
        <a:p>
          <a:pPr>
            <a:defRPr sz="1000" b="1">
              <a:latin typeface="Calibri" panose="020F0502020204030204" pitchFamily="34" charset="0"/>
              <a:ea typeface="Calibri" panose="020F0502020204030204" pitchFamily="34" charset="0"/>
              <a:cs typeface="Calibri" panose="020F0502020204030204" pitchFamily="34" charset="0"/>
            </a:defRPr>
          </a:pPr>
          <a:endParaRPr lang="en-US"/>
        </a:p>
      </c:txPr>
    </c:legend>
    <c:plotVisOnly val="1"/>
    <c:dispBlanksAs val="gap"/>
    <c:showDLblsOverMax val="0"/>
  </c:chart>
  <c:spPr>
    <a:solidFill>
      <a:sysClr val="window" lastClr="FFFFFF"/>
    </a:solidFill>
    <a:ln w="9525" cap="flat" cmpd="sng" algn="ctr">
      <a:noFill/>
      <a:prstDash val="solid"/>
      <a:round/>
    </a:ln>
    <a:effectLst/>
    <a:extLst>
      <a:ext uri="{91240B29-F687-4F45-9708-019B960494DF}">
        <a14:hiddenLine xmlns:a14="http://schemas.microsoft.com/office/drawing/2010/main" w="9525" cap="flat" cmpd="sng" algn="ctr">
          <a:solidFill>
            <a:sysClr val="windowText" lastClr="000000">
              <a:tint val="75000"/>
              <a:shade val="95000"/>
              <a:satMod val="105000"/>
            </a:sysClr>
          </a:solidFill>
          <a:prstDash val="solid"/>
          <a:round/>
        </a14:hiddenLine>
      </a:ext>
    </a:extLst>
  </c:spPr>
  <c:txPr>
    <a:bodyPr/>
    <a:lstStyle/>
    <a:p>
      <a:pPr>
        <a:defRPr sz="1200">
          <a:solidFill>
            <a:srgbClr val="000000"/>
          </a:solidFill>
          <a:latin typeface="Arial"/>
          <a:ea typeface="Arial"/>
          <a:cs typeface="Arial"/>
        </a:defRPr>
      </a:pPr>
      <a:endParaRPr lang="en-US"/>
    </a:p>
  </c:txPr>
  <c:externalData r:id="rId2">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en-GB"/>
              <a:t>%</a:t>
            </a:r>
            <a:endParaRPr lang="ro-RO"/>
          </a:p>
        </c:rich>
      </c:tx>
      <c:layout>
        <c:manualLayout>
          <c:xMode val="edge"/>
          <c:yMode val="edge"/>
          <c:x val="0.31062563169019664"/>
          <c:y val="3.0241935483870969E-2"/>
        </c:manualLayout>
      </c:layout>
      <c:overlay val="1"/>
    </c:title>
    <c:autoTitleDeleted val="0"/>
    <c:plotArea>
      <c:layout>
        <c:manualLayout>
          <c:layoutTarget val="inner"/>
          <c:xMode val="edge"/>
          <c:yMode val="edge"/>
          <c:x val="4.2340157480314958E-2"/>
          <c:y val="5.8393834127587113E-2"/>
          <c:w val="0.91479173006109782"/>
          <c:h val="0.58885984917847223"/>
        </c:manualLayout>
      </c:layout>
      <c:barChart>
        <c:barDir val="col"/>
        <c:grouping val="stacked"/>
        <c:varyColors val="0"/>
        <c:ser>
          <c:idx val="0"/>
          <c:order val="0"/>
          <c:tx>
            <c:strRef>
              <c:f>'F4'!$D$9</c:f>
              <c:strCache>
                <c:ptCount val="1"/>
                <c:pt idx="0">
                  <c:v>mai puțin de 20 țigări/zi</c:v>
                </c:pt>
              </c:strCache>
            </c:strRef>
          </c:tx>
          <c:spPr>
            <a:solidFill>
              <a:schemeClr val="accent1">
                <a:lumMod val="40000"/>
                <a:lumOff val="60000"/>
              </a:schemeClr>
            </a:solidFill>
            <a:ln>
              <a:noFill/>
            </a:ln>
            <a:effectLst/>
            <a:extLst>
              <a:ext uri="{91240B29-F687-4F45-9708-019B960494DF}">
                <a14:hiddenLine xmlns:a14="http://schemas.microsoft.com/office/drawing/2010/main">
                  <a:noFill/>
                </a14:hiddenLine>
              </a:ext>
            </a:extLst>
          </c:spPr>
          <c:invertIfNegative val="0"/>
          <c:dLbls>
            <c:dLbl>
              <c:idx val="0"/>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F6DF-4B9B-97A3-0927EDA1A7DA}"/>
                </c:ext>
              </c:extLst>
            </c:dLbl>
            <c:dLbl>
              <c:idx val="15"/>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F6DF-4B9B-97A3-0927EDA1A7DA}"/>
                </c:ext>
              </c:extLst>
            </c:dLbl>
            <c:spPr>
              <a:noFill/>
              <a:ln>
                <a:noFill/>
              </a:ln>
              <a:effectLst/>
            </c:spPr>
            <c:txPr>
              <a:bodyPr/>
              <a:lstStyle/>
              <a:p>
                <a:pPr>
                  <a:defRPr sz="1000" b="1"/>
                </a:pPr>
                <a:endParaRPr lang="ro-RO"/>
              </a:p>
            </c:txPr>
            <c:showLegendKey val="0"/>
            <c:showVal val="0"/>
            <c:showCatName val="0"/>
            <c:showSerName val="0"/>
            <c:showPercent val="0"/>
            <c:showBubbleSize val="0"/>
            <c:extLst>
              <c:ext xmlns:c15="http://schemas.microsoft.com/office/drawing/2012/chart" uri="{CE6537A1-D6FC-4f65-9D91-7224C49458BB}">
                <c15:showLeaderLines val="1"/>
              </c:ext>
            </c:extLst>
          </c:dLbls>
          <c:cat>
            <c:strRef>
              <c:f>'F4'!$G$11:$G$45</c:f>
              <c:strCache>
                <c:ptCount val="35"/>
                <c:pt idx="0">
                  <c:v>UE</c:v>
                </c:pt>
                <c:pt idx="2">
                  <c:v>Bulgaria</c:v>
                </c:pt>
                <c:pt idx="3">
                  <c:v>Grecia</c:v>
                </c:pt>
                <c:pt idx="4">
                  <c:v>Letonia</c:v>
                </c:pt>
                <c:pt idx="5">
                  <c:v>Germania</c:v>
                </c:pt>
                <c:pt idx="6">
                  <c:v>Croaţia</c:v>
                </c:pt>
                <c:pt idx="7">
                  <c:v>Cipru</c:v>
                </c:pt>
                <c:pt idx="8">
                  <c:v>Slovacia</c:v>
                </c:pt>
                <c:pt idx="9">
                  <c:v>Austria</c:v>
                </c:pt>
                <c:pt idx="10">
                  <c:v>Spania</c:v>
                </c:pt>
                <c:pt idx="11">
                  <c:v>Malta</c:v>
                </c:pt>
                <c:pt idx="12">
                  <c:v>Cehia</c:v>
                </c:pt>
                <c:pt idx="13">
                  <c:v>Ungaria</c:v>
                </c:pt>
                <c:pt idx="14">
                  <c:v>Estonia</c:v>
                </c:pt>
                <c:pt idx="15">
                  <c:v>România</c:v>
                </c:pt>
                <c:pt idx="16">
                  <c:v>Lituania</c:v>
                </c:pt>
                <c:pt idx="17">
                  <c:v>Polonia</c:v>
                </c:pt>
                <c:pt idx="18">
                  <c:v>Franţa</c:v>
                </c:pt>
                <c:pt idx="19">
                  <c:v>Slovenia</c:v>
                </c:pt>
                <c:pt idx="20">
                  <c:v>Italia</c:v>
                </c:pt>
                <c:pt idx="21">
                  <c:v>Belgia (¹)</c:v>
                </c:pt>
                <c:pt idx="22">
                  <c:v>Olanda</c:v>
                </c:pt>
                <c:pt idx="23">
                  <c:v>Irlanda</c:v>
                </c:pt>
                <c:pt idx="24">
                  <c:v>Danemarca</c:v>
                </c:pt>
                <c:pt idx="25">
                  <c:v>Portugalia</c:v>
                </c:pt>
                <c:pt idx="26">
                  <c:v>Luxemburg</c:v>
                </c:pt>
                <c:pt idx="27">
                  <c:v>Finlanda</c:v>
                </c:pt>
                <c:pt idx="28">
                  <c:v>Suedia</c:v>
                </c:pt>
                <c:pt idx="30">
                  <c:v>Norvegia</c:v>
                </c:pt>
                <c:pt idx="31">
                  <c:v>Islanda</c:v>
                </c:pt>
                <c:pt idx="33">
                  <c:v>Turcia</c:v>
                </c:pt>
                <c:pt idx="34">
                  <c:v>Serbia (¹)</c:v>
                </c:pt>
              </c:strCache>
            </c:strRef>
          </c:cat>
          <c:val>
            <c:numRef>
              <c:f>'F4'!$D$11:$D$45</c:f>
              <c:numCache>
                <c:formatCode>General</c:formatCode>
                <c:ptCount val="35"/>
                <c:pt idx="0" formatCode="0.0">
                  <c:v>12.6</c:v>
                </c:pt>
                <c:pt idx="2" formatCode="0.0">
                  <c:v>15.8</c:v>
                </c:pt>
                <c:pt idx="3" formatCode="0.0">
                  <c:v>12.8</c:v>
                </c:pt>
                <c:pt idx="4" formatCode="0.0">
                  <c:v>14.9</c:v>
                </c:pt>
                <c:pt idx="5" formatCode="0.0">
                  <c:v>14.1</c:v>
                </c:pt>
                <c:pt idx="6" formatCode="0.0">
                  <c:v>10.199999999999999</c:v>
                </c:pt>
                <c:pt idx="7" formatCode="0.0">
                  <c:v>11.6</c:v>
                </c:pt>
                <c:pt idx="8" formatCode="0.0">
                  <c:v>15.1</c:v>
                </c:pt>
                <c:pt idx="9" formatCode="0.0">
                  <c:v>12.1</c:v>
                </c:pt>
                <c:pt idx="10" formatCode="0.0">
                  <c:v>14.8</c:v>
                </c:pt>
                <c:pt idx="11" formatCode="0.0">
                  <c:v>12.9</c:v>
                </c:pt>
                <c:pt idx="12" formatCode="0.0">
                  <c:v>13.9</c:v>
                </c:pt>
                <c:pt idx="13" formatCode="0.0">
                  <c:v>12.8</c:v>
                </c:pt>
                <c:pt idx="14" formatCode="0.0">
                  <c:v>13.5</c:v>
                </c:pt>
                <c:pt idx="15" formatCode="0.0">
                  <c:v>13.3</c:v>
                </c:pt>
                <c:pt idx="16" formatCode="0.0">
                  <c:v>13.2</c:v>
                </c:pt>
                <c:pt idx="17" formatCode="0.0">
                  <c:v>9.8000000000000007</c:v>
                </c:pt>
                <c:pt idx="18" formatCode="0.0">
                  <c:v>13.8</c:v>
                </c:pt>
                <c:pt idx="19" formatCode="0.0">
                  <c:v>10.7</c:v>
                </c:pt>
                <c:pt idx="20" formatCode="0.0">
                  <c:v>11.8</c:v>
                </c:pt>
                <c:pt idx="21" formatCode="0.0">
                  <c:v>9.6999999999999993</c:v>
                </c:pt>
                <c:pt idx="22" formatCode="0.0">
                  <c:v>11.7</c:v>
                </c:pt>
                <c:pt idx="23" formatCode="0.0">
                  <c:v>9.8000000000000007</c:v>
                </c:pt>
                <c:pt idx="24" formatCode="0.0">
                  <c:v>8.6</c:v>
                </c:pt>
                <c:pt idx="25" formatCode="0.0">
                  <c:v>7.5</c:v>
                </c:pt>
                <c:pt idx="26" formatCode="0.0">
                  <c:v>7.5</c:v>
                </c:pt>
                <c:pt idx="27" formatCode="0.0">
                  <c:v>7.1</c:v>
                </c:pt>
                <c:pt idx="28" formatCode="0.0">
                  <c:v>5.3</c:v>
                </c:pt>
                <c:pt idx="30" formatCode="0.0">
                  <c:v>8.4</c:v>
                </c:pt>
                <c:pt idx="31" formatCode="0.0">
                  <c:v>5.6</c:v>
                </c:pt>
                <c:pt idx="33" formatCode="0.0">
                  <c:v>12.5</c:v>
                </c:pt>
                <c:pt idx="34" formatCode="0.0">
                  <c:v>10.5</c:v>
                </c:pt>
              </c:numCache>
            </c:numRef>
          </c:val>
          <c:extLst>
            <c:ext xmlns:c16="http://schemas.microsoft.com/office/drawing/2014/chart" uri="{C3380CC4-5D6E-409C-BE32-E72D297353CC}">
              <c16:uniqueId val="{00000002-F6DF-4B9B-97A3-0927EDA1A7DA}"/>
            </c:ext>
          </c:extLst>
        </c:ser>
        <c:ser>
          <c:idx val="1"/>
          <c:order val="1"/>
          <c:tx>
            <c:strRef>
              <c:f>'F4'!$E$9</c:f>
              <c:strCache>
                <c:ptCount val="1"/>
                <c:pt idx="0">
                  <c:v>20 și peste țigări/zi</c:v>
                </c:pt>
              </c:strCache>
            </c:strRef>
          </c:tx>
          <c:spPr>
            <a:solidFill>
              <a:schemeClr val="accent1"/>
            </a:solidFill>
            <a:ln>
              <a:noFill/>
            </a:ln>
            <a:effectLst/>
            <a:extLst>
              <a:ext uri="{91240B29-F687-4F45-9708-019B960494DF}">
                <a14:hiddenLine xmlns:a14="http://schemas.microsoft.com/office/drawing/2010/main">
                  <a:noFill/>
                </a14:hiddenLine>
              </a:ext>
            </a:extLst>
          </c:spPr>
          <c:invertIfNegative val="0"/>
          <c:dLbls>
            <c:dLbl>
              <c:idx val="0"/>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F6DF-4B9B-97A3-0927EDA1A7DA}"/>
                </c:ext>
              </c:extLst>
            </c:dLbl>
            <c:dLbl>
              <c:idx val="15"/>
              <c:layout>
                <c:manualLayout>
                  <c:x val="0"/>
                  <c:y val="-4.6496132034371382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F6DF-4B9B-97A3-0927EDA1A7DA}"/>
                </c:ext>
              </c:extLst>
            </c:dLbl>
            <c:spPr>
              <a:noFill/>
              <a:ln>
                <a:noFill/>
              </a:ln>
              <a:effectLst/>
            </c:spPr>
            <c:txPr>
              <a:bodyPr/>
              <a:lstStyle/>
              <a:p>
                <a:pPr>
                  <a:defRPr sz="1000" b="1"/>
                </a:pPr>
                <a:endParaRPr lang="ro-RO"/>
              </a:p>
            </c:txPr>
            <c:showLegendKey val="0"/>
            <c:showVal val="0"/>
            <c:showCatName val="0"/>
            <c:showSerName val="0"/>
            <c:showPercent val="0"/>
            <c:showBubbleSize val="0"/>
            <c:extLst>
              <c:ext xmlns:c15="http://schemas.microsoft.com/office/drawing/2012/chart" uri="{CE6537A1-D6FC-4f65-9D91-7224C49458BB}">
                <c15:showLeaderLines val="1"/>
              </c:ext>
            </c:extLst>
          </c:dLbls>
          <c:cat>
            <c:strRef>
              <c:f>'F4'!$G$11:$G$45</c:f>
              <c:strCache>
                <c:ptCount val="35"/>
                <c:pt idx="0">
                  <c:v>UE</c:v>
                </c:pt>
                <c:pt idx="2">
                  <c:v>Bulgaria</c:v>
                </c:pt>
                <c:pt idx="3">
                  <c:v>Grecia</c:v>
                </c:pt>
                <c:pt idx="4">
                  <c:v>Letonia</c:v>
                </c:pt>
                <c:pt idx="5">
                  <c:v>Germania</c:v>
                </c:pt>
                <c:pt idx="6">
                  <c:v>Croaţia</c:v>
                </c:pt>
                <c:pt idx="7">
                  <c:v>Cipru</c:v>
                </c:pt>
                <c:pt idx="8">
                  <c:v>Slovacia</c:v>
                </c:pt>
                <c:pt idx="9">
                  <c:v>Austria</c:v>
                </c:pt>
                <c:pt idx="10">
                  <c:v>Spania</c:v>
                </c:pt>
                <c:pt idx="11">
                  <c:v>Malta</c:v>
                </c:pt>
                <c:pt idx="12">
                  <c:v>Cehia</c:v>
                </c:pt>
                <c:pt idx="13">
                  <c:v>Ungaria</c:v>
                </c:pt>
                <c:pt idx="14">
                  <c:v>Estonia</c:v>
                </c:pt>
                <c:pt idx="15">
                  <c:v>România</c:v>
                </c:pt>
                <c:pt idx="16">
                  <c:v>Lituania</c:v>
                </c:pt>
                <c:pt idx="17">
                  <c:v>Polonia</c:v>
                </c:pt>
                <c:pt idx="18">
                  <c:v>Franţa</c:v>
                </c:pt>
                <c:pt idx="19">
                  <c:v>Slovenia</c:v>
                </c:pt>
                <c:pt idx="20">
                  <c:v>Italia</c:v>
                </c:pt>
                <c:pt idx="21">
                  <c:v>Belgia (¹)</c:v>
                </c:pt>
                <c:pt idx="22">
                  <c:v>Olanda</c:v>
                </c:pt>
                <c:pt idx="23">
                  <c:v>Irlanda</c:v>
                </c:pt>
                <c:pt idx="24">
                  <c:v>Danemarca</c:v>
                </c:pt>
                <c:pt idx="25">
                  <c:v>Portugalia</c:v>
                </c:pt>
                <c:pt idx="26">
                  <c:v>Luxemburg</c:v>
                </c:pt>
                <c:pt idx="27">
                  <c:v>Finlanda</c:v>
                </c:pt>
                <c:pt idx="28">
                  <c:v>Suedia</c:v>
                </c:pt>
                <c:pt idx="30">
                  <c:v>Norvegia</c:v>
                </c:pt>
                <c:pt idx="31">
                  <c:v>Islanda</c:v>
                </c:pt>
                <c:pt idx="33">
                  <c:v>Turcia</c:v>
                </c:pt>
                <c:pt idx="34">
                  <c:v>Serbia (¹)</c:v>
                </c:pt>
              </c:strCache>
            </c:strRef>
          </c:cat>
          <c:val>
            <c:numRef>
              <c:f>'F4'!$E$11:$E$45</c:f>
              <c:numCache>
                <c:formatCode>General</c:formatCode>
                <c:ptCount val="35"/>
                <c:pt idx="0" formatCode="0.0">
                  <c:v>5.9</c:v>
                </c:pt>
                <c:pt idx="2" formatCode="0.0">
                  <c:v>12.9</c:v>
                </c:pt>
                <c:pt idx="3" formatCode="0.0">
                  <c:v>10.8</c:v>
                </c:pt>
                <c:pt idx="4" formatCode="0.0">
                  <c:v>7.2</c:v>
                </c:pt>
                <c:pt idx="5" formatCode="0.0">
                  <c:v>7.8</c:v>
                </c:pt>
                <c:pt idx="6" formatCode="0.0">
                  <c:v>11.6</c:v>
                </c:pt>
                <c:pt idx="7" formatCode="0.0">
                  <c:v>9.6999999999999993</c:v>
                </c:pt>
                <c:pt idx="8" formatCode="0.0">
                  <c:v>5.3</c:v>
                </c:pt>
                <c:pt idx="9" formatCode="0.0">
                  <c:v>8.1999999999999993</c:v>
                </c:pt>
                <c:pt idx="10" formatCode="0.0">
                  <c:v>4.9000000000000004</c:v>
                </c:pt>
                <c:pt idx="11" formatCode="0.0">
                  <c:v>6.6</c:v>
                </c:pt>
                <c:pt idx="12" formatCode="0.0">
                  <c:v>5.4</c:v>
                </c:pt>
                <c:pt idx="13" formatCode="0.0">
                  <c:v>6.5</c:v>
                </c:pt>
                <c:pt idx="14" formatCode="0.0">
                  <c:v>5.4</c:v>
                </c:pt>
                <c:pt idx="15" formatCode="0.0">
                  <c:v>5.4</c:v>
                </c:pt>
                <c:pt idx="16" formatCode="0.0">
                  <c:v>5.2</c:v>
                </c:pt>
                <c:pt idx="17" formatCode="0.0">
                  <c:v>8.6</c:v>
                </c:pt>
                <c:pt idx="18" formatCode="0.0">
                  <c:v>4.0999999999999996</c:v>
                </c:pt>
                <c:pt idx="19" formatCode="0.0">
                  <c:v>5.9</c:v>
                </c:pt>
                <c:pt idx="20" formatCode="0.0">
                  <c:v>4.7</c:v>
                </c:pt>
                <c:pt idx="21" formatCode="0.0">
                  <c:v>4.9000000000000004</c:v>
                </c:pt>
                <c:pt idx="22" formatCode="0.0">
                  <c:v>2.9</c:v>
                </c:pt>
                <c:pt idx="23" formatCode="0.0">
                  <c:v>4.0999999999999996</c:v>
                </c:pt>
                <c:pt idx="24" formatCode="0.0">
                  <c:v>3.1</c:v>
                </c:pt>
                <c:pt idx="25" formatCode="0.0">
                  <c:v>4</c:v>
                </c:pt>
                <c:pt idx="26" formatCode="0.0">
                  <c:v>3</c:v>
                </c:pt>
                <c:pt idx="27" formatCode="0.0">
                  <c:v>2.8</c:v>
                </c:pt>
                <c:pt idx="28" formatCode="0.0">
                  <c:v>1</c:v>
                </c:pt>
                <c:pt idx="30" formatCode="0.0">
                  <c:v>1.8</c:v>
                </c:pt>
                <c:pt idx="31" formatCode="0.0">
                  <c:v>2</c:v>
                </c:pt>
                <c:pt idx="33" formatCode="0.0">
                  <c:v>14.8</c:v>
                </c:pt>
                <c:pt idx="34" formatCode="0.0">
                  <c:v>15.8</c:v>
                </c:pt>
              </c:numCache>
            </c:numRef>
          </c:val>
          <c:extLst>
            <c:ext xmlns:c16="http://schemas.microsoft.com/office/drawing/2014/chart" uri="{C3380CC4-5D6E-409C-BE32-E72D297353CC}">
              <c16:uniqueId val="{00000005-F6DF-4B9B-97A3-0927EDA1A7DA}"/>
            </c:ext>
          </c:extLst>
        </c:ser>
        <c:dLbls>
          <c:showLegendKey val="0"/>
          <c:showVal val="0"/>
          <c:showCatName val="0"/>
          <c:showSerName val="0"/>
          <c:showPercent val="0"/>
          <c:showBubbleSize val="0"/>
        </c:dLbls>
        <c:gapWidth val="150"/>
        <c:overlap val="100"/>
        <c:axId val="225064976"/>
        <c:axId val="225908240"/>
      </c:barChart>
      <c:catAx>
        <c:axId val="225064976"/>
        <c:scaling>
          <c:orientation val="minMax"/>
        </c:scaling>
        <c:delete val="0"/>
        <c:axPos val="b"/>
        <c:numFmt formatCode="General" sourceLinked="0"/>
        <c:majorTickMark val="out"/>
        <c:minorTickMark val="none"/>
        <c:tickLblPos val="nextTo"/>
        <c:spPr>
          <a:ln>
            <a:solidFill>
              <a:srgbClr val="000000"/>
            </a:solidFill>
            <a:prstDash val="solid"/>
          </a:ln>
        </c:spPr>
        <c:txPr>
          <a:bodyPr rot="-5400000" vert="horz"/>
          <a:lstStyle/>
          <a:p>
            <a:pPr>
              <a:defRPr sz="1000"/>
            </a:pPr>
            <a:endParaRPr lang="en-US"/>
          </a:p>
        </c:txPr>
        <c:crossAx val="225908240"/>
        <c:crosses val="autoZero"/>
        <c:auto val="1"/>
        <c:lblAlgn val="ctr"/>
        <c:lblOffset val="100"/>
        <c:tickMarkSkip val="1"/>
        <c:noMultiLvlLbl val="0"/>
      </c:catAx>
      <c:valAx>
        <c:axId val="225908240"/>
        <c:scaling>
          <c:orientation val="minMax"/>
          <c:max val="30"/>
        </c:scaling>
        <c:delete val="0"/>
        <c:axPos val="l"/>
        <c:majorGridlines>
          <c:spPr>
            <a:ln w="3175">
              <a:solidFill>
                <a:srgbClr val="C0C0C0"/>
              </a:solidFill>
              <a:prstDash val="sysDash"/>
            </a:ln>
          </c:spPr>
        </c:majorGridlines>
        <c:numFmt formatCode="#,##0" sourceLinked="0"/>
        <c:majorTickMark val="out"/>
        <c:minorTickMark val="none"/>
        <c:tickLblPos val="nextTo"/>
        <c:spPr>
          <a:noFill/>
          <a:ln w="9525" cap="flat" cmpd="sng" algn="ctr">
            <a:noFill/>
            <a:prstDash val="solid"/>
            <a:round/>
          </a:ln>
          <a:effectLst/>
          <a:extLst>
            <a:ext uri="{91240B29-F687-4F45-9708-019B960494DF}">
              <a14:hiddenLine xmlns:a14="http://schemas.microsoft.com/office/drawing/2010/main" w="9525" cap="flat" cmpd="sng" algn="ctr">
                <a:solidFill>
                  <a:sysClr val="windowText" lastClr="000000">
                    <a:tint val="75000"/>
                    <a:shade val="95000"/>
                    <a:satMod val="105000"/>
                  </a:sysClr>
                </a:solidFill>
                <a:prstDash val="solid"/>
                <a:round/>
              </a14:hiddenLine>
            </a:ext>
          </a:extLst>
        </c:spPr>
        <c:crossAx val="225064976"/>
        <c:crosses val="autoZero"/>
        <c:crossBetween val="between"/>
        <c:majorUnit val="5"/>
      </c:valAx>
    </c:plotArea>
    <c:legend>
      <c:legendPos val="b"/>
      <c:layout>
        <c:manualLayout>
          <c:xMode val="edge"/>
          <c:yMode val="edge"/>
          <c:x val="0.35852204655156894"/>
          <c:y val="0.10057798272044748"/>
          <c:w val="0.44559285858498454"/>
          <c:h val="4.48127523879608E-2"/>
        </c:manualLayout>
      </c:layout>
      <c:overlay val="0"/>
      <c:txPr>
        <a:bodyPr/>
        <a:lstStyle/>
        <a:p>
          <a:pPr>
            <a:defRPr sz="1000" b="1"/>
          </a:pPr>
          <a:endParaRPr lang="en-US"/>
        </a:p>
      </c:txPr>
    </c:legend>
    <c:plotVisOnly val="1"/>
    <c:dispBlanksAs val="gap"/>
    <c:showDLblsOverMax val="0"/>
  </c:chart>
  <c:spPr>
    <a:solidFill>
      <a:sysClr val="window" lastClr="FFFFFF"/>
    </a:solidFill>
    <a:ln w="9525" cap="flat" cmpd="sng" algn="ctr">
      <a:noFill/>
      <a:prstDash val="solid"/>
      <a:round/>
    </a:ln>
    <a:effectLst/>
    <a:extLst>
      <a:ext uri="{91240B29-F687-4F45-9708-019B960494DF}">
        <a14:hiddenLine xmlns:a14="http://schemas.microsoft.com/office/drawing/2010/main" w="9525" cap="flat" cmpd="sng" algn="ctr">
          <a:solidFill>
            <a:sysClr val="windowText" lastClr="000000">
              <a:tint val="75000"/>
              <a:shade val="95000"/>
              <a:satMod val="105000"/>
            </a:sysClr>
          </a:solidFill>
          <a:prstDash val="solid"/>
          <a:round/>
        </a14:hiddenLine>
      </a:ext>
    </a:extLst>
  </c:spPr>
  <c:txPr>
    <a:bodyPr/>
    <a:lstStyle/>
    <a:p>
      <a:pPr>
        <a:defRPr sz="1200">
          <a:solidFill>
            <a:srgbClr val="000000"/>
          </a:solidFill>
          <a:latin typeface="Calibri" panose="020F0502020204030204" pitchFamily="34" charset="0"/>
          <a:ea typeface="Calibri" panose="020F0502020204030204" pitchFamily="34" charset="0"/>
          <a:cs typeface="Calibri" panose="020F0502020204030204" pitchFamily="34" charset="0"/>
        </a:defRPr>
      </a:pPr>
      <a:endParaRPr lang="en-US"/>
    </a:p>
  </c:txPr>
  <c:externalData r:id="rId2">
    <c:autoUpdate val="0"/>
  </c:externalData>
  <c:userShapes r:id="rId3"/>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en-GB"/>
              <a:t>%</a:t>
            </a:r>
            <a:endParaRPr lang="ro-RO"/>
          </a:p>
        </c:rich>
      </c:tx>
      <c:overlay val="1"/>
    </c:title>
    <c:autoTitleDeleted val="0"/>
    <c:plotArea>
      <c:layout>
        <c:manualLayout>
          <c:layoutTarget val="inner"/>
          <c:xMode val="edge"/>
          <c:yMode val="edge"/>
          <c:x val="4.1569028871391078E-2"/>
          <c:y val="2.5490892585795198E-2"/>
          <c:w val="0.92131882070972126"/>
          <c:h val="0.67687328557614512"/>
        </c:manualLayout>
      </c:layout>
      <c:lineChart>
        <c:grouping val="standard"/>
        <c:varyColors val="0"/>
        <c:ser>
          <c:idx val="0"/>
          <c:order val="0"/>
          <c:tx>
            <c:strRef>
              <c:f>'F5'!$D$9</c:f>
              <c:strCache>
                <c:ptCount val="1"/>
                <c:pt idx="0">
                  <c:v>Bărbați</c:v>
                </c:pt>
              </c:strCache>
            </c:strRef>
          </c:tx>
          <c:spPr>
            <a:ln>
              <a:noFill/>
            </a:ln>
          </c:spPr>
          <c:marker>
            <c:symbol val="diamond"/>
            <c:size val="7"/>
            <c:spPr>
              <a:solidFill>
                <a:schemeClr val="accent2"/>
              </a:solidFill>
              <a:ln>
                <a:noFill/>
              </a:ln>
            </c:spPr>
          </c:marker>
          <c:dLbls>
            <c:dLbl>
              <c:idx val="0"/>
              <c:layout>
                <c:manualLayout>
                  <c:x val="-1.2744265080713685E-2"/>
                  <c:y val="-1.857254626684516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633E-4F86-901C-E985FAB5B900}"/>
                </c:ext>
              </c:extLst>
            </c:dLbl>
            <c:dLbl>
              <c:idx val="15"/>
              <c:layout>
                <c:manualLayout>
                  <c:x val="-1.2744265080713678E-2"/>
                  <c:y val="-2.32156828335563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633E-4F86-901C-E985FAB5B900}"/>
                </c:ext>
              </c:extLst>
            </c:dLbl>
            <c:spPr>
              <a:noFill/>
              <a:ln>
                <a:noFill/>
              </a:ln>
              <a:effectLst/>
            </c:spPr>
            <c:txPr>
              <a:bodyPr wrap="square" lIns="38100" tIns="19050" rIns="38100" bIns="19050" anchor="ctr">
                <a:spAutoFit/>
              </a:bodyPr>
              <a:lstStyle/>
              <a:p>
                <a:pPr>
                  <a:defRPr sz="1000">
                    <a:latin typeface="Calibri" panose="020F0502020204030204" pitchFamily="34" charset="0"/>
                    <a:ea typeface="Calibri" panose="020F0502020204030204" pitchFamily="34" charset="0"/>
                    <a:cs typeface="Calibri" panose="020F0502020204030204" pitchFamily="34" charset="0"/>
                  </a:defRPr>
                </a:pPr>
                <a:endParaRPr lang="ro-RO"/>
              </a:p>
            </c:txPr>
            <c:showLegendKey val="0"/>
            <c:showVal val="0"/>
            <c:showCatName val="0"/>
            <c:showSerName val="0"/>
            <c:showPercent val="0"/>
            <c:showBubbleSize val="0"/>
            <c:extLst>
              <c:ext xmlns:c15="http://schemas.microsoft.com/office/drawing/2012/chart" uri="{CE6537A1-D6FC-4f65-9D91-7224C49458BB}">
                <c15:showLeaderLines val="1"/>
              </c:ext>
            </c:extLst>
          </c:dLbls>
          <c:cat>
            <c:strRef>
              <c:f>'F5'!$G$11:$G$45</c:f>
              <c:strCache>
                <c:ptCount val="35"/>
                <c:pt idx="0">
                  <c:v>UE</c:v>
                </c:pt>
                <c:pt idx="2">
                  <c:v>Bulgaria</c:v>
                </c:pt>
                <c:pt idx="3">
                  <c:v>Croaţia</c:v>
                </c:pt>
                <c:pt idx="4">
                  <c:v>Grecia</c:v>
                </c:pt>
                <c:pt idx="5">
                  <c:v>Cipru</c:v>
                </c:pt>
                <c:pt idx="6">
                  <c:v>Polonia</c:v>
                </c:pt>
                <c:pt idx="7">
                  <c:v>Austria</c:v>
                </c:pt>
                <c:pt idx="8">
                  <c:v>Germania</c:v>
                </c:pt>
                <c:pt idx="9">
                  <c:v>Letonia</c:v>
                </c:pt>
                <c:pt idx="10">
                  <c:v>Malta</c:v>
                </c:pt>
                <c:pt idx="11">
                  <c:v>Ungaria</c:v>
                </c:pt>
                <c:pt idx="12">
                  <c:v>Slovenia</c:v>
                </c:pt>
                <c:pt idx="13">
                  <c:v>Cehia</c:v>
                </c:pt>
                <c:pt idx="14">
                  <c:v>Estonia</c:v>
                </c:pt>
                <c:pt idx="15">
                  <c:v>România</c:v>
                </c:pt>
                <c:pt idx="16">
                  <c:v>Slovacia</c:v>
                </c:pt>
                <c:pt idx="17">
                  <c:v>Lituania</c:v>
                </c:pt>
                <c:pt idx="18">
                  <c:v>Belgia (¹)</c:v>
                </c:pt>
                <c:pt idx="19">
                  <c:v>Spania</c:v>
                </c:pt>
                <c:pt idx="20">
                  <c:v>Italia</c:v>
                </c:pt>
                <c:pt idx="21">
                  <c:v>Irlanda</c:v>
                </c:pt>
                <c:pt idx="22">
                  <c:v>Franţa</c:v>
                </c:pt>
                <c:pt idx="23">
                  <c:v>Portugalia</c:v>
                </c:pt>
                <c:pt idx="24">
                  <c:v>Danemarca</c:v>
                </c:pt>
                <c:pt idx="25">
                  <c:v>Luxemburg</c:v>
                </c:pt>
                <c:pt idx="26">
                  <c:v>Olanda</c:v>
                </c:pt>
                <c:pt idx="27">
                  <c:v>Finlanda</c:v>
                </c:pt>
                <c:pt idx="28">
                  <c:v>Suedia</c:v>
                </c:pt>
                <c:pt idx="30">
                  <c:v>Islanda</c:v>
                </c:pt>
                <c:pt idx="31">
                  <c:v>Norvegia</c:v>
                </c:pt>
                <c:pt idx="33">
                  <c:v>Serbia (¹)</c:v>
                </c:pt>
                <c:pt idx="34">
                  <c:v>Turcia</c:v>
                </c:pt>
              </c:strCache>
            </c:strRef>
          </c:cat>
          <c:val>
            <c:numRef>
              <c:f>'F5'!$D$11:$D$45</c:f>
              <c:numCache>
                <c:formatCode>General</c:formatCode>
                <c:ptCount val="35"/>
                <c:pt idx="0" formatCode="0.0">
                  <c:v>8.5</c:v>
                </c:pt>
                <c:pt idx="2" formatCode="0.0">
                  <c:v>20.6</c:v>
                </c:pt>
                <c:pt idx="3" formatCode="0.0">
                  <c:v>16.2</c:v>
                </c:pt>
                <c:pt idx="4" formatCode="0.0">
                  <c:v>15.7</c:v>
                </c:pt>
                <c:pt idx="5" formatCode="0.0">
                  <c:v>15.7</c:v>
                </c:pt>
                <c:pt idx="6" formatCode="0.0">
                  <c:v>13</c:v>
                </c:pt>
                <c:pt idx="7" formatCode="0.0">
                  <c:v>11.4</c:v>
                </c:pt>
                <c:pt idx="8" formatCode="0.0">
                  <c:v>10.7</c:v>
                </c:pt>
                <c:pt idx="9" formatCode="0.0">
                  <c:v>13.9</c:v>
                </c:pt>
                <c:pt idx="10" formatCode="0.0">
                  <c:v>9</c:v>
                </c:pt>
                <c:pt idx="11" formatCode="0.0">
                  <c:v>9.1</c:v>
                </c:pt>
                <c:pt idx="12" formatCode="0.0">
                  <c:v>8.1999999999999993</c:v>
                </c:pt>
                <c:pt idx="13" formatCode="0.0">
                  <c:v>8.5</c:v>
                </c:pt>
                <c:pt idx="14" formatCode="0.0">
                  <c:v>9.1999999999999993</c:v>
                </c:pt>
                <c:pt idx="15" formatCode="0.0">
                  <c:v>9.6999999999999993</c:v>
                </c:pt>
                <c:pt idx="16" formatCode="0.0">
                  <c:v>8.6</c:v>
                </c:pt>
                <c:pt idx="17" formatCode="0.0">
                  <c:v>9.9</c:v>
                </c:pt>
                <c:pt idx="18" formatCode="0.0">
                  <c:v>6.7</c:v>
                </c:pt>
                <c:pt idx="19" formatCode="0.0">
                  <c:v>6.4</c:v>
                </c:pt>
                <c:pt idx="20" formatCode="0.0">
                  <c:v>7.3</c:v>
                </c:pt>
                <c:pt idx="21" formatCode="0.0">
                  <c:v>5.2</c:v>
                </c:pt>
                <c:pt idx="22" formatCode="0.0">
                  <c:v>5.5</c:v>
                </c:pt>
                <c:pt idx="23" formatCode="0.0">
                  <c:v>7.3</c:v>
                </c:pt>
                <c:pt idx="24" formatCode="0.0">
                  <c:v>4.4000000000000004</c:v>
                </c:pt>
                <c:pt idx="25" formatCode="0.0">
                  <c:v>3.6</c:v>
                </c:pt>
                <c:pt idx="26" formatCode="0.0">
                  <c:v>3.5</c:v>
                </c:pt>
                <c:pt idx="27" formatCode="0.0">
                  <c:v>4.4000000000000004</c:v>
                </c:pt>
                <c:pt idx="28" formatCode="0.0">
                  <c:v>1.3</c:v>
                </c:pt>
                <c:pt idx="30" formatCode="0.0">
                  <c:v>3.5</c:v>
                </c:pt>
                <c:pt idx="31" formatCode="0.0">
                  <c:v>2.4</c:v>
                </c:pt>
                <c:pt idx="33" formatCode="0.0">
                  <c:v>19.600000000000001</c:v>
                </c:pt>
                <c:pt idx="34" formatCode="0.0">
                  <c:v>25.2</c:v>
                </c:pt>
              </c:numCache>
            </c:numRef>
          </c:val>
          <c:smooth val="0"/>
          <c:extLst>
            <c:ext xmlns:c16="http://schemas.microsoft.com/office/drawing/2014/chart" uri="{C3380CC4-5D6E-409C-BE32-E72D297353CC}">
              <c16:uniqueId val="{00000002-633E-4F86-901C-E985FAB5B900}"/>
            </c:ext>
          </c:extLst>
        </c:ser>
        <c:ser>
          <c:idx val="1"/>
          <c:order val="1"/>
          <c:tx>
            <c:strRef>
              <c:f>'F5'!$E$9</c:f>
              <c:strCache>
                <c:ptCount val="1"/>
                <c:pt idx="0">
                  <c:v>Femei</c:v>
                </c:pt>
              </c:strCache>
            </c:strRef>
          </c:tx>
          <c:spPr>
            <a:ln>
              <a:noFill/>
            </a:ln>
          </c:spPr>
          <c:marker>
            <c:symbol val="diamond"/>
            <c:size val="7"/>
            <c:spPr>
              <a:solidFill>
                <a:schemeClr val="accent1"/>
              </a:solidFill>
              <a:ln>
                <a:noFill/>
              </a:ln>
            </c:spPr>
          </c:marker>
          <c:dLbls>
            <c:dLbl>
              <c:idx val="0"/>
              <c:layout>
                <c:manualLayout>
                  <c:x val="-8.4961767204757861E-3"/>
                  <c:y val="-1.160784141677817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633E-4F86-901C-E985FAB5B900}"/>
                </c:ext>
              </c:extLst>
            </c:dLbl>
            <c:dLbl>
              <c:idx val="15"/>
              <c:layout>
                <c:manualLayout>
                  <c:x val="-1.1989154851084424E-2"/>
                  <c:y val="1.480076059464167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633E-4F86-901C-E985FAB5B900}"/>
                </c:ext>
              </c:extLst>
            </c:dLbl>
            <c:spPr>
              <a:noFill/>
              <a:ln>
                <a:noFill/>
              </a:ln>
              <a:effectLst/>
            </c:spPr>
            <c:txPr>
              <a:bodyPr wrap="square" lIns="38100" tIns="19050" rIns="38100" bIns="19050" anchor="ctr">
                <a:spAutoFit/>
              </a:bodyPr>
              <a:lstStyle/>
              <a:p>
                <a:pPr>
                  <a:defRPr sz="1000">
                    <a:latin typeface="Calibri" panose="020F0502020204030204" pitchFamily="34" charset="0"/>
                    <a:ea typeface="Calibri" panose="020F0502020204030204" pitchFamily="34" charset="0"/>
                    <a:cs typeface="Calibri" panose="020F0502020204030204" pitchFamily="34" charset="0"/>
                  </a:defRPr>
                </a:pPr>
                <a:endParaRPr lang="ro-RO"/>
              </a:p>
            </c:txPr>
            <c:showLegendKey val="0"/>
            <c:showVal val="0"/>
            <c:showCatName val="0"/>
            <c:showSerName val="0"/>
            <c:showPercent val="0"/>
            <c:showBubbleSize val="0"/>
            <c:extLst>
              <c:ext xmlns:c15="http://schemas.microsoft.com/office/drawing/2012/chart" uri="{CE6537A1-D6FC-4f65-9D91-7224C49458BB}">
                <c15:showLeaderLines val="1"/>
              </c:ext>
            </c:extLst>
          </c:dLbls>
          <c:cat>
            <c:strRef>
              <c:f>'F5'!$G$11:$G$45</c:f>
              <c:strCache>
                <c:ptCount val="35"/>
                <c:pt idx="0">
                  <c:v>UE</c:v>
                </c:pt>
                <c:pt idx="2">
                  <c:v>Bulgaria</c:v>
                </c:pt>
                <c:pt idx="3">
                  <c:v>Croaţia</c:v>
                </c:pt>
                <c:pt idx="4">
                  <c:v>Grecia</c:v>
                </c:pt>
                <c:pt idx="5">
                  <c:v>Cipru</c:v>
                </c:pt>
                <c:pt idx="6">
                  <c:v>Polonia</c:v>
                </c:pt>
                <c:pt idx="7">
                  <c:v>Austria</c:v>
                </c:pt>
                <c:pt idx="8">
                  <c:v>Germania</c:v>
                </c:pt>
                <c:pt idx="9">
                  <c:v>Letonia</c:v>
                </c:pt>
                <c:pt idx="10">
                  <c:v>Malta</c:v>
                </c:pt>
                <c:pt idx="11">
                  <c:v>Ungaria</c:v>
                </c:pt>
                <c:pt idx="12">
                  <c:v>Slovenia</c:v>
                </c:pt>
                <c:pt idx="13">
                  <c:v>Cehia</c:v>
                </c:pt>
                <c:pt idx="14">
                  <c:v>Estonia</c:v>
                </c:pt>
                <c:pt idx="15">
                  <c:v>România</c:v>
                </c:pt>
                <c:pt idx="16">
                  <c:v>Slovacia</c:v>
                </c:pt>
                <c:pt idx="17">
                  <c:v>Lituania</c:v>
                </c:pt>
                <c:pt idx="18">
                  <c:v>Belgia (¹)</c:v>
                </c:pt>
                <c:pt idx="19">
                  <c:v>Spania</c:v>
                </c:pt>
                <c:pt idx="20">
                  <c:v>Italia</c:v>
                </c:pt>
                <c:pt idx="21">
                  <c:v>Irlanda</c:v>
                </c:pt>
                <c:pt idx="22">
                  <c:v>Franţa</c:v>
                </c:pt>
                <c:pt idx="23">
                  <c:v>Portugalia</c:v>
                </c:pt>
                <c:pt idx="24">
                  <c:v>Danemarca</c:v>
                </c:pt>
                <c:pt idx="25">
                  <c:v>Luxemburg</c:v>
                </c:pt>
                <c:pt idx="26">
                  <c:v>Olanda</c:v>
                </c:pt>
                <c:pt idx="27">
                  <c:v>Finlanda</c:v>
                </c:pt>
                <c:pt idx="28">
                  <c:v>Suedia</c:v>
                </c:pt>
                <c:pt idx="30">
                  <c:v>Islanda</c:v>
                </c:pt>
                <c:pt idx="31">
                  <c:v>Norvegia</c:v>
                </c:pt>
                <c:pt idx="33">
                  <c:v>Serbia (¹)</c:v>
                </c:pt>
                <c:pt idx="34">
                  <c:v>Turcia</c:v>
                </c:pt>
              </c:strCache>
            </c:strRef>
          </c:cat>
          <c:val>
            <c:numRef>
              <c:f>'F5'!$E$11:$E$45</c:f>
              <c:numCache>
                <c:formatCode>General</c:formatCode>
                <c:ptCount val="35"/>
                <c:pt idx="0" formatCode="0.0">
                  <c:v>3.4</c:v>
                </c:pt>
                <c:pt idx="2" formatCode="0.0">
                  <c:v>5.9</c:v>
                </c:pt>
                <c:pt idx="3" formatCode="0.0">
                  <c:v>8.1</c:v>
                </c:pt>
                <c:pt idx="4" formatCode="0.0">
                  <c:v>6.3</c:v>
                </c:pt>
                <c:pt idx="5" formatCode="0.0">
                  <c:v>4</c:v>
                </c:pt>
                <c:pt idx="6" formatCode="0.0">
                  <c:v>4.5999999999999996</c:v>
                </c:pt>
                <c:pt idx="7" formatCode="0.0">
                  <c:v>5</c:v>
                </c:pt>
                <c:pt idx="8" formatCode="0.0">
                  <c:v>4.9000000000000004</c:v>
                </c:pt>
                <c:pt idx="9" formatCode="0.0">
                  <c:v>1.9</c:v>
                </c:pt>
                <c:pt idx="10" formatCode="0.0">
                  <c:v>4</c:v>
                </c:pt>
                <c:pt idx="11" formatCode="0.0">
                  <c:v>4.2</c:v>
                </c:pt>
                <c:pt idx="12" formatCode="0.0">
                  <c:v>3.5</c:v>
                </c:pt>
                <c:pt idx="13" formatCode="0.0">
                  <c:v>2.5</c:v>
                </c:pt>
                <c:pt idx="14" formatCode="0.0">
                  <c:v>2.2000000000000002</c:v>
                </c:pt>
                <c:pt idx="15" formatCode="0.0">
                  <c:v>1.4</c:v>
                </c:pt>
                <c:pt idx="16" formatCode="0.0">
                  <c:v>2.2999999999999998</c:v>
                </c:pt>
                <c:pt idx="17" formatCode="0.0">
                  <c:v>1.2</c:v>
                </c:pt>
                <c:pt idx="18" formatCode="0.0">
                  <c:v>3.1</c:v>
                </c:pt>
                <c:pt idx="19" formatCode="0.0">
                  <c:v>3.4</c:v>
                </c:pt>
                <c:pt idx="20" formatCode="0.0">
                  <c:v>2.2000000000000002</c:v>
                </c:pt>
                <c:pt idx="21" formatCode="0.0">
                  <c:v>3</c:v>
                </c:pt>
                <c:pt idx="22" formatCode="0.0">
                  <c:v>2.8</c:v>
                </c:pt>
                <c:pt idx="23" formatCode="0.0">
                  <c:v>1.1000000000000001</c:v>
                </c:pt>
                <c:pt idx="24" formatCode="0.0">
                  <c:v>1.9</c:v>
                </c:pt>
                <c:pt idx="25" formatCode="0.0">
                  <c:v>2.2999999999999998</c:v>
                </c:pt>
                <c:pt idx="26" formatCode="0.0">
                  <c:v>2.2999999999999998</c:v>
                </c:pt>
                <c:pt idx="27" formatCode="0.0">
                  <c:v>1.3</c:v>
                </c:pt>
                <c:pt idx="28" formatCode="0.0">
                  <c:v>0.7</c:v>
                </c:pt>
                <c:pt idx="30" formatCode="0.0">
                  <c:v>0.7</c:v>
                </c:pt>
                <c:pt idx="31" formatCode="0.0">
                  <c:v>1.3</c:v>
                </c:pt>
                <c:pt idx="33" formatCode="0.0">
                  <c:v>12.3</c:v>
                </c:pt>
                <c:pt idx="34" formatCode="0.0">
                  <c:v>4.7</c:v>
                </c:pt>
              </c:numCache>
            </c:numRef>
          </c:val>
          <c:smooth val="0"/>
          <c:extLst>
            <c:ext xmlns:c16="http://schemas.microsoft.com/office/drawing/2014/chart" uri="{C3380CC4-5D6E-409C-BE32-E72D297353CC}">
              <c16:uniqueId val="{00000005-633E-4F86-901C-E985FAB5B900}"/>
            </c:ext>
          </c:extLst>
        </c:ser>
        <c:dLbls>
          <c:showLegendKey val="0"/>
          <c:showVal val="0"/>
          <c:showCatName val="0"/>
          <c:showSerName val="0"/>
          <c:showPercent val="0"/>
          <c:showBubbleSize val="0"/>
        </c:dLbls>
        <c:hiLowLines>
          <c:spPr>
            <a:ln>
              <a:solidFill>
                <a:schemeClr val="bg1">
                  <a:lumMod val="85000"/>
                </a:schemeClr>
              </a:solidFill>
            </a:ln>
          </c:spPr>
        </c:hiLowLines>
        <c:marker val="1"/>
        <c:smooth val="0"/>
        <c:axId val="225909024"/>
        <c:axId val="225909416"/>
      </c:lineChart>
      <c:catAx>
        <c:axId val="225909024"/>
        <c:scaling>
          <c:orientation val="minMax"/>
        </c:scaling>
        <c:delete val="0"/>
        <c:axPos val="b"/>
        <c:numFmt formatCode="General" sourceLinked="0"/>
        <c:majorTickMark val="out"/>
        <c:minorTickMark val="none"/>
        <c:tickLblPos val="nextTo"/>
        <c:spPr>
          <a:ln>
            <a:solidFill>
              <a:srgbClr val="000000"/>
            </a:solidFill>
            <a:prstDash val="solid"/>
          </a:ln>
        </c:spPr>
        <c:txPr>
          <a:bodyPr rot="-5400000" vert="horz"/>
          <a:lstStyle/>
          <a:p>
            <a:pPr>
              <a:defRPr sz="1000">
                <a:latin typeface="Calibri" panose="020F0502020204030204" pitchFamily="34" charset="0"/>
                <a:ea typeface="Calibri" panose="020F0502020204030204" pitchFamily="34" charset="0"/>
                <a:cs typeface="Calibri" panose="020F0502020204030204" pitchFamily="34" charset="0"/>
              </a:defRPr>
            </a:pPr>
            <a:endParaRPr lang="en-US"/>
          </a:p>
        </c:txPr>
        <c:crossAx val="225909416"/>
        <c:crosses val="autoZero"/>
        <c:auto val="1"/>
        <c:lblAlgn val="ctr"/>
        <c:lblOffset val="100"/>
        <c:tickMarkSkip val="1"/>
        <c:noMultiLvlLbl val="0"/>
      </c:catAx>
      <c:valAx>
        <c:axId val="225909416"/>
        <c:scaling>
          <c:orientation val="minMax"/>
          <c:max val="20"/>
        </c:scaling>
        <c:delete val="0"/>
        <c:axPos val="l"/>
        <c:majorGridlines>
          <c:spPr>
            <a:ln w="3175">
              <a:solidFill>
                <a:srgbClr val="C0C0C0"/>
              </a:solidFill>
              <a:prstDash val="sysDash"/>
            </a:ln>
          </c:spPr>
        </c:majorGridlines>
        <c:numFmt formatCode="0" sourceLinked="0"/>
        <c:majorTickMark val="out"/>
        <c:minorTickMark val="none"/>
        <c:tickLblPos val="nextTo"/>
        <c:spPr>
          <a:noFill/>
          <a:ln w="9525" cap="flat" cmpd="sng" algn="ctr">
            <a:noFill/>
            <a:prstDash val="solid"/>
            <a:round/>
          </a:ln>
          <a:effectLst/>
          <a:extLst>
            <a:ext uri="{91240B29-F687-4F45-9708-019B960494DF}">
              <a14:hiddenLine xmlns:a14="http://schemas.microsoft.com/office/drawing/2010/main" w="9525" cap="flat" cmpd="sng" algn="ctr">
                <a:solidFill>
                  <a:sysClr val="windowText" lastClr="000000">
                    <a:tint val="75000"/>
                    <a:shade val="95000"/>
                    <a:satMod val="105000"/>
                  </a:sysClr>
                </a:solidFill>
                <a:prstDash val="solid"/>
                <a:round/>
              </a14:hiddenLine>
            </a:ext>
          </a:extLst>
        </c:spPr>
        <c:txPr>
          <a:bodyPr/>
          <a:lstStyle/>
          <a:p>
            <a:pPr>
              <a:defRPr sz="1000">
                <a:latin typeface="Calibri" panose="020F0502020204030204" pitchFamily="34" charset="0"/>
                <a:ea typeface="Calibri" panose="020F0502020204030204" pitchFamily="34" charset="0"/>
                <a:cs typeface="Calibri" panose="020F0502020204030204" pitchFamily="34" charset="0"/>
              </a:defRPr>
            </a:pPr>
            <a:endParaRPr lang="ro-RO"/>
          </a:p>
        </c:txPr>
        <c:crossAx val="225909024"/>
        <c:crosses val="autoZero"/>
        <c:crossBetween val="between"/>
        <c:majorUnit val="5"/>
      </c:valAx>
    </c:plotArea>
    <c:legend>
      <c:legendPos val="b"/>
      <c:layout>
        <c:manualLayout>
          <c:xMode val="edge"/>
          <c:yMode val="edge"/>
          <c:x val="0.58669449031333465"/>
          <c:y val="0.12270407353314707"/>
          <c:w val="0.24798722659667541"/>
          <c:h val="4.4750330869180545E-2"/>
        </c:manualLayout>
      </c:layout>
      <c:overlay val="0"/>
      <c:spPr>
        <a:noFill/>
        <a:ln>
          <a:noFill/>
          <a:round/>
        </a:ln>
        <a:effectLst/>
        <a:extLst>
          <a:ext uri="{91240B29-F687-4F45-9708-019B960494DF}">
            <a14:hiddenLine xmlns:a14="http://schemas.microsoft.com/office/drawing/2010/main">
              <a:noFill/>
              <a:round/>
            </a14:hiddenLine>
          </a:ext>
        </a:extLst>
      </c:spPr>
      <c:txPr>
        <a:bodyPr/>
        <a:lstStyle/>
        <a:p>
          <a:pPr>
            <a:defRPr sz="1000" b="1">
              <a:latin typeface="Calibri" panose="020F0502020204030204" pitchFamily="34" charset="0"/>
              <a:ea typeface="Calibri" panose="020F0502020204030204" pitchFamily="34" charset="0"/>
              <a:cs typeface="Calibri" panose="020F0502020204030204" pitchFamily="34" charset="0"/>
            </a:defRPr>
          </a:pPr>
          <a:endParaRPr lang="en-US"/>
        </a:p>
      </c:txPr>
    </c:legend>
    <c:plotVisOnly val="1"/>
    <c:dispBlanksAs val="gap"/>
    <c:showDLblsOverMax val="0"/>
  </c:chart>
  <c:spPr>
    <a:solidFill>
      <a:sysClr val="window" lastClr="FFFFFF"/>
    </a:solidFill>
    <a:ln w="9525" cap="flat" cmpd="sng" algn="ctr">
      <a:noFill/>
      <a:prstDash val="solid"/>
      <a:round/>
    </a:ln>
    <a:effectLst/>
    <a:extLst>
      <a:ext uri="{91240B29-F687-4F45-9708-019B960494DF}">
        <a14:hiddenLine xmlns:a14="http://schemas.microsoft.com/office/drawing/2010/main" w="9525" cap="flat" cmpd="sng" algn="ctr">
          <a:solidFill>
            <a:sysClr val="windowText" lastClr="000000">
              <a:tint val="75000"/>
              <a:shade val="95000"/>
              <a:satMod val="105000"/>
            </a:sysClr>
          </a:solidFill>
          <a:prstDash val="solid"/>
          <a:round/>
        </a14:hiddenLine>
      </a:ext>
    </a:extLst>
  </c:spPr>
  <c:txPr>
    <a:bodyPr/>
    <a:lstStyle/>
    <a:p>
      <a:pPr>
        <a:defRPr sz="1200">
          <a:solidFill>
            <a:srgbClr val="000000"/>
          </a:solidFill>
          <a:latin typeface="Arial"/>
          <a:ea typeface="Arial"/>
          <a:cs typeface="Arial"/>
        </a:defRPr>
      </a:pPr>
      <a:endParaRPr lang="en-US"/>
    </a:p>
  </c:txPr>
  <c:externalData r:id="rId2">
    <c:autoUpdate val="0"/>
  </c:externalData>
  <c:userShapes r:id="rId3"/>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o-RO"/>
              <a:t>%</a:t>
            </a:r>
          </a:p>
        </c:rich>
      </c:tx>
      <c:overlay val="1"/>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o-RO"/>
        </a:p>
      </c:txPr>
    </c:title>
    <c:autoTitleDeleted val="0"/>
    <c:plotArea>
      <c:layout/>
      <c:barChart>
        <c:barDir val="col"/>
        <c:grouping val="clustered"/>
        <c:varyColors val="0"/>
        <c:ser>
          <c:idx val="0"/>
          <c:order val="0"/>
          <c:spPr>
            <a:solidFill>
              <a:schemeClr val="accent1"/>
            </a:solidFill>
            <a:ln>
              <a:noFill/>
            </a:ln>
            <a:effectLst/>
          </c:spPr>
          <c:invertIfNegative val="0"/>
          <c:dPt>
            <c:idx val="2"/>
            <c:invertIfNegative val="0"/>
            <c:bubble3D val="0"/>
            <c:spPr>
              <a:solidFill>
                <a:schemeClr val="accent1">
                  <a:lumMod val="20000"/>
                  <a:lumOff val="80000"/>
                </a:schemeClr>
              </a:solidFill>
              <a:ln>
                <a:noFill/>
              </a:ln>
              <a:effectLst/>
            </c:spPr>
            <c:extLst>
              <c:ext xmlns:c16="http://schemas.microsoft.com/office/drawing/2014/chart" uri="{C3380CC4-5D6E-409C-BE32-E72D297353CC}">
                <c16:uniqueId val="{00000001-417B-46CE-975A-3B8CFFA24CC6}"/>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o-R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('53'!$A$7,'53'!$D$4,'53'!$E$4)</c:f>
              <c:strCache>
                <c:ptCount val="3"/>
                <c:pt idx="0">
                  <c:v>Total</c:v>
                </c:pt>
                <c:pt idx="1">
                  <c:v>Zilnic</c:v>
                </c:pt>
                <c:pt idx="2">
                  <c:v>Ocazional</c:v>
                </c:pt>
              </c:strCache>
            </c:strRef>
          </c:cat>
          <c:val>
            <c:numRef>
              <c:f>'53'!$C$7:$E$7</c:f>
              <c:numCache>
                <c:formatCode>0.00</c:formatCode>
                <c:ptCount val="3"/>
                <c:pt idx="0">
                  <c:v>1.73</c:v>
                </c:pt>
                <c:pt idx="1">
                  <c:v>0.33</c:v>
                </c:pt>
                <c:pt idx="2">
                  <c:v>1.39</c:v>
                </c:pt>
              </c:numCache>
            </c:numRef>
          </c:val>
          <c:extLst>
            <c:ext xmlns:c16="http://schemas.microsoft.com/office/drawing/2014/chart" uri="{C3380CC4-5D6E-409C-BE32-E72D297353CC}">
              <c16:uniqueId val="{00000002-417B-46CE-975A-3B8CFFA24CC6}"/>
            </c:ext>
          </c:extLst>
        </c:ser>
        <c:dLbls>
          <c:showLegendKey val="0"/>
          <c:showVal val="0"/>
          <c:showCatName val="0"/>
          <c:showSerName val="0"/>
          <c:showPercent val="0"/>
          <c:showBubbleSize val="0"/>
        </c:dLbls>
        <c:gapWidth val="219"/>
        <c:overlap val="-27"/>
        <c:axId val="254780223"/>
        <c:axId val="254776383"/>
      </c:barChart>
      <c:catAx>
        <c:axId val="25478022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o-RO"/>
          </a:p>
        </c:txPr>
        <c:crossAx val="254776383"/>
        <c:crosses val="autoZero"/>
        <c:auto val="1"/>
        <c:lblAlgn val="ctr"/>
        <c:lblOffset val="100"/>
        <c:noMultiLvlLbl val="0"/>
      </c:catAx>
      <c:valAx>
        <c:axId val="254776383"/>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o-RO"/>
          </a:p>
        </c:txPr>
        <c:crossAx val="254780223"/>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o-RO"/>
    </a:p>
  </c:txPr>
  <c:externalData r:id="rId4">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o-RO"/>
              <a:t>%</a:t>
            </a:r>
          </a:p>
        </c:rich>
      </c:tx>
      <c:overlay val="1"/>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o-RO"/>
        </a:p>
      </c:txPr>
    </c:title>
    <c:autoTitleDeleted val="0"/>
    <c:plotArea>
      <c:layout/>
      <c:barChart>
        <c:barDir val="col"/>
        <c:grouping val="clustered"/>
        <c:varyColors val="0"/>
        <c:ser>
          <c:idx val="0"/>
          <c:order val="0"/>
          <c:tx>
            <c:strRef>
              <c:f>'53'!$A$8</c:f>
              <c:strCache>
                <c:ptCount val="1"/>
                <c:pt idx="0">
                  <c:v>15-24 ani</c:v>
                </c:pt>
              </c:strCache>
            </c:strRef>
          </c:tx>
          <c:spPr>
            <a:solidFill>
              <a:schemeClr val="accent1"/>
            </a:solidFill>
            <a:ln>
              <a:noFill/>
            </a:ln>
            <a:effectLst/>
          </c:spPr>
          <c:invertIfNegative val="0"/>
          <c:dLbls>
            <c:dLbl>
              <c:idx val="4"/>
              <c:layout>
                <c:manualLayout>
                  <c:x val="-1.1111111111111112E-2"/>
                  <c:y val="8.4875562720133283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D9F8-4F97-87E0-0884C9183B6E}"/>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o-R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'53'!$D$4:$E$4</c:f>
              <c:strCache>
                <c:ptCount val="2"/>
                <c:pt idx="0">
                  <c:v>Zilnic</c:v>
                </c:pt>
                <c:pt idx="1">
                  <c:v>Ocazional</c:v>
                </c:pt>
              </c:strCache>
            </c:strRef>
          </c:cat>
          <c:val>
            <c:numRef>
              <c:f>'53'!$D$8:$E$8</c:f>
              <c:numCache>
                <c:formatCode>0.00</c:formatCode>
                <c:ptCount val="2"/>
                <c:pt idx="0">
                  <c:v>0.17</c:v>
                </c:pt>
                <c:pt idx="1">
                  <c:v>1.39</c:v>
                </c:pt>
              </c:numCache>
            </c:numRef>
          </c:val>
          <c:extLst>
            <c:ext xmlns:c16="http://schemas.microsoft.com/office/drawing/2014/chart" uri="{C3380CC4-5D6E-409C-BE32-E72D297353CC}">
              <c16:uniqueId val="{00000001-D9F8-4F97-87E0-0884C9183B6E}"/>
            </c:ext>
          </c:extLst>
        </c:ser>
        <c:ser>
          <c:idx val="1"/>
          <c:order val="1"/>
          <c:tx>
            <c:strRef>
              <c:f>'53'!$A$9</c:f>
              <c:strCache>
                <c:ptCount val="1"/>
                <c:pt idx="0">
                  <c:v>25-34 ani</c:v>
                </c:pt>
              </c:strCache>
            </c:strRef>
          </c:tx>
          <c:spPr>
            <a:solidFill>
              <a:schemeClr val="accent2"/>
            </a:solidFill>
            <a:ln>
              <a:noFill/>
            </a:ln>
            <a:effectLst/>
          </c:spPr>
          <c:invertIfNegative val="0"/>
          <c:dLbls>
            <c:dLbl>
              <c:idx val="4"/>
              <c:layout>
                <c:manualLayout>
                  <c:x val="1.3888888888888888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D9F8-4F97-87E0-0884C9183B6E}"/>
                </c:ext>
              </c:extLst>
            </c:dLbl>
            <c:dLbl>
              <c:idx val="6"/>
              <c:layout>
                <c:manualLayout>
                  <c:x val="1.1111111111111112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D9F8-4F97-87E0-0884C9183B6E}"/>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o-R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'53'!$D$4:$E$4</c:f>
              <c:strCache>
                <c:ptCount val="2"/>
                <c:pt idx="0">
                  <c:v>Zilnic</c:v>
                </c:pt>
                <c:pt idx="1">
                  <c:v>Ocazional</c:v>
                </c:pt>
              </c:strCache>
            </c:strRef>
          </c:cat>
          <c:val>
            <c:numRef>
              <c:f>'53'!$D$9:$E$9</c:f>
              <c:numCache>
                <c:formatCode>0.00</c:formatCode>
                <c:ptCount val="2"/>
                <c:pt idx="0">
                  <c:v>0.38</c:v>
                </c:pt>
                <c:pt idx="1">
                  <c:v>2.9</c:v>
                </c:pt>
              </c:numCache>
            </c:numRef>
          </c:val>
          <c:extLst>
            <c:ext xmlns:c16="http://schemas.microsoft.com/office/drawing/2014/chart" uri="{C3380CC4-5D6E-409C-BE32-E72D297353CC}">
              <c16:uniqueId val="{00000004-D9F8-4F97-87E0-0884C9183B6E}"/>
            </c:ext>
          </c:extLst>
        </c:ser>
        <c:ser>
          <c:idx val="2"/>
          <c:order val="2"/>
          <c:tx>
            <c:strRef>
              <c:f>'53'!$A$10</c:f>
              <c:strCache>
                <c:ptCount val="1"/>
                <c:pt idx="0">
                  <c:v>35-44 ani</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o-R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'53'!$D$4:$E$4</c:f>
              <c:strCache>
                <c:ptCount val="2"/>
                <c:pt idx="0">
                  <c:v>Zilnic</c:v>
                </c:pt>
                <c:pt idx="1">
                  <c:v>Ocazional</c:v>
                </c:pt>
              </c:strCache>
            </c:strRef>
          </c:cat>
          <c:val>
            <c:numRef>
              <c:f>'53'!$D$10:$E$10</c:f>
              <c:numCache>
                <c:formatCode>0.00</c:formatCode>
                <c:ptCount val="2"/>
                <c:pt idx="0">
                  <c:v>0.37</c:v>
                </c:pt>
                <c:pt idx="1">
                  <c:v>1.6</c:v>
                </c:pt>
              </c:numCache>
            </c:numRef>
          </c:val>
          <c:extLst>
            <c:ext xmlns:c16="http://schemas.microsoft.com/office/drawing/2014/chart" uri="{C3380CC4-5D6E-409C-BE32-E72D297353CC}">
              <c16:uniqueId val="{00000005-D9F8-4F97-87E0-0884C9183B6E}"/>
            </c:ext>
          </c:extLst>
        </c:ser>
        <c:ser>
          <c:idx val="3"/>
          <c:order val="3"/>
          <c:tx>
            <c:strRef>
              <c:f>'53'!$A$11</c:f>
              <c:strCache>
                <c:ptCount val="1"/>
                <c:pt idx="0">
                  <c:v>45-54 ani</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o-R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'53'!$D$4:$E$4</c:f>
              <c:strCache>
                <c:ptCount val="2"/>
                <c:pt idx="0">
                  <c:v>Zilnic</c:v>
                </c:pt>
                <c:pt idx="1">
                  <c:v>Ocazional</c:v>
                </c:pt>
              </c:strCache>
            </c:strRef>
          </c:cat>
          <c:val>
            <c:numRef>
              <c:f>'53'!$D$11:$E$11</c:f>
              <c:numCache>
                <c:formatCode>0.00</c:formatCode>
                <c:ptCount val="2"/>
                <c:pt idx="0">
                  <c:v>0.22</c:v>
                </c:pt>
                <c:pt idx="1">
                  <c:v>1.68</c:v>
                </c:pt>
              </c:numCache>
            </c:numRef>
          </c:val>
          <c:extLst>
            <c:ext xmlns:c16="http://schemas.microsoft.com/office/drawing/2014/chart" uri="{C3380CC4-5D6E-409C-BE32-E72D297353CC}">
              <c16:uniqueId val="{00000006-D9F8-4F97-87E0-0884C9183B6E}"/>
            </c:ext>
          </c:extLst>
        </c:ser>
        <c:ser>
          <c:idx val="4"/>
          <c:order val="4"/>
          <c:tx>
            <c:strRef>
              <c:f>'53'!$A$12</c:f>
              <c:strCache>
                <c:ptCount val="1"/>
                <c:pt idx="0">
                  <c:v>55-64 ani</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o-R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'53'!$D$4:$E$4</c:f>
              <c:strCache>
                <c:ptCount val="2"/>
                <c:pt idx="0">
                  <c:v>Zilnic</c:v>
                </c:pt>
                <c:pt idx="1">
                  <c:v>Ocazional</c:v>
                </c:pt>
              </c:strCache>
            </c:strRef>
          </c:cat>
          <c:val>
            <c:numRef>
              <c:f>'53'!$D$12:$E$12</c:f>
              <c:numCache>
                <c:formatCode>0.00</c:formatCode>
                <c:ptCount val="2"/>
                <c:pt idx="0">
                  <c:v>0.7</c:v>
                </c:pt>
                <c:pt idx="1">
                  <c:v>0.73</c:v>
                </c:pt>
              </c:numCache>
            </c:numRef>
          </c:val>
          <c:extLst>
            <c:ext xmlns:c16="http://schemas.microsoft.com/office/drawing/2014/chart" uri="{C3380CC4-5D6E-409C-BE32-E72D297353CC}">
              <c16:uniqueId val="{00000007-D9F8-4F97-87E0-0884C9183B6E}"/>
            </c:ext>
          </c:extLst>
        </c:ser>
        <c:ser>
          <c:idx val="5"/>
          <c:order val="5"/>
          <c:tx>
            <c:strRef>
              <c:f>'53'!$A$13</c:f>
              <c:strCache>
                <c:ptCount val="1"/>
                <c:pt idx="0">
                  <c:v>65-74 ani</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o-R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'53'!$D$4:$E$4</c:f>
              <c:strCache>
                <c:ptCount val="2"/>
                <c:pt idx="0">
                  <c:v>Zilnic</c:v>
                </c:pt>
                <c:pt idx="1">
                  <c:v>Ocazional</c:v>
                </c:pt>
              </c:strCache>
            </c:strRef>
          </c:cat>
          <c:val>
            <c:numRef>
              <c:f>'53'!$D$13:$E$13</c:f>
              <c:numCache>
                <c:formatCode>0.00</c:formatCode>
                <c:ptCount val="2"/>
                <c:pt idx="0">
                  <c:v>0.23</c:v>
                </c:pt>
                <c:pt idx="1">
                  <c:v>0.48</c:v>
                </c:pt>
              </c:numCache>
            </c:numRef>
          </c:val>
          <c:extLst>
            <c:ext xmlns:c16="http://schemas.microsoft.com/office/drawing/2014/chart" uri="{C3380CC4-5D6E-409C-BE32-E72D297353CC}">
              <c16:uniqueId val="{00000008-D9F8-4F97-87E0-0884C9183B6E}"/>
            </c:ext>
          </c:extLst>
        </c:ser>
        <c:ser>
          <c:idx val="6"/>
          <c:order val="6"/>
          <c:tx>
            <c:strRef>
              <c:f>'53'!$A$14</c:f>
              <c:strCache>
                <c:ptCount val="1"/>
                <c:pt idx="0">
                  <c:v>75 ani și peste</c:v>
                </c:pt>
              </c:strCache>
            </c:strRef>
          </c:tx>
          <c:spPr>
            <a:solidFill>
              <a:schemeClr val="accent1">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o-R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'53'!$D$4:$E$4</c:f>
              <c:strCache>
                <c:ptCount val="2"/>
                <c:pt idx="0">
                  <c:v>Zilnic</c:v>
                </c:pt>
                <c:pt idx="1">
                  <c:v>Ocazional</c:v>
                </c:pt>
              </c:strCache>
            </c:strRef>
          </c:cat>
          <c:val>
            <c:numRef>
              <c:f>'53'!$D$14:$E$14</c:f>
              <c:numCache>
                <c:formatCode>0.00</c:formatCode>
                <c:ptCount val="2"/>
                <c:pt idx="0">
                  <c:v>0.19</c:v>
                </c:pt>
                <c:pt idx="1">
                  <c:v>0.34</c:v>
                </c:pt>
              </c:numCache>
            </c:numRef>
          </c:val>
          <c:extLst>
            <c:ext xmlns:c16="http://schemas.microsoft.com/office/drawing/2014/chart" uri="{C3380CC4-5D6E-409C-BE32-E72D297353CC}">
              <c16:uniqueId val="{00000009-D9F8-4F97-87E0-0884C9183B6E}"/>
            </c:ext>
          </c:extLst>
        </c:ser>
        <c:dLbls>
          <c:showLegendKey val="0"/>
          <c:showVal val="0"/>
          <c:showCatName val="0"/>
          <c:showSerName val="0"/>
          <c:showPercent val="0"/>
          <c:showBubbleSize val="0"/>
        </c:dLbls>
        <c:gapWidth val="219"/>
        <c:overlap val="-27"/>
        <c:axId val="254776863"/>
        <c:axId val="254772063"/>
      </c:barChart>
      <c:catAx>
        <c:axId val="25477686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o-RO"/>
          </a:p>
        </c:txPr>
        <c:crossAx val="254772063"/>
        <c:crosses val="autoZero"/>
        <c:auto val="1"/>
        <c:lblAlgn val="ctr"/>
        <c:lblOffset val="100"/>
        <c:noMultiLvlLbl val="0"/>
      </c:catAx>
      <c:valAx>
        <c:axId val="254772063"/>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o-RO"/>
          </a:p>
        </c:txPr>
        <c:crossAx val="25477686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o-RO"/>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o-RO"/>
    </a:p>
  </c:txPr>
  <c:externalData r:id="rId4">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o-RO"/>
              <a:t>%</a:t>
            </a:r>
          </a:p>
        </c:rich>
      </c:tx>
      <c:overlay val="1"/>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o-RO"/>
        </a:p>
      </c:txPr>
    </c:title>
    <c:autoTitleDeleted val="0"/>
    <c:plotArea>
      <c:layout/>
      <c:barChart>
        <c:barDir val="col"/>
        <c:grouping val="clustered"/>
        <c:varyColors val="0"/>
        <c:ser>
          <c:idx val="0"/>
          <c:order val="0"/>
          <c:tx>
            <c:strRef>
              <c:f>'53'!$D$4</c:f>
              <c:strCache>
                <c:ptCount val="1"/>
                <c:pt idx="0">
                  <c:v>Zilnic</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o-R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('53'!$A$16,'53'!$A$25)</c:f>
              <c:strCache>
                <c:ptCount val="2"/>
                <c:pt idx="0">
                  <c:v>Masculin</c:v>
                </c:pt>
                <c:pt idx="1">
                  <c:v>Feminin</c:v>
                </c:pt>
              </c:strCache>
            </c:strRef>
          </c:cat>
          <c:val>
            <c:numRef>
              <c:f>('53'!$D$16,'53'!$D$25)</c:f>
              <c:numCache>
                <c:formatCode>0.00</c:formatCode>
                <c:ptCount val="2"/>
                <c:pt idx="0">
                  <c:v>0.47</c:v>
                </c:pt>
                <c:pt idx="1">
                  <c:v>0.2</c:v>
                </c:pt>
              </c:numCache>
            </c:numRef>
          </c:val>
          <c:extLst>
            <c:ext xmlns:c16="http://schemas.microsoft.com/office/drawing/2014/chart" uri="{C3380CC4-5D6E-409C-BE32-E72D297353CC}">
              <c16:uniqueId val="{00000000-017A-43B1-822A-A7A955C1DA13}"/>
            </c:ext>
          </c:extLst>
        </c:ser>
        <c:ser>
          <c:idx val="1"/>
          <c:order val="1"/>
          <c:tx>
            <c:strRef>
              <c:f>'53'!$E$4</c:f>
              <c:strCache>
                <c:ptCount val="1"/>
                <c:pt idx="0">
                  <c:v>Ocazional</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o-R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('53'!$A$16,'53'!$A$25)</c:f>
              <c:strCache>
                <c:ptCount val="2"/>
                <c:pt idx="0">
                  <c:v>Masculin</c:v>
                </c:pt>
                <c:pt idx="1">
                  <c:v>Feminin</c:v>
                </c:pt>
              </c:strCache>
            </c:strRef>
          </c:cat>
          <c:val>
            <c:numRef>
              <c:f>('53'!$E$16,'53'!$E$25)</c:f>
              <c:numCache>
                <c:formatCode>0.00</c:formatCode>
                <c:ptCount val="2"/>
                <c:pt idx="0">
                  <c:v>1.73</c:v>
                </c:pt>
                <c:pt idx="1">
                  <c:v>1.07</c:v>
                </c:pt>
              </c:numCache>
            </c:numRef>
          </c:val>
          <c:extLst>
            <c:ext xmlns:c16="http://schemas.microsoft.com/office/drawing/2014/chart" uri="{C3380CC4-5D6E-409C-BE32-E72D297353CC}">
              <c16:uniqueId val="{00000001-017A-43B1-822A-A7A955C1DA13}"/>
            </c:ext>
          </c:extLst>
        </c:ser>
        <c:dLbls>
          <c:showLegendKey val="0"/>
          <c:showVal val="0"/>
          <c:showCatName val="0"/>
          <c:showSerName val="0"/>
          <c:showPercent val="0"/>
          <c:showBubbleSize val="0"/>
        </c:dLbls>
        <c:gapWidth val="219"/>
        <c:overlap val="-27"/>
        <c:axId val="1622112479"/>
        <c:axId val="1622111519"/>
      </c:barChart>
      <c:catAx>
        <c:axId val="162211247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o-RO"/>
          </a:p>
        </c:txPr>
        <c:crossAx val="1622111519"/>
        <c:crosses val="autoZero"/>
        <c:auto val="1"/>
        <c:lblAlgn val="ctr"/>
        <c:lblOffset val="100"/>
        <c:noMultiLvlLbl val="0"/>
      </c:catAx>
      <c:valAx>
        <c:axId val="1622111519"/>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o-RO"/>
          </a:p>
        </c:txPr>
        <c:crossAx val="1622112479"/>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o-RO"/>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o-RO"/>
    </a:p>
  </c:txPr>
  <c:externalData r:id="rId4">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o-RO"/>
              <a:t>%</a:t>
            </a:r>
          </a:p>
        </c:rich>
      </c:tx>
      <c:overlay val="1"/>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o-RO"/>
        </a:p>
      </c:txPr>
    </c:title>
    <c:autoTitleDeleted val="0"/>
    <c:plotArea>
      <c:layout/>
      <c:barChart>
        <c:barDir val="col"/>
        <c:grouping val="clustered"/>
        <c:varyColors val="0"/>
        <c:ser>
          <c:idx val="0"/>
          <c:order val="0"/>
          <c:tx>
            <c:strRef>
              <c:f>'53'!$D$4</c:f>
              <c:strCache>
                <c:ptCount val="1"/>
                <c:pt idx="0">
                  <c:v>Zilnic</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o-R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('53'!$A$34,'53'!$A$43)</c:f>
              <c:strCache>
                <c:ptCount val="2"/>
                <c:pt idx="0">
                  <c:v>Urban</c:v>
                </c:pt>
                <c:pt idx="1">
                  <c:v>Rural</c:v>
                </c:pt>
              </c:strCache>
            </c:strRef>
          </c:cat>
          <c:val>
            <c:numRef>
              <c:f>('53'!$D$34,'53'!$D$43)</c:f>
              <c:numCache>
                <c:formatCode>0.00</c:formatCode>
                <c:ptCount val="2"/>
                <c:pt idx="0">
                  <c:v>0.38</c:v>
                </c:pt>
                <c:pt idx="1">
                  <c:v>0.28000000000000003</c:v>
                </c:pt>
              </c:numCache>
            </c:numRef>
          </c:val>
          <c:extLst>
            <c:ext xmlns:c16="http://schemas.microsoft.com/office/drawing/2014/chart" uri="{C3380CC4-5D6E-409C-BE32-E72D297353CC}">
              <c16:uniqueId val="{00000000-CCC4-47F9-B7F5-CEADD4351831}"/>
            </c:ext>
          </c:extLst>
        </c:ser>
        <c:ser>
          <c:idx val="1"/>
          <c:order val="1"/>
          <c:tx>
            <c:strRef>
              <c:f>'53'!$E$4</c:f>
              <c:strCache>
                <c:ptCount val="1"/>
                <c:pt idx="0">
                  <c:v>Ocazional</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o-R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('53'!$A$34,'53'!$A$43)</c:f>
              <c:strCache>
                <c:ptCount val="2"/>
                <c:pt idx="0">
                  <c:v>Urban</c:v>
                </c:pt>
                <c:pt idx="1">
                  <c:v>Rural</c:v>
                </c:pt>
              </c:strCache>
            </c:strRef>
          </c:cat>
          <c:val>
            <c:numRef>
              <c:f>('53'!$E$34,'53'!$E$43)</c:f>
              <c:numCache>
                <c:formatCode>0.00</c:formatCode>
                <c:ptCount val="2"/>
                <c:pt idx="0">
                  <c:v>1.89</c:v>
                </c:pt>
                <c:pt idx="1">
                  <c:v>0.8</c:v>
                </c:pt>
              </c:numCache>
            </c:numRef>
          </c:val>
          <c:extLst>
            <c:ext xmlns:c16="http://schemas.microsoft.com/office/drawing/2014/chart" uri="{C3380CC4-5D6E-409C-BE32-E72D297353CC}">
              <c16:uniqueId val="{00000001-CCC4-47F9-B7F5-CEADD4351831}"/>
            </c:ext>
          </c:extLst>
        </c:ser>
        <c:dLbls>
          <c:showLegendKey val="0"/>
          <c:showVal val="0"/>
          <c:showCatName val="0"/>
          <c:showSerName val="0"/>
          <c:showPercent val="0"/>
          <c:showBubbleSize val="0"/>
        </c:dLbls>
        <c:gapWidth val="219"/>
        <c:overlap val="-27"/>
        <c:axId val="1781471807"/>
        <c:axId val="1781469407"/>
      </c:barChart>
      <c:catAx>
        <c:axId val="178147180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o-RO"/>
          </a:p>
        </c:txPr>
        <c:crossAx val="1781469407"/>
        <c:crosses val="autoZero"/>
        <c:auto val="1"/>
        <c:lblAlgn val="ctr"/>
        <c:lblOffset val="100"/>
        <c:noMultiLvlLbl val="0"/>
      </c:catAx>
      <c:valAx>
        <c:axId val="1781469407"/>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o-RO"/>
          </a:p>
        </c:txPr>
        <c:crossAx val="178147180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o-RO"/>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o-RO"/>
    </a:p>
  </c:txPr>
  <c:externalData r:id="rId4">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xMode val="edge"/>
          <c:yMode val="edge"/>
          <c:x val="7.8621924807105448E-3"/>
          <c:y val="0.15266928708604249"/>
          <c:w val="0.98820671127893422"/>
          <c:h val="0.82919885576443786"/>
        </c:manualLayout>
      </c:layout>
      <c:lineChart>
        <c:grouping val="standard"/>
        <c:varyColors val="0"/>
        <c:ser>
          <c:idx val="1"/>
          <c:order val="0"/>
          <c:tx>
            <c:strRef>
              <c:f>'g4-3'!$B$27</c:f>
              <c:strCache>
                <c:ptCount val="1"/>
                <c:pt idx="0">
                  <c:v>2016</c:v>
                </c:pt>
              </c:strCache>
            </c:strRef>
          </c:tx>
          <c:spPr>
            <a:ln w="25400">
              <a:noFill/>
            </a:ln>
            <a:effectLst/>
          </c:spPr>
          <c:marker>
            <c:symbol val="circle"/>
            <c:size val="6"/>
            <c:spPr>
              <a:solidFill>
                <a:sysClr val="window" lastClr="FFFFFF"/>
              </a:solidFill>
              <a:ln w="6350" cap="flat" cmpd="sng" algn="ctr">
                <a:solidFill>
                  <a:srgbClr val="000000"/>
                </a:solidFill>
                <a:prstDash val="solid"/>
                <a:round/>
              </a:ln>
              <a:effectLst/>
            </c:spPr>
          </c:marker>
          <c:dPt>
            <c:idx val="10"/>
            <c:bubble3D val="0"/>
            <c:extLst>
              <c:ext xmlns:c16="http://schemas.microsoft.com/office/drawing/2014/chart" uri="{C3380CC4-5D6E-409C-BE32-E72D297353CC}">
                <c16:uniqueId val="{00000000-C5B3-4E7B-A3F5-C23A2AD8090C}"/>
              </c:ext>
            </c:extLst>
          </c:dPt>
          <c:dPt>
            <c:idx val="12"/>
            <c:bubble3D val="0"/>
            <c:extLst>
              <c:ext xmlns:c16="http://schemas.microsoft.com/office/drawing/2014/chart" uri="{C3380CC4-5D6E-409C-BE32-E72D297353CC}">
                <c16:uniqueId val="{00000001-C5B3-4E7B-A3F5-C23A2AD8090C}"/>
              </c:ext>
            </c:extLst>
          </c:dPt>
          <c:dPt>
            <c:idx val="14"/>
            <c:marker>
              <c:spPr>
                <a:solidFill>
                  <a:sysClr val="windowText" lastClr="000000"/>
                </a:solidFill>
                <a:ln w="6350" cap="flat" cmpd="sng" algn="ctr">
                  <a:solidFill>
                    <a:srgbClr val="000000"/>
                  </a:solidFill>
                  <a:prstDash val="solid"/>
                  <a:round/>
                </a:ln>
                <a:effectLst/>
              </c:spPr>
            </c:marker>
            <c:bubble3D val="0"/>
            <c:extLst>
              <c:ext xmlns:c16="http://schemas.microsoft.com/office/drawing/2014/chart" uri="{C3380CC4-5D6E-409C-BE32-E72D297353CC}">
                <c16:uniqueId val="{00000002-C5B3-4E7B-A3F5-C23A2AD8090C}"/>
              </c:ext>
            </c:extLst>
          </c:dPt>
          <c:dPt>
            <c:idx val="15"/>
            <c:bubble3D val="0"/>
            <c:extLst>
              <c:ext xmlns:c16="http://schemas.microsoft.com/office/drawing/2014/chart" uri="{C3380CC4-5D6E-409C-BE32-E72D297353CC}">
                <c16:uniqueId val="{00000003-C5B3-4E7B-A3F5-C23A2AD8090C}"/>
              </c:ext>
            </c:extLst>
          </c:dPt>
          <c:dPt>
            <c:idx val="18"/>
            <c:bubble3D val="0"/>
            <c:extLst>
              <c:ext xmlns:c16="http://schemas.microsoft.com/office/drawing/2014/chart" uri="{C3380CC4-5D6E-409C-BE32-E72D297353CC}">
                <c16:uniqueId val="{00000004-C5B3-4E7B-A3F5-C23A2AD8090C}"/>
              </c:ext>
            </c:extLst>
          </c:dPt>
          <c:cat>
            <c:strRef>
              <c:f>'g4-3'!$A$28:$A$52</c:f>
              <c:strCache>
                <c:ptCount val="25"/>
                <c:pt idx="0">
                  <c:v>Chile¹</c:v>
                </c:pt>
                <c:pt idx="1">
                  <c:v>Suedia¹</c:v>
                </c:pt>
                <c:pt idx="2">
                  <c:v>Israel²</c:v>
                </c:pt>
                <c:pt idx="3">
                  <c:v>Finlanda¹</c:v>
                </c:pt>
                <c:pt idx="4">
                  <c:v>Elveția¹</c:v>
                </c:pt>
                <c:pt idx="5">
                  <c:v>Korea</c:v>
                </c:pt>
                <c:pt idx="6">
                  <c:v>Țările de Jos</c:v>
                </c:pt>
                <c:pt idx="7">
                  <c:v>Spania²</c:v>
                </c:pt>
                <c:pt idx="8">
                  <c:v>Italia</c:v>
                </c:pt>
                <c:pt idx="9">
                  <c:v>Costa Rica</c:v>
                </c:pt>
                <c:pt idx="10">
                  <c:v>Islanda²</c:v>
                </c:pt>
                <c:pt idx="11">
                  <c:v>Norvegia²</c:v>
                </c:pt>
                <c:pt idx="12">
                  <c:v>Australia¹</c:v>
                </c:pt>
                <c:pt idx="13">
                  <c:v>Danemarca²</c:v>
                </c:pt>
                <c:pt idx="14">
                  <c:v>OECD24</c:v>
                </c:pt>
                <c:pt idx="15">
                  <c:v>Belgia</c:v>
                </c:pt>
                <c:pt idx="16">
                  <c:v>Franța</c:v>
                </c:pt>
                <c:pt idx="17">
                  <c:v>Canada</c:v>
                </c:pt>
                <c:pt idx="18">
                  <c:v>SUA</c:v>
                </c:pt>
                <c:pt idx="19">
                  <c:v>Irlanda²</c:v>
                </c:pt>
                <c:pt idx="20">
                  <c:v>UK</c:v>
                </c:pt>
                <c:pt idx="21">
                  <c:v>Cehia</c:v>
                </c:pt>
                <c:pt idx="22">
                  <c:v>Estonia²</c:v>
                </c:pt>
                <c:pt idx="23">
                  <c:v>Luxemburg²</c:v>
                </c:pt>
                <c:pt idx="24">
                  <c:v>Noua Zeelandă²</c:v>
                </c:pt>
              </c:strCache>
            </c:strRef>
          </c:cat>
          <c:val>
            <c:numRef>
              <c:f>'g4-3'!$B$28:$B$52</c:f>
              <c:numCache>
                <c:formatCode>General</c:formatCode>
                <c:ptCount val="25"/>
                <c:pt idx="0">
                  <c:v>1.2</c:v>
                </c:pt>
                <c:pt idx="1">
                  <c:v>1.7</c:v>
                </c:pt>
                <c:pt idx="2">
                  <c:v>0.3</c:v>
                </c:pt>
                <c:pt idx="3">
                  <c:v>6.5</c:v>
                </c:pt>
                <c:pt idx="4">
                  <c:v>1.2</c:v>
                </c:pt>
                <c:pt idx="5">
                  <c:v>2.6</c:v>
                </c:pt>
                <c:pt idx="6">
                  <c:v>3.5</c:v>
                </c:pt>
                <c:pt idx="7">
                  <c:v>1.5</c:v>
                </c:pt>
                <c:pt idx="8">
                  <c:v>1.3</c:v>
                </c:pt>
                <c:pt idx="10">
                  <c:v>2.8</c:v>
                </c:pt>
                <c:pt idx="11">
                  <c:v>3</c:v>
                </c:pt>
                <c:pt idx="12">
                  <c:v>0.9</c:v>
                </c:pt>
                <c:pt idx="13">
                  <c:v>2.5</c:v>
                </c:pt>
                <c:pt idx="14" formatCode="0.0">
                  <c:v>2.7590909090909093</c:v>
                </c:pt>
                <c:pt idx="15" formatCode="0.0">
                  <c:v>4.0999999999999996</c:v>
                </c:pt>
                <c:pt idx="16">
                  <c:v>2.5</c:v>
                </c:pt>
                <c:pt idx="17">
                  <c:v>2.9</c:v>
                </c:pt>
                <c:pt idx="18">
                  <c:v>3.2</c:v>
                </c:pt>
                <c:pt idx="19">
                  <c:v>3</c:v>
                </c:pt>
                <c:pt idx="20">
                  <c:v>5.6</c:v>
                </c:pt>
                <c:pt idx="21">
                  <c:v>5.2</c:v>
                </c:pt>
                <c:pt idx="22">
                  <c:v>3.8</c:v>
                </c:pt>
                <c:pt idx="24">
                  <c:v>1.4</c:v>
                </c:pt>
              </c:numCache>
            </c:numRef>
          </c:val>
          <c:smooth val="0"/>
          <c:extLst>
            <c:ext xmlns:c16="http://schemas.microsoft.com/office/drawing/2014/chart" uri="{C3380CC4-5D6E-409C-BE32-E72D297353CC}">
              <c16:uniqueId val="{00000005-C5B3-4E7B-A3F5-C23A2AD8090C}"/>
            </c:ext>
          </c:extLst>
        </c:ser>
        <c:ser>
          <c:idx val="2"/>
          <c:order val="1"/>
          <c:tx>
            <c:strRef>
              <c:f>'g4-3'!$C$27</c:f>
              <c:strCache>
                <c:ptCount val="1"/>
                <c:pt idx="0">
                  <c:v>2023</c:v>
                </c:pt>
              </c:strCache>
            </c:strRef>
          </c:tx>
          <c:spPr>
            <a:ln w="25400">
              <a:noFill/>
            </a:ln>
            <a:effectLst/>
          </c:spPr>
          <c:marker>
            <c:symbol val="circle"/>
            <c:size val="6"/>
            <c:spPr>
              <a:solidFill>
                <a:srgbClr val="0E2841">
                  <a:lumMod val="50000"/>
                  <a:lumOff val="50000"/>
                </a:srgbClr>
              </a:solidFill>
              <a:ln w="6350" cap="flat" cmpd="sng" algn="ctr">
                <a:solidFill>
                  <a:srgbClr val="000000"/>
                </a:solidFill>
                <a:prstDash val="solid"/>
                <a:round/>
              </a:ln>
              <a:effectLst/>
            </c:spPr>
          </c:marker>
          <c:dPt>
            <c:idx val="14"/>
            <c:bubble3D val="0"/>
            <c:extLst>
              <c:ext xmlns:c16="http://schemas.microsoft.com/office/drawing/2014/chart" uri="{C3380CC4-5D6E-409C-BE32-E72D297353CC}">
                <c16:uniqueId val="{00000006-C5B3-4E7B-A3F5-C23A2AD8090C}"/>
              </c:ext>
            </c:extLst>
          </c:dPt>
          <c:dPt>
            <c:idx val="15"/>
            <c:bubble3D val="0"/>
            <c:extLst>
              <c:ext xmlns:c16="http://schemas.microsoft.com/office/drawing/2014/chart" uri="{C3380CC4-5D6E-409C-BE32-E72D297353CC}">
                <c16:uniqueId val="{00000007-C5B3-4E7B-A3F5-C23A2AD8090C}"/>
              </c:ext>
            </c:extLst>
          </c:dPt>
          <c:cat>
            <c:strRef>
              <c:f>'g4-3'!$A$28:$A$52</c:f>
              <c:strCache>
                <c:ptCount val="25"/>
                <c:pt idx="0">
                  <c:v>Chile¹</c:v>
                </c:pt>
                <c:pt idx="1">
                  <c:v>Suedia¹</c:v>
                </c:pt>
                <c:pt idx="2">
                  <c:v>Israel²</c:v>
                </c:pt>
                <c:pt idx="3">
                  <c:v>Finlanda¹</c:v>
                </c:pt>
                <c:pt idx="4">
                  <c:v>Elveția¹</c:v>
                </c:pt>
                <c:pt idx="5">
                  <c:v>Korea</c:v>
                </c:pt>
                <c:pt idx="6">
                  <c:v>Țările de Jos</c:v>
                </c:pt>
                <c:pt idx="7">
                  <c:v>Spania²</c:v>
                </c:pt>
                <c:pt idx="8">
                  <c:v>Italia</c:v>
                </c:pt>
                <c:pt idx="9">
                  <c:v>Costa Rica</c:v>
                </c:pt>
                <c:pt idx="10">
                  <c:v>Islanda²</c:v>
                </c:pt>
                <c:pt idx="11">
                  <c:v>Norvegia²</c:v>
                </c:pt>
                <c:pt idx="12">
                  <c:v>Australia¹</c:v>
                </c:pt>
                <c:pt idx="13">
                  <c:v>Danemarca²</c:v>
                </c:pt>
                <c:pt idx="14">
                  <c:v>OECD24</c:v>
                </c:pt>
                <c:pt idx="15">
                  <c:v>Belgia</c:v>
                </c:pt>
                <c:pt idx="16">
                  <c:v>Franța</c:v>
                </c:pt>
                <c:pt idx="17">
                  <c:v>Canada</c:v>
                </c:pt>
                <c:pt idx="18">
                  <c:v>SUA</c:v>
                </c:pt>
                <c:pt idx="19">
                  <c:v>Irlanda²</c:v>
                </c:pt>
                <c:pt idx="20">
                  <c:v>UK</c:v>
                </c:pt>
                <c:pt idx="21">
                  <c:v>Cehia</c:v>
                </c:pt>
                <c:pt idx="22">
                  <c:v>Estonia²</c:v>
                </c:pt>
                <c:pt idx="23">
                  <c:v>Luxemburg²</c:v>
                </c:pt>
                <c:pt idx="24">
                  <c:v>Noua Zeelandă²</c:v>
                </c:pt>
              </c:strCache>
            </c:strRef>
          </c:cat>
          <c:val>
            <c:numRef>
              <c:f>'g4-3'!$C$28:$C$52</c:f>
              <c:numCache>
                <c:formatCode>General</c:formatCode>
                <c:ptCount val="25"/>
                <c:pt idx="0">
                  <c:v>1.1000000000000001</c:v>
                </c:pt>
                <c:pt idx="1">
                  <c:v>1.7</c:v>
                </c:pt>
                <c:pt idx="2">
                  <c:v>2</c:v>
                </c:pt>
                <c:pt idx="3">
                  <c:v>2.4</c:v>
                </c:pt>
                <c:pt idx="4">
                  <c:v>2.5</c:v>
                </c:pt>
                <c:pt idx="5">
                  <c:v>3.3</c:v>
                </c:pt>
                <c:pt idx="6">
                  <c:v>4.0999999999999996</c:v>
                </c:pt>
                <c:pt idx="7">
                  <c:v>4.5999999999999996</c:v>
                </c:pt>
                <c:pt idx="8">
                  <c:v>4.8</c:v>
                </c:pt>
                <c:pt idx="9">
                  <c:v>5</c:v>
                </c:pt>
                <c:pt idx="10">
                  <c:v>5</c:v>
                </c:pt>
                <c:pt idx="11">
                  <c:v>5</c:v>
                </c:pt>
                <c:pt idx="12">
                  <c:v>5.7</c:v>
                </c:pt>
                <c:pt idx="13">
                  <c:v>6</c:v>
                </c:pt>
                <c:pt idx="14" formatCode="0.0">
                  <c:v>6.0541666666666663</c:v>
                </c:pt>
                <c:pt idx="15" formatCode="0.0">
                  <c:v>6.3</c:v>
                </c:pt>
                <c:pt idx="16">
                  <c:v>6.1</c:v>
                </c:pt>
                <c:pt idx="17">
                  <c:v>6.2</c:v>
                </c:pt>
                <c:pt idx="18">
                  <c:v>6.5</c:v>
                </c:pt>
                <c:pt idx="19">
                  <c:v>8</c:v>
                </c:pt>
                <c:pt idx="20">
                  <c:v>9.8000000000000007</c:v>
                </c:pt>
                <c:pt idx="21">
                  <c:v>11.1</c:v>
                </c:pt>
                <c:pt idx="22">
                  <c:v>11.8</c:v>
                </c:pt>
                <c:pt idx="23">
                  <c:v>12.3</c:v>
                </c:pt>
                <c:pt idx="24">
                  <c:v>14</c:v>
                </c:pt>
              </c:numCache>
            </c:numRef>
          </c:val>
          <c:smooth val="0"/>
          <c:extLst>
            <c:ext xmlns:c16="http://schemas.microsoft.com/office/drawing/2014/chart" uri="{C3380CC4-5D6E-409C-BE32-E72D297353CC}">
              <c16:uniqueId val="{00000008-C5B3-4E7B-A3F5-C23A2AD8090C}"/>
            </c:ext>
          </c:extLst>
        </c:ser>
        <c:dLbls>
          <c:showLegendKey val="0"/>
          <c:showVal val="0"/>
          <c:showCatName val="0"/>
          <c:showSerName val="0"/>
          <c:showPercent val="0"/>
          <c:showBubbleSize val="0"/>
        </c:dLbls>
        <c:hiLowLines>
          <c:spPr>
            <a:ln w="6350">
              <a:solidFill>
                <a:srgbClr val="000000"/>
              </a:solidFill>
            </a:ln>
          </c:spPr>
        </c:hiLowLines>
        <c:marker val="1"/>
        <c:smooth val="0"/>
        <c:axId val="802942560"/>
        <c:axId val="1"/>
      </c:lineChart>
      <c:catAx>
        <c:axId val="802942560"/>
        <c:scaling>
          <c:orientation val="minMax"/>
        </c:scaling>
        <c:delete val="0"/>
        <c:axPos val="b"/>
        <c:majorGridlines>
          <c:spPr>
            <a:ln w="9525" cmpd="sng">
              <a:solidFill>
                <a:srgbClr val="FFFFFF"/>
              </a:solidFill>
              <a:prstDash val="solid"/>
            </a:ln>
          </c:spPr>
        </c:majorGridlines>
        <c:numFmt formatCode="General" sourceLinked="0"/>
        <c:majorTickMark val="in"/>
        <c:minorTickMark val="none"/>
        <c:tickLblPos val="low"/>
        <c:spPr>
          <a:noFill/>
          <a:ln w="9525">
            <a:solidFill>
              <a:srgbClr val="000000"/>
            </a:solidFill>
            <a:prstDash val="solid"/>
          </a:ln>
          <a:extLst>
            <a:ext uri="{909E8E84-426E-40DD-AFC4-6F175D3DCCD1}">
              <a14:hiddenFill xmlns:a14="http://schemas.microsoft.com/office/drawing/2010/main">
                <a:noFill/>
              </a14:hiddenFill>
            </a:ext>
          </a:extLst>
        </c:spPr>
        <c:txPr>
          <a:bodyPr rot="-2700000" vert="horz"/>
          <a:lstStyle/>
          <a:p>
            <a:pPr>
              <a:defRPr sz="800" b="0" i="0" u="none" strike="noStrike" baseline="0">
                <a:solidFill>
                  <a:srgbClr val="000000"/>
                </a:solidFill>
                <a:latin typeface="Arial Narrow"/>
                <a:ea typeface="Arial Narrow"/>
                <a:cs typeface="Arial Narrow"/>
              </a:defRPr>
            </a:pPr>
            <a:endParaRPr lang="en-US"/>
          </a:p>
        </c:txPr>
        <c:crossAx val="1"/>
        <c:crosses val="autoZero"/>
        <c:auto val="1"/>
        <c:lblAlgn val="ctr"/>
        <c:lblOffset val="0"/>
        <c:tickLblSkip val="1"/>
        <c:noMultiLvlLbl val="0"/>
      </c:catAx>
      <c:valAx>
        <c:axId val="1"/>
        <c:scaling>
          <c:orientation val="minMax"/>
        </c:scaling>
        <c:delete val="0"/>
        <c:axPos val="l"/>
        <c:majorGridlines>
          <c:spPr>
            <a:ln w="9525" cmpd="sng">
              <a:solidFill>
                <a:srgbClr val="FFFFFF"/>
              </a:solidFill>
              <a:prstDash val="solid"/>
            </a:ln>
          </c:spPr>
        </c:majorGridlines>
        <c:numFmt formatCode="General" sourceLinked="0"/>
        <c:majorTickMark val="in"/>
        <c:minorTickMark val="none"/>
        <c:tickLblPos val="nextTo"/>
        <c:spPr>
          <a:noFill/>
          <a:ln w="9525">
            <a:solidFill>
              <a:srgbClr val="000000"/>
            </a:solidFill>
            <a:prstDash val="solid"/>
          </a:ln>
          <a:extLst>
            <a:ext uri="{909E8E84-426E-40DD-AFC4-6F175D3DCCD1}">
              <a14:hiddenFill xmlns:a14="http://schemas.microsoft.com/office/drawing/2010/main">
                <a:noFill/>
              </a14:hiddenFill>
            </a:ext>
          </a:extLst>
        </c:spPr>
        <c:txPr>
          <a:bodyPr rot="-60000000" vert="horz"/>
          <a:lstStyle/>
          <a:p>
            <a:pPr>
              <a:defRPr sz="800" b="0" i="0" u="none" strike="noStrike" baseline="0">
                <a:solidFill>
                  <a:srgbClr val="000000"/>
                </a:solidFill>
                <a:latin typeface="Arial Narrow"/>
                <a:ea typeface="Arial Narrow"/>
                <a:cs typeface="Arial Narrow"/>
              </a:defRPr>
            </a:pPr>
            <a:endParaRPr lang="en-US"/>
          </a:p>
        </c:txPr>
        <c:crossAx val="802942560"/>
        <c:crosses val="autoZero"/>
        <c:crossBetween val="between"/>
      </c:valAx>
      <c:spPr>
        <a:solidFill>
          <a:srgbClr val="EAEAEA"/>
        </a:solidFill>
        <a:ln w="25400">
          <a:noFill/>
        </a:ln>
      </c:spPr>
    </c:plotArea>
    <c:legend>
      <c:legendPos val="r"/>
      <c:layout>
        <c:manualLayout>
          <c:xMode val="edge"/>
          <c:yMode val="edge"/>
          <c:x val="4.300804398556176E-2"/>
          <c:y val="1.9889285587041269E-2"/>
          <c:w val="0.9462426831630778"/>
          <c:h val="7.4584820951404757E-2"/>
        </c:manualLayout>
      </c:layout>
      <c:overlay val="1"/>
      <c:spPr>
        <a:solidFill>
          <a:srgbClr val="EAEAEA"/>
        </a:solidFill>
        <a:ln w="25400">
          <a:noFill/>
        </a:ln>
      </c:spPr>
      <c:txPr>
        <a:bodyPr/>
        <a:lstStyle/>
        <a:p>
          <a:pPr>
            <a:defRPr sz="800" b="0" i="0">
              <a:solidFill>
                <a:srgbClr val="000000"/>
              </a:solidFill>
              <a:latin typeface="Arial Narrow"/>
              <a:ea typeface="Arial Narrow"/>
              <a:cs typeface="Arial Narrow"/>
            </a:defRPr>
          </a:pPr>
          <a:endParaRPr lang="en-US"/>
        </a:p>
      </c:txPr>
    </c:legend>
    <c:plotVisOnly val="1"/>
    <c:dispBlanksAs val="gap"/>
    <c:showDLblsOverMax val="1"/>
  </c:chart>
  <c:spPr>
    <a:noFill/>
    <a:ln w="9525">
      <a:noFill/>
    </a:ln>
    <a:extLst>
      <a:ext uri="{909E8E84-426E-40DD-AFC4-6F175D3DCCD1}">
        <a14:hiddenFill xmlns:a14="http://schemas.microsoft.com/office/drawing/2010/main">
          <a:solidFill>
            <a:srgbClr val="FFFFFF"/>
          </a:solidFill>
        </a14:hiddenFill>
      </a:ext>
    </a:extLst>
  </c:spPr>
  <c:txPr>
    <a:bodyPr/>
    <a:lstStyle/>
    <a:p>
      <a:pPr>
        <a:defRPr sz="1000" b="0" i="0" u="none" strike="noStrike" baseline="0">
          <a:solidFill>
            <a:srgbClr val="000000"/>
          </a:solidFill>
          <a:latin typeface="Calibri"/>
          <a:ea typeface="Calibri"/>
          <a:cs typeface="Calibri"/>
        </a:defRPr>
      </a:pPr>
      <a:endParaRPr lang="en-US"/>
    </a:p>
  </c:txPr>
  <c:externalData r:id="rId2">
    <c:autoUpdate val="0"/>
  </c:externalData>
  <c:userShapes r:id="rId3"/>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a:t>
            </a:r>
            <a:endParaRPr lang="ro-RO"/>
          </a:p>
        </c:rich>
      </c:tx>
      <c:layout>
        <c:manualLayout>
          <c:xMode val="edge"/>
          <c:yMode val="edge"/>
          <c:x val="0.79955891930600009"/>
          <c:y val="9.9970596883269633E-2"/>
        </c:manualLayout>
      </c:layout>
      <c:overlay val="1"/>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o-RO"/>
        </a:p>
      </c:txPr>
    </c:title>
    <c:autoTitleDeleted val="0"/>
    <c:plotArea>
      <c:layout/>
      <c:barChart>
        <c:barDir val="col"/>
        <c:grouping val="clustered"/>
        <c:varyColors val="0"/>
        <c:ser>
          <c:idx val="0"/>
          <c:order val="0"/>
          <c:tx>
            <c:strRef>
              <c:f>'51'!$D$4</c:f>
              <c:strCache>
                <c:ptCount val="1"/>
                <c:pt idx="0">
                  <c:v> Zilnic</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o-R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'51'!$A$8:$A$14</c:f>
              <c:strCache>
                <c:ptCount val="7"/>
                <c:pt idx="0">
                  <c:v>15-24 ani</c:v>
                </c:pt>
                <c:pt idx="1">
                  <c:v>25-34 ani</c:v>
                </c:pt>
                <c:pt idx="2">
                  <c:v>35-44 ani</c:v>
                </c:pt>
                <c:pt idx="3">
                  <c:v>45-54 ani</c:v>
                </c:pt>
                <c:pt idx="4">
                  <c:v>55-64 ani</c:v>
                </c:pt>
                <c:pt idx="5">
                  <c:v>65-74 ani</c:v>
                </c:pt>
                <c:pt idx="6">
                  <c:v>75 ani și peste</c:v>
                </c:pt>
              </c:strCache>
            </c:strRef>
          </c:cat>
          <c:val>
            <c:numRef>
              <c:f>'51'!$D$8:$D$14</c:f>
              <c:numCache>
                <c:formatCode>0.00</c:formatCode>
                <c:ptCount val="7"/>
                <c:pt idx="0">
                  <c:v>10.16</c:v>
                </c:pt>
                <c:pt idx="1">
                  <c:v>26.47</c:v>
                </c:pt>
                <c:pt idx="2">
                  <c:v>25.15</c:v>
                </c:pt>
                <c:pt idx="3">
                  <c:v>25.69</c:v>
                </c:pt>
                <c:pt idx="4">
                  <c:v>19.18</c:v>
                </c:pt>
                <c:pt idx="5">
                  <c:v>10.27</c:v>
                </c:pt>
                <c:pt idx="6">
                  <c:v>3.29</c:v>
                </c:pt>
              </c:numCache>
            </c:numRef>
          </c:val>
          <c:extLst>
            <c:ext xmlns:c16="http://schemas.microsoft.com/office/drawing/2014/chart" uri="{C3380CC4-5D6E-409C-BE32-E72D297353CC}">
              <c16:uniqueId val="{00000000-62BB-443D-A483-27B5E9ED8733}"/>
            </c:ext>
          </c:extLst>
        </c:ser>
        <c:ser>
          <c:idx val="1"/>
          <c:order val="1"/>
          <c:tx>
            <c:strRef>
              <c:f>'51'!$E$4</c:f>
              <c:strCache>
                <c:ptCount val="1"/>
                <c:pt idx="0">
                  <c:v>Ocazional</c:v>
                </c:pt>
              </c:strCache>
            </c:strRef>
          </c:tx>
          <c:spPr>
            <a:solidFill>
              <a:schemeClr val="accent2"/>
            </a:solidFill>
            <a:ln>
              <a:noFill/>
            </a:ln>
            <a:effectLst/>
          </c:spPr>
          <c:invertIfNegative val="0"/>
          <c:dLbls>
            <c:dLbl>
              <c:idx val="0"/>
              <c:layout>
                <c:manualLayout>
                  <c:x val="3.1360250882007022E-2"/>
                  <c:y val="5.8808548666788602E-3"/>
                </c:manualLayout>
              </c:layout>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ro-RO"/>
                </a:p>
              </c:txPr>
              <c:showLegendKey val="0"/>
              <c:showVal val="1"/>
              <c:showCatName val="0"/>
              <c:showSerName val="0"/>
              <c:showPercent val="0"/>
              <c:showBubbleSize val="0"/>
              <c:extLst>
                <c:ext xmlns:c15="http://schemas.microsoft.com/office/drawing/2012/chart" uri="{CE6537A1-D6FC-4f65-9D91-7224C49458BB}">
                  <c15:layout>
                    <c:manualLayout>
                      <c:w val="8.6044688357506866E-2"/>
                      <c:h val="5.8718255631159885E-2"/>
                    </c:manualLayout>
                  </c15:layout>
                </c:ext>
                <c:ext xmlns:c16="http://schemas.microsoft.com/office/drawing/2014/chart" uri="{C3380CC4-5D6E-409C-BE32-E72D297353CC}">
                  <c16:uniqueId val="{00000001-62BB-443D-A483-27B5E9ED8733}"/>
                </c:ext>
              </c:extLst>
            </c:dLbl>
            <c:dLbl>
              <c:idx val="6"/>
              <c:layout>
                <c:manualLayout>
                  <c:x val="2.3520188161505147E-2"/>
                  <c:y val="1.176124669214936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62BB-443D-A483-27B5E9ED8733}"/>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o-R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'51'!$A$8:$A$14</c:f>
              <c:strCache>
                <c:ptCount val="7"/>
                <c:pt idx="0">
                  <c:v>15-24 ani</c:v>
                </c:pt>
                <c:pt idx="1">
                  <c:v>25-34 ani</c:v>
                </c:pt>
                <c:pt idx="2">
                  <c:v>35-44 ani</c:v>
                </c:pt>
                <c:pt idx="3">
                  <c:v>45-54 ani</c:v>
                </c:pt>
                <c:pt idx="4">
                  <c:v>55-64 ani</c:v>
                </c:pt>
                <c:pt idx="5">
                  <c:v>65-74 ani</c:v>
                </c:pt>
                <c:pt idx="6">
                  <c:v>75 ani și peste</c:v>
                </c:pt>
              </c:strCache>
            </c:strRef>
          </c:cat>
          <c:val>
            <c:numRef>
              <c:f>'51'!$E$8:$E$14</c:f>
              <c:numCache>
                <c:formatCode>0.00</c:formatCode>
                <c:ptCount val="7"/>
                <c:pt idx="0">
                  <c:v>9.81</c:v>
                </c:pt>
                <c:pt idx="1">
                  <c:v>11.17</c:v>
                </c:pt>
                <c:pt idx="2">
                  <c:v>9.65</c:v>
                </c:pt>
                <c:pt idx="3">
                  <c:v>9.34</c:v>
                </c:pt>
                <c:pt idx="4">
                  <c:v>6.49</c:v>
                </c:pt>
                <c:pt idx="5">
                  <c:v>4.8600000000000003</c:v>
                </c:pt>
                <c:pt idx="6">
                  <c:v>2.93</c:v>
                </c:pt>
              </c:numCache>
            </c:numRef>
          </c:val>
          <c:extLst>
            <c:ext xmlns:c16="http://schemas.microsoft.com/office/drawing/2014/chart" uri="{C3380CC4-5D6E-409C-BE32-E72D297353CC}">
              <c16:uniqueId val="{00000003-62BB-443D-A483-27B5E9ED8733}"/>
            </c:ext>
          </c:extLst>
        </c:ser>
        <c:dLbls>
          <c:showLegendKey val="0"/>
          <c:showVal val="0"/>
          <c:showCatName val="0"/>
          <c:showSerName val="0"/>
          <c:showPercent val="0"/>
          <c:showBubbleSize val="0"/>
        </c:dLbls>
        <c:gapWidth val="219"/>
        <c:overlap val="-27"/>
        <c:axId val="766555951"/>
        <c:axId val="766553071"/>
      </c:barChart>
      <c:catAx>
        <c:axId val="76655595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o-RO"/>
          </a:p>
        </c:txPr>
        <c:crossAx val="766553071"/>
        <c:crosses val="autoZero"/>
        <c:auto val="1"/>
        <c:lblAlgn val="ctr"/>
        <c:lblOffset val="100"/>
        <c:noMultiLvlLbl val="0"/>
      </c:catAx>
      <c:valAx>
        <c:axId val="766553071"/>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o-RO"/>
          </a:p>
        </c:txPr>
        <c:crossAx val="766555951"/>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ro-RO"/>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o-RO"/>
    </a:p>
  </c:txPr>
  <c:externalData r:id="rId4">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en-GB"/>
              <a:t>%</a:t>
            </a:r>
            <a:endParaRPr lang="ro-RO"/>
          </a:p>
        </c:rich>
      </c:tx>
      <c:layout>
        <c:manualLayout>
          <c:xMode val="edge"/>
          <c:yMode val="edge"/>
          <c:x val="0.44935668711225352"/>
          <c:y val="4.0322580645161289E-2"/>
        </c:manualLayout>
      </c:layout>
      <c:overlay val="1"/>
    </c:title>
    <c:autoTitleDeleted val="0"/>
    <c:plotArea>
      <c:layout>
        <c:manualLayout>
          <c:layoutTarget val="inner"/>
          <c:xMode val="edge"/>
          <c:yMode val="edge"/>
          <c:x val="3.490236220472441E-2"/>
          <c:y val="6.4869896645694411E-2"/>
          <c:w val="0.93874559373087485"/>
          <c:h val="0.66211618882567913"/>
        </c:manualLayout>
      </c:layout>
      <c:lineChart>
        <c:grouping val="standard"/>
        <c:varyColors val="0"/>
        <c:ser>
          <c:idx val="0"/>
          <c:order val="0"/>
          <c:tx>
            <c:strRef>
              <c:f>'F7'!$D$9</c:f>
              <c:strCache>
                <c:ptCount val="1"/>
                <c:pt idx="0">
                  <c:v>Bărbați</c:v>
                </c:pt>
              </c:strCache>
            </c:strRef>
          </c:tx>
          <c:spPr>
            <a:ln>
              <a:noFill/>
            </a:ln>
          </c:spPr>
          <c:marker>
            <c:symbol val="diamond"/>
            <c:size val="7"/>
            <c:spPr>
              <a:solidFill>
                <a:schemeClr val="accent2"/>
              </a:solidFill>
              <a:ln>
                <a:noFill/>
              </a:ln>
            </c:spPr>
          </c:marker>
          <c:dLbls>
            <c:dLbl>
              <c:idx val="0"/>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9140-4270-A064-FBD4EA6F5737}"/>
                </c:ext>
              </c:extLst>
            </c:dLbl>
            <c:dLbl>
              <c:idx val="28"/>
              <c:layout>
                <c:manualLayout>
                  <c:x val="-7.1103526734926049E-3"/>
                  <c:y val="-2.318338974016348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9140-4270-A064-FBD4EA6F5737}"/>
                </c:ext>
              </c:extLst>
            </c:dLbl>
            <c:spPr>
              <a:noFill/>
              <a:ln>
                <a:noFill/>
              </a:ln>
              <a:effectLst/>
            </c:spPr>
            <c:txPr>
              <a:bodyPr wrap="square" lIns="38100" tIns="19050" rIns="38100" bIns="19050" anchor="ctr">
                <a:spAutoFit/>
              </a:bodyPr>
              <a:lstStyle/>
              <a:p>
                <a:pPr>
                  <a:defRPr sz="1000"/>
                </a:pPr>
                <a:endParaRPr lang="ro-RO"/>
              </a:p>
            </c:txPr>
            <c:showLegendKey val="0"/>
            <c:showVal val="0"/>
            <c:showCatName val="0"/>
            <c:showSerName val="0"/>
            <c:showPercent val="0"/>
            <c:showBubbleSize val="0"/>
            <c:extLst>
              <c:ext xmlns:c15="http://schemas.microsoft.com/office/drawing/2012/chart" uri="{CE6537A1-D6FC-4f65-9D91-7224C49458BB}">
                <c15:showLeaderLines val="1"/>
              </c:ext>
            </c:extLst>
          </c:dLbls>
          <c:cat>
            <c:strRef>
              <c:f>'F7'!$G$11:$G$45</c:f>
              <c:strCache>
                <c:ptCount val="35"/>
                <c:pt idx="0">
                  <c:v>UE</c:v>
                </c:pt>
                <c:pt idx="2">
                  <c:v>Polonia</c:v>
                </c:pt>
                <c:pt idx="3">
                  <c:v>Franţa</c:v>
                </c:pt>
                <c:pt idx="4">
                  <c:v>Irlanda</c:v>
                </c:pt>
                <c:pt idx="5">
                  <c:v>Cehia</c:v>
                </c:pt>
                <c:pt idx="6">
                  <c:v>Grecia</c:v>
                </c:pt>
                <c:pt idx="7">
                  <c:v>Lituania</c:v>
                </c:pt>
                <c:pt idx="8">
                  <c:v>Danemarca</c:v>
                </c:pt>
                <c:pt idx="9">
                  <c:v>Estonia</c:v>
                </c:pt>
                <c:pt idx="10">
                  <c:v>Belgia</c:v>
                </c:pt>
                <c:pt idx="11">
                  <c:v>Germania</c:v>
                </c:pt>
                <c:pt idx="12">
                  <c:v>Italia</c:v>
                </c:pt>
                <c:pt idx="13">
                  <c:v>Slovacia</c:v>
                </c:pt>
                <c:pt idx="14">
                  <c:v>Cipru</c:v>
                </c:pt>
                <c:pt idx="15">
                  <c:v>Letonia</c:v>
                </c:pt>
                <c:pt idx="16">
                  <c:v>Malta</c:v>
                </c:pt>
                <c:pt idx="17">
                  <c:v>Ungaria</c:v>
                </c:pt>
                <c:pt idx="18">
                  <c:v>Olanda</c:v>
                </c:pt>
                <c:pt idx="19">
                  <c:v>Portugalia</c:v>
                </c:pt>
                <c:pt idx="20">
                  <c:v>Slovenia</c:v>
                </c:pt>
                <c:pt idx="21">
                  <c:v>Croaţia</c:v>
                </c:pt>
                <c:pt idx="22">
                  <c:v>Finlanda</c:v>
                </c:pt>
                <c:pt idx="23">
                  <c:v>Austria</c:v>
                </c:pt>
                <c:pt idx="24">
                  <c:v>Bulgaria</c:v>
                </c:pt>
                <c:pt idx="25">
                  <c:v>Luxemburg</c:v>
                </c:pt>
                <c:pt idx="26">
                  <c:v>Spania</c:v>
                </c:pt>
                <c:pt idx="27">
                  <c:v>Suedia</c:v>
                </c:pt>
                <c:pt idx="28">
                  <c:v>România</c:v>
                </c:pt>
                <c:pt idx="30">
                  <c:v>Islanda</c:v>
                </c:pt>
                <c:pt idx="31">
                  <c:v>Norvegia</c:v>
                </c:pt>
                <c:pt idx="33">
                  <c:v>Serbia</c:v>
                </c:pt>
                <c:pt idx="34">
                  <c:v>Turcia</c:v>
                </c:pt>
              </c:strCache>
            </c:strRef>
          </c:cat>
          <c:val>
            <c:numRef>
              <c:f>'F7'!$D$11:$D$45</c:f>
              <c:numCache>
                <c:formatCode>General</c:formatCode>
                <c:ptCount val="35"/>
                <c:pt idx="0" formatCode="0.0">
                  <c:v>2.2000000000000002</c:v>
                </c:pt>
                <c:pt idx="2" formatCode="0.0">
                  <c:v>6.5</c:v>
                </c:pt>
                <c:pt idx="3" formatCode="0.0">
                  <c:v>4.5999999999999996</c:v>
                </c:pt>
                <c:pt idx="4" formatCode="0.0">
                  <c:v>3.7</c:v>
                </c:pt>
                <c:pt idx="5" formatCode="0.0">
                  <c:v>2.4</c:v>
                </c:pt>
                <c:pt idx="6" formatCode="0.0">
                  <c:v>2.2999999999999998</c:v>
                </c:pt>
                <c:pt idx="7" formatCode="0.0">
                  <c:v>2.5</c:v>
                </c:pt>
                <c:pt idx="8" formatCode="0.0">
                  <c:v>1.7</c:v>
                </c:pt>
                <c:pt idx="9" formatCode="0.0">
                  <c:v>2.1</c:v>
                </c:pt>
                <c:pt idx="10" formatCode="0.0">
                  <c:v>1.8</c:v>
                </c:pt>
                <c:pt idx="11" formatCode="0.0">
                  <c:v>2</c:v>
                </c:pt>
                <c:pt idx="12" formatCode="0.0">
                  <c:v>1.7</c:v>
                </c:pt>
                <c:pt idx="13" formatCode="0.0">
                  <c:v>1.3</c:v>
                </c:pt>
                <c:pt idx="14" formatCode="0.0">
                  <c:v>1.6</c:v>
                </c:pt>
                <c:pt idx="15" formatCode="0.0">
                  <c:v>1.8</c:v>
                </c:pt>
                <c:pt idx="16" formatCode="0.0">
                  <c:v>1.3</c:v>
                </c:pt>
                <c:pt idx="17" formatCode="0.0">
                  <c:v>1.6</c:v>
                </c:pt>
                <c:pt idx="18" formatCode="0.0">
                  <c:v>1</c:v>
                </c:pt>
                <c:pt idx="19" formatCode="0.0">
                  <c:v>1</c:v>
                </c:pt>
                <c:pt idx="20" formatCode="0.0">
                  <c:v>1.1000000000000001</c:v>
                </c:pt>
                <c:pt idx="21" formatCode="0.0">
                  <c:v>1.1000000000000001</c:v>
                </c:pt>
                <c:pt idx="22" formatCode="0.0">
                  <c:v>1.3</c:v>
                </c:pt>
                <c:pt idx="23" formatCode="0.0">
                  <c:v>1</c:v>
                </c:pt>
                <c:pt idx="24" formatCode="0.0">
                  <c:v>0.7</c:v>
                </c:pt>
                <c:pt idx="25" formatCode="0.0">
                  <c:v>0.6</c:v>
                </c:pt>
                <c:pt idx="26" formatCode="0.0">
                  <c:v>0.6</c:v>
                </c:pt>
                <c:pt idx="27" formatCode="0.0">
                  <c:v>0.8</c:v>
                </c:pt>
                <c:pt idx="28" formatCode="0.0">
                  <c:v>0.5</c:v>
                </c:pt>
                <c:pt idx="30" formatCode="0.0">
                  <c:v>5.0999999999999996</c:v>
                </c:pt>
                <c:pt idx="31" formatCode="0.0">
                  <c:v>0.9</c:v>
                </c:pt>
                <c:pt idx="33" formatCode="0.0">
                  <c:v>1.1000000000000001</c:v>
                </c:pt>
                <c:pt idx="34" formatCode="0.0">
                  <c:v>0.7</c:v>
                </c:pt>
              </c:numCache>
            </c:numRef>
          </c:val>
          <c:smooth val="0"/>
          <c:extLst>
            <c:ext xmlns:c16="http://schemas.microsoft.com/office/drawing/2014/chart" uri="{C3380CC4-5D6E-409C-BE32-E72D297353CC}">
              <c16:uniqueId val="{00000002-9140-4270-A064-FBD4EA6F5737}"/>
            </c:ext>
          </c:extLst>
        </c:ser>
        <c:ser>
          <c:idx val="1"/>
          <c:order val="1"/>
          <c:tx>
            <c:strRef>
              <c:f>'F7'!$E$9</c:f>
              <c:strCache>
                <c:ptCount val="1"/>
                <c:pt idx="0">
                  <c:v>Femei</c:v>
                </c:pt>
              </c:strCache>
            </c:strRef>
          </c:tx>
          <c:spPr>
            <a:ln>
              <a:noFill/>
            </a:ln>
          </c:spPr>
          <c:marker>
            <c:symbol val="diamond"/>
            <c:size val="7"/>
            <c:spPr>
              <a:solidFill>
                <a:schemeClr val="accent1"/>
              </a:solidFill>
              <a:ln>
                <a:noFill/>
              </a:ln>
            </c:spPr>
          </c:marker>
          <c:dLbls>
            <c:dLbl>
              <c:idx val="0"/>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9140-4270-A064-FBD4EA6F5737}"/>
                </c:ext>
              </c:extLst>
            </c:dLbl>
            <c:dLbl>
              <c:idx val="28"/>
              <c:layout>
                <c:manualLayout>
                  <c:x val="-4.2662116040955633E-3"/>
                  <c:y val="-8.5004780398122559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9140-4270-A064-FBD4EA6F5737}"/>
                </c:ext>
              </c:extLst>
            </c:dLbl>
            <c:spPr>
              <a:noFill/>
              <a:ln>
                <a:noFill/>
              </a:ln>
              <a:effectLst/>
            </c:spPr>
            <c:txPr>
              <a:bodyPr wrap="square" lIns="38100" tIns="19050" rIns="38100" bIns="19050" anchor="ctr">
                <a:spAutoFit/>
              </a:bodyPr>
              <a:lstStyle/>
              <a:p>
                <a:pPr>
                  <a:defRPr sz="1000"/>
                </a:pPr>
                <a:endParaRPr lang="ro-RO"/>
              </a:p>
            </c:txPr>
            <c:showLegendKey val="0"/>
            <c:showVal val="0"/>
            <c:showCatName val="0"/>
            <c:showSerName val="0"/>
            <c:showPercent val="0"/>
            <c:showBubbleSize val="0"/>
            <c:extLst>
              <c:ext xmlns:c15="http://schemas.microsoft.com/office/drawing/2012/chart" uri="{CE6537A1-D6FC-4f65-9D91-7224C49458BB}">
                <c15:showLeaderLines val="1"/>
              </c:ext>
            </c:extLst>
          </c:dLbls>
          <c:cat>
            <c:strRef>
              <c:f>'F7'!$G$11:$G$45</c:f>
              <c:strCache>
                <c:ptCount val="35"/>
                <c:pt idx="0">
                  <c:v>UE</c:v>
                </c:pt>
                <c:pt idx="2">
                  <c:v>Polonia</c:v>
                </c:pt>
                <c:pt idx="3">
                  <c:v>Franţa</c:v>
                </c:pt>
                <c:pt idx="4">
                  <c:v>Irlanda</c:v>
                </c:pt>
                <c:pt idx="5">
                  <c:v>Cehia</c:v>
                </c:pt>
                <c:pt idx="6">
                  <c:v>Grecia</c:v>
                </c:pt>
                <c:pt idx="7">
                  <c:v>Lituania</c:v>
                </c:pt>
                <c:pt idx="8">
                  <c:v>Danemarca</c:v>
                </c:pt>
                <c:pt idx="9">
                  <c:v>Estonia</c:v>
                </c:pt>
                <c:pt idx="10">
                  <c:v>Belgia</c:v>
                </c:pt>
                <c:pt idx="11">
                  <c:v>Germania</c:v>
                </c:pt>
                <c:pt idx="12">
                  <c:v>Italia</c:v>
                </c:pt>
                <c:pt idx="13">
                  <c:v>Slovacia</c:v>
                </c:pt>
                <c:pt idx="14">
                  <c:v>Cipru</c:v>
                </c:pt>
                <c:pt idx="15">
                  <c:v>Letonia</c:v>
                </c:pt>
                <c:pt idx="16">
                  <c:v>Malta</c:v>
                </c:pt>
                <c:pt idx="17">
                  <c:v>Ungaria</c:v>
                </c:pt>
                <c:pt idx="18">
                  <c:v>Olanda</c:v>
                </c:pt>
                <c:pt idx="19">
                  <c:v>Portugalia</c:v>
                </c:pt>
                <c:pt idx="20">
                  <c:v>Slovenia</c:v>
                </c:pt>
                <c:pt idx="21">
                  <c:v>Croaţia</c:v>
                </c:pt>
                <c:pt idx="22">
                  <c:v>Finlanda</c:v>
                </c:pt>
                <c:pt idx="23">
                  <c:v>Austria</c:v>
                </c:pt>
                <c:pt idx="24">
                  <c:v>Bulgaria</c:v>
                </c:pt>
                <c:pt idx="25">
                  <c:v>Luxemburg</c:v>
                </c:pt>
                <c:pt idx="26">
                  <c:v>Spania</c:v>
                </c:pt>
                <c:pt idx="27">
                  <c:v>Suedia</c:v>
                </c:pt>
                <c:pt idx="28">
                  <c:v>România</c:v>
                </c:pt>
                <c:pt idx="30">
                  <c:v>Islanda</c:v>
                </c:pt>
                <c:pt idx="31">
                  <c:v>Norvegia</c:v>
                </c:pt>
                <c:pt idx="33">
                  <c:v>Serbia</c:v>
                </c:pt>
                <c:pt idx="34">
                  <c:v>Turcia</c:v>
                </c:pt>
              </c:strCache>
            </c:strRef>
          </c:cat>
          <c:val>
            <c:numRef>
              <c:f>'F7'!$E$11:$E$45</c:f>
              <c:numCache>
                <c:formatCode>General</c:formatCode>
                <c:ptCount val="35"/>
                <c:pt idx="0" formatCode="0.0">
                  <c:v>1.1000000000000001</c:v>
                </c:pt>
                <c:pt idx="2" formatCode="0.0">
                  <c:v>3.1</c:v>
                </c:pt>
                <c:pt idx="3" formatCode="0.0">
                  <c:v>2.4</c:v>
                </c:pt>
                <c:pt idx="4" formatCode="0.0">
                  <c:v>2.8</c:v>
                </c:pt>
                <c:pt idx="5" formatCode="0.0">
                  <c:v>1.4</c:v>
                </c:pt>
                <c:pt idx="6" formatCode="0.0">
                  <c:v>1.2</c:v>
                </c:pt>
                <c:pt idx="7" formatCode="0.0">
                  <c:v>0.8</c:v>
                </c:pt>
                <c:pt idx="8" formatCode="0.0">
                  <c:v>1.3</c:v>
                </c:pt>
                <c:pt idx="9" formatCode="0.0">
                  <c:v>1</c:v>
                </c:pt>
                <c:pt idx="10" formatCode="0.0">
                  <c:v>1</c:v>
                </c:pt>
                <c:pt idx="11" formatCode="0.0">
                  <c:v>0.6</c:v>
                </c:pt>
                <c:pt idx="12" formatCode="0.0">
                  <c:v>0.9</c:v>
                </c:pt>
                <c:pt idx="13" formatCode="0.0">
                  <c:v>1</c:v>
                </c:pt>
                <c:pt idx="14" formatCode="0.0">
                  <c:v>0.6</c:v>
                </c:pt>
                <c:pt idx="15" formatCode="0.0">
                  <c:v>0.5</c:v>
                </c:pt>
                <c:pt idx="16" formatCode="0.0">
                  <c:v>0.9</c:v>
                </c:pt>
                <c:pt idx="17" formatCode="0.0">
                  <c:v>0.4</c:v>
                </c:pt>
                <c:pt idx="18" formatCode="0.0">
                  <c:v>0.9</c:v>
                </c:pt>
                <c:pt idx="19" formatCode="0.0">
                  <c:v>0.7</c:v>
                </c:pt>
                <c:pt idx="20" formatCode="0.0">
                  <c:v>0.6</c:v>
                </c:pt>
                <c:pt idx="21" formatCode="0.0">
                  <c:v>0.5</c:v>
                </c:pt>
                <c:pt idx="22" formatCode="0.0">
                  <c:v>0.4</c:v>
                </c:pt>
                <c:pt idx="23" formatCode="0.0">
                  <c:v>0.4</c:v>
                </c:pt>
                <c:pt idx="24" formatCode="0.0">
                  <c:v>0.5</c:v>
                </c:pt>
                <c:pt idx="25" formatCode="0.0">
                  <c:v>0.5</c:v>
                </c:pt>
                <c:pt idx="26" formatCode="0.0">
                  <c:v>0.3</c:v>
                </c:pt>
                <c:pt idx="27" formatCode="0.0">
                  <c:v>0.3</c:v>
                </c:pt>
                <c:pt idx="28" formatCode="0.0">
                  <c:v>0.2</c:v>
                </c:pt>
                <c:pt idx="30" formatCode="0.0">
                  <c:v>3.2</c:v>
                </c:pt>
                <c:pt idx="31" formatCode="0.0">
                  <c:v>0.5</c:v>
                </c:pt>
                <c:pt idx="33" formatCode="0.0">
                  <c:v>1.3</c:v>
                </c:pt>
                <c:pt idx="34" formatCode="0.0">
                  <c:v>0.2</c:v>
                </c:pt>
              </c:numCache>
            </c:numRef>
          </c:val>
          <c:smooth val="0"/>
          <c:extLst>
            <c:ext xmlns:c16="http://schemas.microsoft.com/office/drawing/2014/chart" uri="{C3380CC4-5D6E-409C-BE32-E72D297353CC}">
              <c16:uniqueId val="{00000005-9140-4270-A064-FBD4EA6F5737}"/>
            </c:ext>
          </c:extLst>
        </c:ser>
        <c:dLbls>
          <c:showLegendKey val="0"/>
          <c:showVal val="0"/>
          <c:showCatName val="0"/>
          <c:showSerName val="0"/>
          <c:showPercent val="0"/>
          <c:showBubbleSize val="0"/>
        </c:dLbls>
        <c:hiLowLines>
          <c:spPr>
            <a:ln>
              <a:solidFill>
                <a:schemeClr val="bg1">
                  <a:lumMod val="85000"/>
                </a:schemeClr>
              </a:solidFill>
            </a:ln>
          </c:spPr>
        </c:hiLowLines>
        <c:marker val="1"/>
        <c:smooth val="0"/>
        <c:axId val="225909024"/>
        <c:axId val="225909416"/>
      </c:lineChart>
      <c:catAx>
        <c:axId val="225909024"/>
        <c:scaling>
          <c:orientation val="minMax"/>
        </c:scaling>
        <c:delete val="0"/>
        <c:axPos val="b"/>
        <c:numFmt formatCode="General" sourceLinked="0"/>
        <c:majorTickMark val="out"/>
        <c:minorTickMark val="none"/>
        <c:tickLblPos val="nextTo"/>
        <c:spPr>
          <a:ln>
            <a:solidFill>
              <a:srgbClr val="000000"/>
            </a:solidFill>
            <a:prstDash val="solid"/>
          </a:ln>
        </c:spPr>
        <c:txPr>
          <a:bodyPr rot="-5400000" vert="horz"/>
          <a:lstStyle/>
          <a:p>
            <a:pPr>
              <a:defRPr sz="1000">
                <a:latin typeface="Calibri" panose="020F0502020204030204" pitchFamily="34" charset="0"/>
                <a:ea typeface="Calibri" panose="020F0502020204030204" pitchFamily="34" charset="0"/>
                <a:cs typeface="Calibri" panose="020F0502020204030204" pitchFamily="34" charset="0"/>
              </a:defRPr>
            </a:pPr>
            <a:endParaRPr lang="en-US"/>
          </a:p>
        </c:txPr>
        <c:crossAx val="225909416"/>
        <c:crosses val="autoZero"/>
        <c:auto val="1"/>
        <c:lblAlgn val="ctr"/>
        <c:lblOffset val="100"/>
        <c:tickMarkSkip val="1"/>
        <c:noMultiLvlLbl val="0"/>
      </c:catAx>
      <c:valAx>
        <c:axId val="225909416"/>
        <c:scaling>
          <c:orientation val="minMax"/>
        </c:scaling>
        <c:delete val="0"/>
        <c:axPos val="l"/>
        <c:majorGridlines>
          <c:spPr>
            <a:ln w="3175">
              <a:solidFill>
                <a:srgbClr val="C0C0C0"/>
              </a:solidFill>
              <a:prstDash val="sysDash"/>
            </a:ln>
          </c:spPr>
        </c:majorGridlines>
        <c:numFmt formatCode="0" sourceLinked="0"/>
        <c:majorTickMark val="out"/>
        <c:minorTickMark val="none"/>
        <c:tickLblPos val="nextTo"/>
        <c:spPr>
          <a:noFill/>
          <a:ln w="9525" cap="flat" cmpd="sng" algn="ctr">
            <a:noFill/>
            <a:prstDash val="solid"/>
            <a:round/>
          </a:ln>
          <a:effectLst/>
          <a:extLst>
            <a:ext uri="{91240B29-F687-4F45-9708-019B960494DF}">
              <a14:hiddenLine xmlns:a14="http://schemas.microsoft.com/office/drawing/2010/main" w="9525" cap="flat" cmpd="sng" algn="ctr">
                <a:solidFill>
                  <a:sysClr val="windowText" lastClr="000000">
                    <a:tint val="75000"/>
                    <a:shade val="95000"/>
                    <a:satMod val="105000"/>
                  </a:sysClr>
                </a:solidFill>
                <a:prstDash val="solid"/>
                <a:round/>
              </a14:hiddenLine>
            </a:ext>
          </a:extLst>
        </c:spPr>
        <c:txPr>
          <a:bodyPr/>
          <a:lstStyle/>
          <a:p>
            <a:pPr>
              <a:defRPr sz="1000"/>
            </a:pPr>
            <a:endParaRPr lang="ro-RO"/>
          </a:p>
        </c:txPr>
        <c:crossAx val="225909024"/>
        <c:crosses val="autoZero"/>
        <c:crossBetween val="between"/>
      </c:valAx>
    </c:plotArea>
    <c:legend>
      <c:legendPos val="b"/>
      <c:layout>
        <c:manualLayout>
          <c:xMode val="edge"/>
          <c:yMode val="edge"/>
          <c:x val="0.50355698318865161"/>
          <c:y val="0.18719503867326318"/>
          <c:w val="0.26429203948290664"/>
          <c:h val="4.4688083007488055E-2"/>
        </c:manualLayout>
      </c:layout>
      <c:overlay val="0"/>
      <c:spPr>
        <a:noFill/>
        <a:ln>
          <a:noFill/>
          <a:round/>
        </a:ln>
        <a:effectLst/>
        <a:extLst>
          <a:ext uri="{91240B29-F687-4F45-9708-019B960494DF}">
            <a14:hiddenLine xmlns:a14="http://schemas.microsoft.com/office/drawing/2010/main">
              <a:noFill/>
              <a:round/>
            </a14:hiddenLine>
          </a:ext>
        </a:extLst>
      </c:spPr>
      <c:txPr>
        <a:bodyPr/>
        <a:lstStyle/>
        <a:p>
          <a:pPr>
            <a:defRPr sz="1000" b="1">
              <a:latin typeface="Calibri" panose="020F0502020204030204" pitchFamily="34" charset="0"/>
              <a:ea typeface="Calibri" panose="020F0502020204030204" pitchFamily="34" charset="0"/>
              <a:cs typeface="Calibri" panose="020F0502020204030204" pitchFamily="34" charset="0"/>
            </a:defRPr>
          </a:pPr>
          <a:endParaRPr lang="en-US"/>
        </a:p>
      </c:txPr>
    </c:legend>
    <c:plotVisOnly val="1"/>
    <c:dispBlanksAs val="gap"/>
    <c:showDLblsOverMax val="0"/>
  </c:chart>
  <c:spPr>
    <a:solidFill>
      <a:sysClr val="window" lastClr="FFFFFF"/>
    </a:solidFill>
    <a:ln w="9525" cap="flat" cmpd="sng" algn="ctr">
      <a:noFill/>
      <a:prstDash val="solid"/>
      <a:round/>
    </a:ln>
    <a:effectLst/>
    <a:extLst>
      <a:ext uri="{91240B29-F687-4F45-9708-019B960494DF}">
        <a14:hiddenLine xmlns:a14="http://schemas.microsoft.com/office/drawing/2010/main" w="9525" cap="flat" cmpd="sng" algn="ctr">
          <a:solidFill>
            <a:sysClr val="windowText" lastClr="000000">
              <a:tint val="75000"/>
              <a:shade val="95000"/>
              <a:satMod val="105000"/>
            </a:sysClr>
          </a:solidFill>
          <a:prstDash val="solid"/>
          <a:round/>
        </a14:hiddenLine>
      </a:ext>
    </a:extLst>
  </c:spPr>
  <c:txPr>
    <a:bodyPr/>
    <a:lstStyle/>
    <a:p>
      <a:pPr>
        <a:defRPr sz="1200">
          <a:solidFill>
            <a:srgbClr val="000000"/>
          </a:solidFill>
          <a:latin typeface="Arial"/>
          <a:ea typeface="Arial"/>
          <a:cs typeface="Arial"/>
        </a:defRPr>
      </a:pPr>
      <a:endParaRPr lang="en-US"/>
    </a:p>
  </c:txPr>
  <c:externalData r:id="rId2">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a:t>
            </a:r>
            <a:endParaRPr lang="ro-RO"/>
          </a:p>
        </c:rich>
      </c:tx>
      <c:overlay val="1"/>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o-RO"/>
        </a:p>
      </c:txPr>
    </c:title>
    <c:autoTitleDeleted val="0"/>
    <c:plotArea>
      <c:layout/>
      <c:barChart>
        <c:barDir val="col"/>
        <c:grouping val="clustered"/>
        <c:varyColors val="0"/>
        <c:ser>
          <c:idx val="0"/>
          <c:order val="0"/>
          <c:tx>
            <c:strRef>
              <c:f>Sheet1!$C$26</c:f>
              <c:strCache>
                <c:ptCount val="1"/>
                <c:pt idx="0">
                  <c:v>fumător activ</c:v>
                </c:pt>
              </c:strCache>
            </c:strRef>
          </c:tx>
          <c:spPr>
            <a:solidFill>
              <a:srgbClr val="FF0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mn-lt"/>
                    <a:ea typeface="+mn-ea"/>
                    <a:cs typeface="+mn-cs"/>
                  </a:defRPr>
                </a:pPr>
                <a:endParaRPr lang="ro-R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Sheet1!$D$25:$E$25</c:f>
              <c:strCache>
                <c:ptCount val="2"/>
                <c:pt idx="0">
                  <c:v>UE27</c:v>
                </c:pt>
                <c:pt idx="1">
                  <c:v>RO</c:v>
                </c:pt>
              </c:strCache>
            </c:strRef>
          </c:cat>
          <c:val>
            <c:numRef>
              <c:f>Sheet1!$D$26:$E$26</c:f>
              <c:numCache>
                <c:formatCode>General</c:formatCode>
                <c:ptCount val="2"/>
                <c:pt idx="0">
                  <c:v>24</c:v>
                </c:pt>
                <c:pt idx="1">
                  <c:v>34</c:v>
                </c:pt>
              </c:numCache>
            </c:numRef>
          </c:val>
          <c:extLst>
            <c:ext xmlns:c16="http://schemas.microsoft.com/office/drawing/2014/chart" uri="{C3380CC4-5D6E-409C-BE32-E72D297353CC}">
              <c16:uniqueId val="{00000000-52B2-4BBD-B088-131A9B6BF83F}"/>
            </c:ext>
          </c:extLst>
        </c:ser>
        <c:ser>
          <c:idx val="1"/>
          <c:order val="1"/>
          <c:tx>
            <c:strRef>
              <c:f>Sheet1!$C$27</c:f>
              <c:strCache>
                <c:ptCount val="1"/>
                <c:pt idx="0">
                  <c:v>s-a lăsat</c:v>
                </c:pt>
              </c:strCache>
            </c:strRef>
          </c:tx>
          <c:spPr>
            <a:solidFill>
              <a:schemeClr val="tx2">
                <a:lumMod val="20000"/>
                <a:lumOff val="8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mn-lt"/>
                    <a:ea typeface="+mn-ea"/>
                    <a:cs typeface="+mn-cs"/>
                  </a:defRPr>
                </a:pPr>
                <a:endParaRPr lang="ro-R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Sheet1!$D$25:$E$25</c:f>
              <c:strCache>
                <c:ptCount val="2"/>
                <c:pt idx="0">
                  <c:v>UE27</c:v>
                </c:pt>
                <c:pt idx="1">
                  <c:v>RO</c:v>
                </c:pt>
              </c:strCache>
            </c:strRef>
          </c:cat>
          <c:val>
            <c:numRef>
              <c:f>Sheet1!$D$27:$E$27</c:f>
              <c:numCache>
                <c:formatCode>General</c:formatCode>
                <c:ptCount val="2"/>
                <c:pt idx="0">
                  <c:v>20</c:v>
                </c:pt>
                <c:pt idx="1">
                  <c:v>8</c:v>
                </c:pt>
              </c:numCache>
            </c:numRef>
          </c:val>
          <c:extLst>
            <c:ext xmlns:c16="http://schemas.microsoft.com/office/drawing/2014/chart" uri="{C3380CC4-5D6E-409C-BE32-E72D297353CC}">
              <c16:uniqueId val="{00000001-52B2-4BBD-B088-131A9B6BF83F}"/>
            </c:ext>
          </c:extLst>
        </c:ser>
        <c:ser>
          <c:idx val="2"/>
          <c:order val="2"/>
          <c:tx>
            <c:strRef>
              <c:f>Sheet1!$C$28</c:f>
              <c:strCache>
                <c:ptCount val="1"/>
                <c:pt idx="0">
                  <c:v>nu a fumat niciodată</c:v>
                </c:pt>
              </c:strCache>
            </c:strRef>
          </c:tx>
          <c:spPr>
            <a:solidFill>
              <a:srgbClr val="00206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mn-lt"/>
                    <a:ea typeface="+mn-ea"/>
                    <a:cs typeface="+mn-cs"/>
                  </a:defRPr>
                </a:pPr>
                <a:endParaRPr lang="ro-R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Sheet1!$D$25:$E$25</c:f>
              <c:strCache>
                <c:ptCount val="2"/>
                <c:pt idx="0">
                  <c:v>UE27</c:v>
                </c:pt>
                <c:pt idx="1">
                  <c:v>RO</c:v>
                </c:pt>
              </c:strCache>
            </c:strRef>
          </c:cat>
          <c:val>
            <c:numRef>
              <c:f>Sheet1!$D$28:$E$28</c:f>
              <c:numCache>
                <c:formatCode>General</c:formatCode>
                <c:ptCount val="2"/>
                <c:pt idx="0">
                  <c:v>56</c:v>
                </c:pt>
                <c:pt idx="1">
                  <c:v>58</c:v>
                </c:pt>
              </c:numCache>
            </c:numRef>
          </c:val>
          <c:extLst>
            <c:ext xmlns:c16="http://schemas.microsoft.com/office/drawing/2014/chart" uri="{C3380CC4-5D6E-409C-BE32-E72D297353CC}">
              <c16:uniqueId val="{00000002-52B2-4BBD-B088-131A9B6BF83F}"/>
            </c:ext>
          </c:extLst>
        </c:ser>
        <c:dLbls>
          <c:showLegendKey val="0"/>
          <c:showVal val="0"/>
          <c:showCatName val="0"/>
          <c:showSerName val="0"/>
          <c:showPercent val="0"/>
          <c:showBubbleSize val="0"/>
        </c:dLbls>
        <c:gapWidth val="219"/>
        <c:overlap val="-27"/>
        <c:axId val="1063630080"/>
        <c:axId val="1063626720"/>
        <c:extLst>
          <c:ext xmlns:c15="http://schemas.microsoft.com/office/drawing/2012/chart" uri="{02D57815-91ED-43cb-92C2-25804820EDAC}">
            <c15:filteredBarSeries>
              <c15:ser>
                <c:idx val="3"/>
                <c:order val="3"/>
                <c:tx>
                  <c:strRef>
                    <c:extLst>
                      <c:ext uri="{02D57815-91ED-43cb-92C2-25804820EDAC}">
                        <c15:formulaRef>
                          <c15:sqref>Sheet1!$C$29</c15:sqref>
                        </c15:formulaRef>
                      </c:ext>
                    </c:extLst>
                    <c:strCache>
                      <c:ptCount val="1"/>
                      <c:pt idx="0">
                        <c:v>nu știe</c:v>
                      </c:pt>
                    </c:strCache>
                  </c:strRef>
                </c:tx>
                <c:spPr>
                  <a:solidFill>
                    <a:schemeClr val="accent4"/>
                  </a:solidFill>
                  <a:ln>
                    <a:noFill/>
                  </a:ln>
                  <a:effectLst/>
                </c:spPr>
                <c:invertIfNegative val="0"/>
                <c:cat>
                  <c:strRef>
                    <c:extLst>
                      <c:ext uri="{02D57815-91ED-43cb-92C2-25804820EDAC}">
                        <c15:formulaRef>
                          <c15:sqref>Sheet1!$D$25:$E$25</c15:sqref>
                        </c15:formulaRef>
                      </c:ext>
                    </c:extLst>
                    <c:strCache>
                      <c:ptCount val="2"/>
                      <c:pt idx="0">
                        <c:v>UE27</c:v>
                      </c:pt>
                      <c:pt idx="1">
                        <c:v>RO</c:v>
                      </c:pt>
                    </c:strCache>
                  </c:strRef>
                </c:cat>
                <c:val>
                  <c:numRef>
                    <c:extLst>
                      <c:ext uri="{02D57815-91ED-43cb-92C2-25804820EDAC}">
                        <c15:formulaRef>
                          <c15:sqref>Sheet1!$D$29:$E$29</c15:sqref>
                        </c15:formulaRef>
                      </c:ext>
                    </c:extLst>
                    <c:numCache>
                      <c:formatCode>General</c:formatCode>
                      <c:ptCount val="2"/>
                      <c:pt idx="0">
                        <c:v>0</c:v>
                      </c:pt>
                      <c:pt idx="1">
                        <c:v>0</c:v>
                      </c:pt>
                    </c:numCache>
                  </c:numRef>
                </c:val>
                <c:extLst>
                  <c:ext xmlns:c16="http://schemas.microsoft.com/office/drawing/2014/chart" uri="{C3380CC4-5D6E-409C-BE32-E72D297353CC}">
                    <c16:uniqueId val="{00000003-52B2-4BBD-B088-131A9B6BF83F}"/>
                  </c:ext>
                </c:extLst>
              </c15:ser>
            </c15:filteredBarSeries>
          </c:ext>
        </c:extLst>
      </c:barChart>
      <c:catAx>
        <c:axId val="10636300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Times New Roman" panose="02020603050405020304" pitchFamily="18" charset="0"/>
              </a:defRPr>
            </a:pPr>
            <a:endParaRPr lang="ro-RO"/>
          </a:p>
        </c:txPr>
        <c:crossAx val="1063626720"/>
        <c:crosses val="autoZero"/>
        <c:auto val="1"/>
        <c:lblAlgn val="ctr"/>
        <c:lblOffset val="100"/>
        <c:noMultiLvlLbl val="0"/>
      </c:catAx>
      <c:valAx>
        <c:axId val="106362672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o-RO"/>
          </a:p>
        </c:txPr>
        <c:crossAx val="106363008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Times New Roman" panose="02020603050405020304" pitchFamily="18" charset="0"/>
            </a:defRPr>
          </a:pPr>
          <a:endParaRPr lang="ro-RO"/>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o-RO"/>
    </a:p>
  </c:txPr>
  <c:externalData r:id="rId4">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a:t>
            </a:r>
            <a:endParaRPr lang="ro-RO"/>
          </a:p>
        </c:rich>
      </c:tx>
      <c:overlay val="1"/>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o-RO"/>
        </a:p>
      </c:txPr>
    </c:title>
    <c:autoTitleDeleted val="0"/>
    <c:plotArea>
      <c:layout/>
      <c:barChart>
        <c:barDir val="col"/>
        <c:grouping val="clustered"/>
        <c:varyColors val="0"/>
        <c:ser>
          <c:idx val="0"/>
          <c:order val="0"/>
          <c:tx>
            <c:strRef>
              <c:f>Sheet1!$D$1</c:f>
              <c:strCache>
                <c:ptCount val="1"/>
                <c:pt idx="0">
                  <c:v>UE27</c:v>
                </c:pt>
              </c:strCache>
            </c:strRef>
          </c:tx>
          <c:spPr>
            <a:solidFill>
              <a:schemeClr val="accent1">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mn-lt"/>
                    <a:ea typeface="+mn-ea"/>
                    <a:cs typeface="+mn-cs"/>
                  </a:defRPr>
                </a:pPr>
                <a:endParaRPr lang="ro-R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Sheet1!$C$2:$C$3</c:f>
              <c:strCache>
                <c:ptCount val="2"/>
                <c:pt idx="0">
                  <c:v>masculin</c:v>
                </c:pt>
                <c:pt idx="1">
                  <c:v>feminin</c:v>
                </c:pt>
              </c:strCache>
            </c:strRef>
          </c:cat>
          <c:val>
            <c:numRef>
              <c:f>Sheet1!$D$2:$D$3</c:f>
              <c:numCache>
                <c:formatCode>General</c:formatCode>
                <c:ptCount val="2"/>
                <c:pt idx="0">
                  <c:v>28</c:v>
                </c:pt>
                <c:pt idx="1">
                  <c:v>21</c:v>
                </c:pt>
              </c:numCache>
            </c:numRef>
          </c:val>
          <c:extLst>
            <c:ext xmlns:c16="http://schemas.microsoft.com/office/drawing/2014/chart" uri="{C3380CC4-5D6E-409C-BE32-E72D297353CC}">
              <c16:uniqueId val="{00000000-7858-4BE1-888C-30032415A51D}"/>
            </c:ext>
          </c:extLst>
        </c:ser>
        <c:ser>
          <c:idx val="1"/>
          <c:order val="1"/>
          <c:tx>
            <c:strRef>
              <c:f>Sheet1!$E$1</c:f>
              <c:strCache>
                <c:ptCount val="1"/>
                <c:pt idx="0">
                  <c:v>RO</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mn-lt"/>
                    <a:ea typeface="+mn-ea"/>
                    <a:cs typeface="+mn-cs"/>
                  </a:defRPr>
                </a:pPr>
                <a:endParaRPr lang="ro-R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Sheet1!$C$2:$C$3</c:f>
              <c:strCache>
                <c:ptCount val="2"/>
                <c:pt idx="0">
                  <c:v>masculin</c:v>
                </c:pt>
                <c:pt idx="1">
                  <c:v>feminin</c:v>
                </c:pt>
              </c:strCache>
            </c:strRef>
          </c:cat>
          <c:val>
            <c:numRef>
              <c:f>Sheet1!$E$2:$E$3</c:f>
              <c:numCache>
                <c:formatCode>General</c:formatCode>
                <c:ptCount val="2"/>
                <c:pt idx="0">
                  <c:v>39</c:v>
                </c:pt>
                <c:pt idx="1">
                  <c:v>29</c:v>
                </c:pt>
              </c:numCache>
            </c:numRef>
          </c:val>
          <c:extLst>
            <c:ext xmlns:c16="http://schemas.microsoft.com/office/drawing/2014/chart" uri="{C3380CC4-5D6E-409C-BE32-E72D297353CC}">
              <c16:uniqueId val="{00000001-7858-4BE1-888C-30032415A51D}"/>
            </c:ext>
          </c:extLst>
        </c:ser>
        <c:dLbls>
          <c:showLegendKey val="0"/>
          <c:showVal val="0"/>
          <c:showCatName val="0"/>
          <c:showSerName val="0"/>
          <c:showPercent val="0"/>
          <c:showBubbleSize val="0"/>
        </c:dLbls>
        <c:gapWidth val="219"/>
        <c:overlap val="-27"/>
        <c:axId val="962628912"/>
        <c:axId val="962631312"/>
      </c:barChart>
      <c:catAx>
        <c:axId val="9626289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Times New Roman" panose="02020603050405020304" pitchFamily="18" charset="0"/>
              </a:defRPr>
            </a:pPr>
            <a:endParaRPr lang="ro-RO"/>
          </a:p>
        </c:txPr>
        <c:crossAx val="962631312"/>
        <c:crosses val="autoZero"/>
        <c:auto val="1"/>
        <c:lblAlgn val="ctr"/>
        <c:lblOffset val="100"/>
        <c:noMultiLvlLbl val="0"/>
      </c:catAx>
      <c:valAx>
        <c:axId val="96263131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o-RO"/>
          </a:p>
        </c:txPr>
        <c:crossAx val="96262891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Times New Roman" panose="02020603050405020304" pitchFamily="18" charset="0"/>
            </a:defRPr>
          </a:pPr>
          <a:endParaRPr lang="ro-RO"/>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o-RO"/>
    </a:p>
  </c:txPr>
  <c:externalData r:id="rId4">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a:t>
            </a:r>
            <a:endParaRPr lang="ro-RO"/>
          </a:p>
        </c:rich>
      </c:tx>
      <c:layout>
        <c:manualLayout>
          <c:xMode val="edge"/>
          <c:yMode val="edge"/>
          <c:x val="0.52202866593164277"/>
          <c:y val="4.7044986768597474E-2"/>
        </c:manualLayout>
      </c:layout>
      <c:overlay val="1"/>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o-RO"/>
        </a:p>
      </c:txPr>
    </c:title>
    <c:autoTitleDeleted val="0"/>
    <c:plotArea>
      <c:layout/>
      <c:barChart>
        <c:barDir val="col"/>
        <c:grouping val="clustered"/>
        <c:varyColors val="0"/>
        <c:ser>
          <c:idx val="0"/>
          <c:order val="0"/>
          <c:tx>
            <c:strRef>
              <c:f>Sheet1!$D$1</c:f>
              <c:strCache>
                <c:ptCount val="1"/>
                <c:pt idx="0">
                  <c:v>UE27</c:v>
                </c:pt>
              </c:strCache>
            </c:strRef>
          </c:tx>
          <c:spPr>
            <a:solidFill>
              <a:schemeClr val="accent1">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mn-lt"/>
                    <a:ea typeface="+mn-ea"/>
                    <a:cs typeface="+mn-cs"/>
                  </a:defRPr>
                </a:pPr>
                <a:endParaRPr lang="ro-R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Sheet1!$C$4:$C$7</c:f>
              <c:strCache>
                <c:ptCount val="4"/>
                <c:pt idx="0">
                  <c:v>15-24</c:v>
                </c:pt>
                <c:pt idx="1">
                  <c:v>25-39</c:v>
                </c:pt>
                <c:pt idx="2">
                  <c:v>40-54</c:v>
                </c:pt>
                <c:pt idx="3">
                  <c:v>55+</c:v>
                </c:pt>
              </c:strCache>
            </c:strRef>
          </c:cat>
          <c:val>
            <c:numRef>
              <c:f>Sheet1!$D$4:$D$7</c:f>
              <c:numCache>
                <c:formatCode>General</c:formatCode>
                <c:ptCount val="4"/>
                <c:pt idx="0">
                  <c:v>22</c:v>
                </c:pt>
                <c:pt idx="1">
                  <c:v>32</c:v>
                </c:pt>
                <c:pt idx="2">
                  <c:v>28</c:v>
                </c:pt>
                <c:pt idx="3">
                  <c:v>19</c:v>
                </c:pt>
              </c:numCache>
            </c:numRef>
          </c:val>
          <c:extLst>
            <c:ext xmlns:c16="http://schemas.microsoft.com/office/drawing/2014/chart" uri="{C3380CC4-5D6E-409C-BE32-E72D297353CC}">
              <c16:uniqueId val="{00000000-7C69-4B57-9669-84165A47EB54}"/>
            </c:ext>
          </c:extLst>
        </c:ser>
        <c:ser>
          <c:idx val="1"/>
          <c:order val="1"/>
          <c:tx>
            <c:strRef>
              <c:f>Sheet1!$E$1</c:f>
              <c:strCache>
                <c:ptCount val="1"/>
                <c:pt idx="0">
                  <c:v>RO</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mn-lt"/>
                    <a:ea typeface="+mn-ea"/>
                    <a:cs typeface="+mn-cs"/>
                  </a:defRPr>
                </a:pPr>
                <a:endParaRPr lang="ro-R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Sheet1!$C$4:$C$7</c:f>
              <c:strCache>
                <c:ptCount val="4"/>
                <c:pt idx="0">
                  <c:v>15-24</c:v>
                </c:pt>
                <c:pt idx="1">
                  <c:v>25-39</c:v>
                </c:pt>
                <c:pt idx="2">
                  <c:v>40-54</c:v>
                </c:pt>
                <c:pt idx="3">
                  <c:v>55+</c:v>
                </c:pt>
              </c:strCache>
            </c:strRef>
          </c:cat>
          <c:val>
            <c:numRef>
              <c:f>Sheet1!$E$4:$E$7</c:f>
              <c:numCache>
                <c:formatCode>General</c:formatCode>
                <c:ptCount val="4"/>
                <c:pt idx="0">
                  <c:v>28</c:v>
                </c:pt>
                <c:pt idx="1">
                  <c:v>46</c:v>
                </c:pt>
                <c:pt idx="2">
                  <c:v>42</c:v>
                </c:pt>
                <c:pt idx="3">
                  <c:v>22</c:v>
                </c:pt>
              </c:numCache>
            </c:numRef>
          </c:val>
          <c:extLst>
            <c:ext xmlns:c16="http://schemas.microsoft.com/office/drawing/2014/chart" uri="{C3380CC4-5D6E-409C-BE32-E72D297353CC}">
              <c16:uniqueId val="{00000001-7C69-4B57-9669-84165A47EB54}"/>
            </c:ext>
          </c:extLst>
        </c:ser>
        <c:dLbls>
          <c:showLegendKey val="0"/>
          <c:showVal val="0"/>
          <c:showCatName val="0"/>
          <c:showSerName val="0"/>
          <c:showPercent val="0"/>
          <c:showBubbleSize val="0"/>
        </c:dLbls>
        <c:gapWidth val="219"/>
        <c:overlap val="-27"/>
        <c:axId val="964311600"/>
        <c:axId val="678829983"/>
      </c:barChart>
      <c:catAx>
        <c:axId val="9643116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Times New Roman" panose="02020603050405020304" pitchFamily="18" charset="0"/>
              </a:defRPr>
            </a:pPr>
            <a:endParaRPr lang="ro-RO"/>
          </a:p>
        </c:txPr>
        <c:crossAx val="678829983"/>
        <c:crosses val="autoZero"/>
        <c:auto val="1"/>
        <c:lblAlgn val="ctr"/>
        <c:lblOffset val="100"/>
        <c:noMultiLvlLbl val="0"/>
      </c:catAx>
      <c:valAx>
        <c:axId val="67882998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o-RO"/>
          </a:p>
        </c:txPr>
        <c:crossAx val="96431160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Times New Roman" panose="02020603050405020304" pitchFamily="18" charset="0"/>
            </a:defRPr>
          </a:pPr>
          <a:endParaRPr lang="ro-RO"/>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o-RO"/>
    </a:p>
  </c:txPr>
  <c:externalData r:id="rId4">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a:t>
            </a:r>
            <a:endParaRPr lang="ro-RO"/>
          </a:p>
        </c:rich>
      </c:tx>
      <c:overlay val="1"/>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o-RO"/>
        </a:p>
      </c:txPr>
    </c:title>
    <c:autoTitleDeleted val="0"/>
    <c:plotArea>
      <c:layout/>
      <c:barChart>
        <c:barDir val="col"/>
        <c:grouping val="clustered"/>
        <c:varyColors val="0"/>
        <c:ser>
          <c:idx val="0"/>
          <c:order val="0"/>
          <c:tx>
            <c:strRef>
              <c:f>Sheet1!$C$9</c:f>
              <c:strCache>
                <c:ptCount val="1"/>
                <c:pt idx="0">
                  <c:v>fumător activ</c:v>
                </c:pt>
              </c:strCache>
            </c:strRef>
          </c:tx>
          <c:spPr>
            <a:solidFill>
              <a:srgbClr val="FF0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mn-lt"/>
                    <a:ea typeface="+mn-ea"/>
                    <a:cs typeface="+mn-cs"/>
                  </a:defRPr>
                </a:pPr>
                <a:endParaRPr lang="ro-R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Sheet1!$D$8:$E$8</c:f>
              <c:strCache>
                <c:ptCount val="2"/>
                <c:pt idx="0">
                  <c:v>UE27</c:v>
                </c:pt>
                <c:pt idx="1">
                  <c:v>RO</c:v>
                </c:pt>
              </c:strCache>
            </c:strRef>
          </c:cat>
          <c:val>
            <c:numRef>
              <c:f>Sheet1!$D$9:$E$9</c:f>
              <c:numCache>
                <c:formatCode>General</c:formatCode>
                <c:ptCount val="2"/>
                <c:pt idx="0">
                  <c:v>3</c:v>
                </c:pt>
                <c:pt idx="1">
                  <c:v>1</c:v>
                </c:pt>
              </c:numCache>
            </c:numRef>
          </c:val>
          <c:extLst>
            <c:ext xmlns:c16="http://schemas.microsoft.com/office/drawing/2014/chart" uri="{C3380CC4-5D6E-409C-BE32-E72D297353CC}">
              <c16:uniqueId val="{00000000-7F51-4651-A369-F6F046548864}"/>
            </c:ext>
          </c:extLst>
        </c:ser>
        <c:ser>
          <c:idx val="1"/>
          <c:order val="1"/>
          <c:tx>
            <c:strRef>
              <c:f>Sheet1!$C$10</c:f>
              <c:strCache>
                <c:ptCount val="1"/>
                <c:pt idx="0">
                  <c:v>s-a lăsat</c:v>
                </c:pt>
              </c:strCache>
            </c:strRef>
          </c:tx>
          <c:spPr>
            <a:solidFill>
              <a:schemeClr val="tx2">
                <a:lumMod val="20000"/>
                <a:lumOff val="8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mn-lt"/>
                    <a:ea typeface="+mn-ea"/>
                    <a:cs typeface="+mn-cs"/>
                  </a:defRPr>
                </a:pPr>
                <a:endParaRPr lang="ro-R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Sheet1!$D$8:$E$8</c:f>
              <c:strCache>
                <c:ptCount val="2"/>
                <c:pt idx="0">
                  <c:v>UE27</c:v>
                </c:pt>
                <c:pt idx="1">
                  <c:v>RO</c:v>
                </c:pt>
              </c:strCache>
            </c:strRef>
          </c:cat>
          <c:val>
            <c:numRef>
              <c:f>Sheet1!$D$10:$E$10</c:f>
              <c:numCache>
                <c:formatCode>General</c:formatCode>
                <c:ptCount val="2"/>
                <c:pt idx="0">
                  <c:v>3</c:v>
                </c:pt>
                <c:pt idx="1">
                  <c:v>1</c:v>
                </c:pt>
              </c:numCache>
            </c:numRef>
          </c:val>
          <c:extLst>
            <c:ext xmlns:c16="http://schemas.microsoft.com/office/drawing/2014/chart" uri="{C3380CC4-5D6E-409C-BE32-E72D297353CC}">
              <c16:uniqueId val="{00000001-7F51-4651-A369-F6F046548864}"/>
            </c:ext>
          </c:extLst>
        </c:ser>
        <c:ser>
          <c:idx val="2"/>
          <c:order val="2"/>
          <c:tx>
            <c:strRef>
              <c:f>Sheet1!$C$11</c:f>
              <c:strCache>
                <c:ptCount val="1"/>
                <c:pt idx="0">
                  <c:v>a încercat de 1-2 ori</c:v>
                </c:pt>
              </c:strCache>
            </c:strRef>
          </c:tx>
          <c:spPr>
            <a:solidFill>
              <a:srgbClr val="C00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mn-lt"/>
                    <a:ea typeface="+mn-ea"/>
                    <a:cs typeface="+mn-cs"/>
                  </a:defRPr>
                </a:pPr>
                <a:endParaRPr lang="ro-R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Sheet1!$D$8:$E$8</c:f>
              <c:strCache>
                <c:ptCount val="2"/>
                <c:pt idx="0">
                  <c:v>UE27</c:v>
                </c:pt>
                <c:pt idx="1">
                  <c:v>RO</c:v>
                </c:pt>
              </c:strCache>
            </c:strRef>
          </c:cat>
          <c:val>
            <c:numRef>
              <c:f>Sheet1!$D$11:$E$11</c:f>
              <c:numCache>
                <c:formatCode>General</c:formatCode>
                <c:ptCount val="2"/>
                <c:pt idx="0">
                  <c:v>8</c:v>
                </c:pt>
                <c:pt idx="1">
                  <c:v>2</c:v>
                </c:pt>
              </c:numCache>
            </c:numRef>
          </c:val>
          <c:extLst>
            <c:ext xmlns:c16="http://schemas.microsoft.com/office/drawing/2014/chart" uri="{C3380CC4-5D6E-409C-BE32-E72D297353CC}">
              <c16:uniqueId val="{00000002-7F51-4651-A369-F6F046548864}"/>
            </c:ext>
          </c:extLst>
        </c:ser>
        <c:ser>
          <c:idx val="3"/>
          <c:order val="3"/>
          <c:tx>
            <c:strRef>
              <c:f>Sheet1!$C$12</c:f>
              <c:strCache>
                <c:ptCount val="1"/>
                <c:pt idx="0">
                  <c:v>nu a încercat niciodată</c:v>
                </c:pt>
              </c:strCache>
            </c:strRef>
          </c:tx>
          <c:spPr>
            <a:solidFill>
              <a:srgbClr val="00206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mn-lt"/>
                    <a:ea typeface="+mn-ea"/>
                    <a:cs typeface="+mn-cs"/>
                  </a:defRPr>
                </a:pPr>
                <a:endParaRPr lang="ro-R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Sheet1!$D$8:$E$8</c:f>
              <c:strCache>
                <c:ptCount val="2"/>
                <c:pt idx="0">
                  <c:v>UE27</c:v>
                </c:pt>
                <c:pt idx="1">
                  <c:v>RO</c:v>
                </c:pt>
              </c:strCache>
            </c:strRef>
          </c:cat>
          <c:val>
            <c:numRef>
              <c:f>Sheet1!$D$12:$E$12</c:f>
              <c:numCache>
                <c:formatCode>General</c:formatCode>
                <c:ptCount val="2"/>
                <c:pt idx="0">
                  <c:v>85</c:v>
                </c:pt>
                <c:pt idx="1">
                  <c:v>93</c:v>
                </c:pt>
              </c:numCache>
            </c:numRef>
          </c:val>
          <c:extLst>
            <c:ext xmlns:c16="http://schemas.microsoft.com/office/drawing/2014/chart" uri="{C3380CC4-5D6E-409C-BE32-E72D297353CC}">
              <c16:uniqueId val="{00000003-7F51-4651-A369-F6F046548864}"/>
            </c:ext>
          </c:extLst>
        </c:ser>
        <c:ser>
          <c:idx val="4"/>
          <c:order val="4"/>
          <c:tx>
            <c:strRef>
              <c:f>Sheet1!$C$13</c:f>
              <c:strCache>
                <c:ptCount val="1"/>
                <c:pt idx="0">
                  <c:v>nu știe</c:v>
                </c:pt>
              </c:strCache>
            </c:strRef>
          </c:tx>
          <c:spPr>
            <a:solidFill>
              <a:schemeClr val="bg1">
                <a:lumMod val="5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mn-lt"/>
                    <a:ea typeface="+mn-ea"/>
                    <a:cs typeface="+mn-cs"/>
                  </a:defRPr>
                </a:pPr>
                <a:endParaRPr lang="ro-R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Sheet1!$D$8:$E$8</c:f>
              <c:strCache>
                <c:ptCount val="2"/>
                <c:pt idx="0">
                  <c:v>UE27</c:v>
                </c:pt>
                <c:pt idx="1">
                  <c:v>RO</c:v>
                </c:pt>
              </c:strCache>
            </c:strRef>
          </c:cat>
          <c:val>
            <c:numRef>
              <c:f>Sheet1!$D$13:$E$13</c:f>
              <c:numCache>
                <c:formatCode>General</c:formatCode>
                <c:ptCount val="2"/>
                <c:pt idx="0">
                  <c:v>1</c:v>
                </c:pt>
                <c:pt idx="1">
                  <c:v>3</c:v>
                </c:pt>
              </c:numCache>
            </c:numRef>
          </c:val>
          <c:extLst>
            <c:ext xmlns:c16="http://schemas.microsoft.com/office/drawing/2014/chart" uri="{C3380CC4-5D6E-409C-BE32-E72D297353CC}">
              <c16:uniqueId val="{00000004-7F51-4651-A369-F6F046548864}"/>
            </c:ext>
          </c:extLst>
        </c:ser>
        <c:dLbls>
          <c:showLegendKey val="0"/>
          <c:showVal val="0"/>
          <c:showCatName val="0"/>
          <c:showSerName val="0"/>
          <c:showPercent val="0"/>
          <c:showBubbleSize val="0"/>
        </c:dLbls>
        <c:gapWidth val="219"/>
        <c:overlap val="-27"/>
        <c:axId val="1063630080"/>
        <c:axId val="1063626720"/>
      </c:barChart>
      <c:catAx>
        <c:axId val="10636300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endParaRPr lang="ro-RO"/>
          </a:p>
        </c:txPr>
        <c:crossAx val="1063626720"/>
        <c:crosses val="autoZero"/>
        <c:auto val="1"/>
        <c:lblAlgn val="ctr"/>
        <c:lblOffset val="100"/>
        <c:noMultiLvlLbl val="0"/>
      </c:catAx>
      <c:valAx>
        <c:axId val="106362672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o-RO"/>
          </a:p>
        </c:txPr>
        <c:crossAx val="106363008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Times New Roman" panose="02020603050405020304" pitchFamily="18" charset="0"/>
            </a:defRPr>
          </a:pPr>
          <a:endParaRPr lang="ro-RO"/>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o-RO"/>
    </a:p>
  </c:txPr>
  <c:externalData r:id="rId4">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a:t>
            </a:r>
            <a:endParaRPr lang="ro-RO"/>
          </a:p>
        </c:rich>
      </c:tx>
      <c:overlay val="1"/>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o-RO"/>
        </a:p>
      </c:txPr>
    </c:title>
    <c:autoTitleDeleted val="0"/>
    <c:plotArea>
      <c:layout/>
      <c:barChart>
        <c:barDir val="col"/>
        <c:grouping val="clustered"/>
        <c:varyColors val="0"/>
        <c:ser>
          <c:idx val="0"/>
          <c:order val="0"/>
          <c:tx>
            <c:strRef>
              <c:f>Sheet1!$C$15</c:f>
              <c:strCache>
                <c:ptCount val="1"/>
                <c:pt idx="0">
                  <c:v>fumător activ</c:v>
                </c:pt>
              </c:strCache>
            </c:strRef>
          </c:tx>
          <c:spPr>
            <a:solidFill>
              <a:srgbClr val="FF0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mn-lt"/>
                    <a:ea typeface="+mn-ea"/>
                    <a:cs typeface="+mn-cs"/>
                  </a:defRPr>
                </a:pPr>
                <a:endParaRPr lang="ro-R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Sheet1!$D$14:$E$14</c:f>
              <c:strCache>
                <c:ptCount val="2"/>
                <c:pt idx="0">
                  <c:v>UE27</c:v>
                </c:pt>
                <c:pt idx="1">
                  <c:v>RO</c:v>
                </c:pt>
              </c:strCache>
            </c:strRef>
          </c:cat>
          <c:val>
            <c:numRef>
              <c:f>Sheet1!$D$15:$E$15</c:f>
              <c:numCache>
                <c:formatCode>General</c:formatCode>
                <c:ptCount val="2"/>
                <c:pt idx="0">
                  <c:v>2</c:v>
                </c:pt>
                <c:pt idx="1">
                  <c:v>2</c:v>
                </c:pt>
              </c:numCache>
            </c:numRef>
          </c:val>
          <c:extLst>
            <c:ext xmlns:c16="http://schemas.microsoft.com/office/drawing/2014/chart" uri="{C3380CC4-5D6E-409C-BE32-E72D297353CC}">
              <c16:uniqueId val="{00000000-F097-4FE6-A29B-0FC48CB978B2}"/>
            </c:ext>
          </c:extLst>
        </c:ser>
        <c:ser>
          <c:idx val="1"/>
          <c:order val="1"/>
          <c:tx>
            <c:strRef>
              <c:f>Sheet1!$C$16</c:f>
              <c:strCache>
                <c:ptCount val="1"/>
                <c:pt idx="0">
                  <c:v>s-a lăsat</c:v>
                </c:pt>
              </c:strCache>
            </c:strRef>
          </c:tx>
          <c:spPr>
            <a:solidFill>
              <a:schemeClr val="accent1">
                <a:lumMod val="20000"/>
                <a:lumOff val="8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mn-lt"/>
                    <a:ea typeface="+mn-ea"/>
                    <a:cs typeface="+mn-cs"/>
                  </a:defRPr>
                </a:pPr>
                <a:endParaRPr lang="ro-R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Sheet1!$D$14:$E$14</c:f>
              <c:strCache>
                <c:ptCount val="2"/>
                <c:pt idx="0">
                  <c:v>UE27</c:v>
                </c:pt>
                <c:pt idx="1">
                  <c:v>RO</c:v>
                </c:pt>
              </c:strCache>
            </c:strRef>
          </c:cat>
          <c:val>
            <c:numRef>
              <c:f>Sheet1!$D$16:$E$16</c:f>
              <c:numCache>
                <c:formatCode>General</c:formatCode>
                <c:ptCount val="2"/>
                <c:pt idx="0">
                  <c:v>1</c:v>
                </c:pt>
                <c:pt idx="1">
                  <c:v>1</c:v>
                </c:pt>
              </c:numCache>
            </c:numRef>
          </c:val>
          <c:extLst>
            <c:ext xmlns:c16="http://schemas.microsoft.com/office/drawing/2014/chart" uri="{C3380CC4-5D6E-409C-BE32-E72D297353CC}">
              <c16:uniqueId val="{00000001-F097-4FE6-A29B-0FC48CB978B2}"/>
            </c:ext>
          </c:extLst>
        </c:ser>
        <c:ser>
          <c:idx val="2"/>
          <c:order val="2"/>
          <c:tx>
            <c:strRef>
              <c:f>Sheet1!$C$17</c:f>
              <c:strCache>
                <c:ptCount val="1"/>
                <c:pt idx="0">
                  <c:v>a încercat de 1-2 ori</c:v>
                </c:pt>
              </c:strCache>
            </c:strRef>
          </c:tx>
          <c:spPr>
            <a:solidFill>
              <a:srgbClr val="C00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mn-lt"/>
                    <a:ea typeface="+mn-ea"/>
                    <a:cs typeface="+mn-cs"/>
                  </a:defRPr>
                </a:pPr>
                <a:endParaRPr lang="ro-R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Sheet1!$D$14:$E$14</c:f>
              <c:strCache>
                <c:ptCount val="2"/>
                <c:pt idx="0">
                  <c:v>UE27</c:v>
                </c:pt>
                <c:pt idx="1">
                  <c:v>RO</c:v>
                </c:pt>
              </c:strCache>
            </c:strRef>
          </c:cat>
          <c:val>
            <c:numRef>
              <c:f>Sheet1!$D$17:$E$17</c:f>
              <c:numCache>
                <c:formatCode>General</c:formatCode>
                <c:ptCount val="2"/>
                <c:pt idx="0">
                  <c:v>4</c:v>
                </c:pt>
                <c:pt idx="1">
                  <c:v>3</c:v>
                </c:pt>
              </c:numCache>
            </c:numRef>
          </c:val>
          <c:extLst>
            <c:ext xmlns:c16="http://schemas.microsoft.com/office/drawing/2014/chart" uri="{C3380CC4-5D6E-409C-BE32-E72D297353CC}">
              <c16:uniqueId val="{00000002-F097-4FE6-A29B-0FC48CB978B2}"/>
            </c:ext>
          </c:extLst>
        </c:ser>
        <c:ser>
          <c:idx val="3"/>
          <c:order val="3"/>
          <c:tx>
            <c:strRef>
              <c:f>Sheet1!$C$18</c:f>
              <c:strCache>
                <c:ptCount val="1"/>
                <c:pt idx="0">
                  <c:v>nu a încercat niciodată</c:v>
                </c:pt>
              </c:strCache>
            </c:strRef>
          </c:tx>
          <c:spPr>
            <a:solidFill>
              <a:srgbClr val="002060"/>
            </a:solidFill>
            <a:ln>
              <a:noFill/>
            </a:ln>
            <a:effectLst/>
          </c:spPr>
          <c:invertIfNegative val="0"/>
          <c:dLbls>
            <c:dLbl>
              <c:idx val="0"/>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F097-4FE6-A29B-0FC48CB978B2}"/>
                </c:ext>
              </c:extLst>
            </c:dLbl>
            <c:dLbl>
              <c:idx val="1"/>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F097-4FE6-A29B-0FC48CB978B2}"/>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mn-lt"/>
                    <a:ea typeface="+mn-ea"/>
                    <a:cs typeface="+mn-cs"/>
                  </a:defRPr>
                </a:pPr>
                <a:endParaRPr lang="ro-RO"/>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Sheet1!$D$14:$E$14</c:f>
              <c:strCache>
                <c:ptCount val="2"/>
                <c:pt idx="0">
                  <c:v>UE27</c:v>
                </c:pt>
                <c:pt idx="1">
                  <c:v>RO</c:v>
                </c:pt>
              </c:strCache>
            </c:strRef>
          </c:cat>
          <c:val>
            <c:numRef>
              <c:f>Sheet1!$D$18:$E$18</c:f>
              <c:numCache>
                <c:formatCode>General</c:formatCode>
                <c:ptCount val="2"/>
                <c:pt idx="0">
                  <c:v>92</c:v>
                </c:pt>
                <c:pt idx="1">
                  <c:v>91</c:v>
                </c:pt>
              </c:numCache>
            </c:numRef>
          </c:val>
          <c:extLst>
            <c:ext xmlns:c16="http://schemas.microsoft.com/office/drawing/2014/chart" uri="{C3380CC4-5D6E-409C-BE32-E72D297353CC}">
              <c16:uniqueId val="{00000005-F097-4FE6-A29B-0FC48CB978B2}"/>
            </c:ext>
          </c:extLst>
        </c:ser>
        <c:ser>
          <c:idx val="4"/>
          <c:order val="4"/>
          <c:tx>
            <c:strRef>
              <c:f>Sheet1!$C$19</c:f>
              <c:strCache>
                <c:ptCount val="1"/>
                <c:pt idx="0">
                  <c:v>nu știe</c:v>
                </c:pt>
              </c:strCache>
            </c:strRef>
          </c:tx>
          <c:spPr>
            <a:solidFill>
              <a:schemeClr val="bg1">
                <a:lumMod val="5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mn-lt"/>
                    <a:ea typeface="+mn-ea"/>
                    <a:cs typeface="+mn-cs"/>
                  </a:defRPr>
                </a:pPr>
                <a:endParaRPr lang="ro-R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Sheet1!$D$14:$E$14</c:f>
              <c:strCache>
                <c:ptCount val="2"/>
                <c:pt idx="0">
                  <c:v>UE27</c:v>
                </c:pt>
                <c:pt idx="1">
                  <c:v>RO</c:v>
                </c:pt>
              </c:strCache>
            </c:strRef>
          </c:cat>
          <c:val>
            <c:numRef>
              <c:f>Sheet1!$D$19:$E$19</c:f>
              <c:numCache>
                <c:formatCode>General</c:formatCode>
                <c:ptCount val="2"/>
                <c:pt idx="0">
                  <c:v>1</c:v>
                </c:pt>
                <c:pt idx="1">
                  <c:v>3</c:v>
                </c:pt>
              </c:numCache>
            </c:numRef>
          </c:val>
          <c:extLst>
            <c:ext xmlns:c16="http://schemas.microsoft.com/office/drawing/2014/chart" uri="{C3380CC4-5D6E-409C-BE32-E72D297353CC}">
              <c16:uniqueId val="{00000006-F097-4FE6-A29B-0FC48CB978B2}"/>
            </c:ext>
          </c:extLst>
        </c:ser>
        <c:dLbls>
          <c:showLegendKey val="0"/>
          <c:showVal val="0"/>
          <c:showCatName val="0"/>
          <c:showSerName val="0"/>
          <c:showPercent val="0"/>
          <c:showBubbleSize val="0"/>
        </c:dLbls>
        <c:gapWidth val="219"/>
        <c:overlap val="-27"/>
        <c:axId val="1063630080"/>
        <c:axId val="1063626720"/>
      </c:barChart>
      <c:catAx>
        <c:axId val="10636300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endParaRPr lang="ro-RO"/>
          </a:p>
        </c:txPr>
        <c:crossAx val="1063626720"/>
        <c:crosses val="autoZero"/>
        <c:auto val="1"/>
        <c:lblAlgn val="ctr"/>
        <c:lblOffset val="100"/>
        <c:noMultiLvlLbl val="0"/>
      </c:catAx>
      <c:valAx>
        <c:axId val="106362672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o-RO"/>
          </a:p>
        </c:txPr>
        <c:crossAx val="106363008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Times New Roman" panose="02020603050405020304" pitchFamily="18" charset="0"/>
            </a:defRPr>
          </a:pPr>
          <a:endParaRPr lang="ro-RO"/>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o-RO"/>
    </a:p>
  </c:txPr>
  <c:externalData r:id="rId4">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o-RO"/>
              <a:t>%</a:t>
            </a:r>
          </a:p>
        </c:rich>
      </c:tx>
      <c:layout>
        <c:manualLayout>
          <c:xMode val="edge"/>
          <c:yMode val="edge"/>
          <c:x val="0.84255788313120172"/>
          <c:y val="3.5283740076448106E-2"/>
        </c:manualLayout>
      </c:layout>
      <c:overlay val="1"/>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o-RO"/>
        </a:p>
      </c:txPr>
    </c:title>
    <c:autoTitleDeleted val="0"/>
    <c:plotArea>
      <c:layout/>
      <c:barChart>
        <c:barDir val="bar"/>
        <c:grouping val="clustered"/>
        <c:varyColors val="0"/>
        <c:ser>
          <c:idx val="0"/>
          <c:order val="0"/>
          <c:tx>
            <c:strRef>
              <c:f>Sheet1!$B$4</c:f>
              <c:strCache>
                <c:ptCount val="1"/>
                <c:pt idx="0">
                  <c:v>Fete Ro</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o-R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Sheet1!$A$5:$A$7</c:f>
              <c:strCache>
                <c:ptCount val="3"/>
                <c:pt idx="0">
                  <c:v>11 ani</c:v>
                </c:pt>
                <c:pt idx="1">
                  <c:v>13 ani</c:v>
                </c:pt>
                <c:pt idx="2">
                  <c:v>15 ani</c:v>
                </c:pt>
              </c:strCache>
            </c:strRef>
          </c:cat>
          <c:val>
            <c:numRef>
              <c:f>Sheet1!$B$5:$B$7</c:f>
              <c:numCache>
                <c:formatCode>General</c:formatCode>
                <c:ptCount val="3"/>
                <c:pt idx="0">
                  <c:v>1</c:v>
                </c:pt>
                <c:pt idx="1">
                  <c:v>12</c:v>
                </c:pt>
                <c:pt idx="2">
                  <c:v>25</c:v>
                </c:pt>
              </c:numCache>
            </c:numRef>
          </c:val>
          <c:extLst>
            <c:ext xmlns:c16="http://schemas.microsoft.com/office/drawing/2014/chart" uri="{C3380CC4-5D6E-409C-BE32-E72D297353CC}">
              <c16:uniqueId val="{00000000-8A67-4EF5-A7D2-465A54E1D215}"/>
            </c:ext>
          </c:extLst>
        </c:ser>
        <c:ser>
          <c:idx val="1"/>
          <c:order val="1"/>
          <c:tx>
            <c:strRef>
              <c:f>Sheet1!$C$4</c:f>
              <c:strCache>
                <c:ptCount val="1"/>
                <c:pt idx="0">
                  <c:v>Fete HBSC</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o-R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Sheet1!$A$5:$A$7</c:f>
              <c:strCache>
                <c:ptCount val="3"/>
                <c:pt idx="0">
                  <c:v>11 ani</c:v>
                </c:pt>
                <c:pt idx="1">
                  <c:v>13 ani</c:v>
                </c:pt>
                <c:pt idx="2">
                  <c:v>15 ani</c:v>
                </c:pt>
              </c:strCache>
            </c:strRef>
          </c:cat>
          <c:val>
            <c:numRef>
              <c:f>Sheet1!$C$5:$C$7</c:f>
              <c:numCache>
                <c:formatCode>General</c:formatCode>
                <c:ptCount val="3"/>
                <c:pt idx="0">
                  <c:v>2</c:v>
                </c:pt>
                <c:pt idx="1">
                  <c:v>6</c:v>
                </c:pt>
                <c:pt idx="2">
                  <c:v>15</c:v>
                </c:pt>
              </c:numCache>
            </c:numRef>
          </c:val>
          <c:extLst>
            <c:ext xmlns:c16="http://schemas.microsoft.com/office/drawing/2014/chart" uri="{C3380CC4-5D6E-409C-BE32-E72D297353CC}">
              <c16:uniqueId val="{00000001-8A67-4EF5-A7D2-465A54E1D215}"/>
            </c:ext>
          </c:extLst>
        </c:ser>
        <c:ser>
          <c:idx val="2"/>
          <c:order val="2"/>
          <c:tx>
            <c:strRef>
              <c:f>Sheet1!$D$4</c:f>
              <c:strCache>
                <c:ptCount val="1"/>
                <c:pt idx="0">
                  <c:v>Băieți Ro</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o-R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Sheet1!$A$5:$A$7</c:f>
              <c:strCache>
                <c:ptCount val="3"/>
                <c:pt idx="0">
                  <c:v>11 ani</c:v>
                </c:pt>
                <c:pt idx="1">
                  <c:v>13 ani</c:v>
                </c:pt>
                <c:pt idx="2">
                  <c:v>15 ani</c:v>
                </c:pt>
              </c:strCache>
            </c:strRef>
          </c:cat>
          <c:val>
            <c:numRef>
              <c:f>Sheet1!$D$5:$D$7</c:f>
              <c:numCache>
                <c:formatCode>General</c:formatCode>
                <c:ptCount val="3"/>
                <c:pt idx="0">
                  <c:v>2</c:v>
                </c:pt>
                <c:pt idx="1">
                  <c:v>7</c:v>
                </c:pt>
                <c:pt idx="2">
                  <c:v>21</c:v>
                </c:pt>
              </c:numCache>
            </c:numRef>
          </c:val>
          <c:extLst>
            <c:ext xmlns:c16="http://schemas.microsoft.com/office/drawing/2014/chart" uri="{C3380CC4-5D6E-409C-BE32-E72D297353CC}">
              <c16:uniqueId val="{00000002-8A67-4EF5-A7D2-465A54E1D215}"/>
            </c:ext>
          </c:extLst>
        </c:ser>
        <c:ser>
          <c:idx val="3"/>
          <c:order val="3"/>
          <c:tx>
            <c:strRef>
              <c:f>Sheet1!$E$4</c:f>
              <c:strCache>
                <c:ptCount val="1"/>
                <c:pt idx="0">
                  <c:v>Băieți HBSC</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o-R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Sheet1!$A$5:$A$7</c:f>
              <c:strCache>
                <c:ptCount val="3"/>
                <c:pt idx="0">
                  <c:v>11 ani</c:v>
                </c:pt>
                <c:pt idx="1">
                  <c:v>13 ani</c:v>
                </c:pt>
                <c:pt idx="2">
                  <c:v>15 ani</c:v>
                </c:pt>
              </c:strCache>
            </c:strRef>
          </c:cat>
          <c:val>
            <c:numRef>
              <c:f>Sheet1!$E$5:$E$7</c:f>
              <c:numCache>
                <c:formatCode>General</c:formatCode>
                <c:ptCount val="3"/>
                <c:pt idx="0">
                  <c:v>3</c:v>
                </c:pt>
                <c:pt idx="1">
                  <c:v>6</c:v>
                </c:pt>
                <c:pt idx="2">
                  <c:v>15</c:v>
                </c:pt>
              </c:numCache>
            </c:numRef>
          </c:val>
          <c:extLst>
            <c:ext xmlns:c16="http://schemas.microsoft.com/office/drawing/2014/chart" uri="{C3380CC4-5D6E-409C-BE32-E72D297353CC}">
              <c16:uniqueId val="{00000003-8A67-4EF5-A7D2-465A54E1D215}"/>
            </c:ext>
          </c:extLst>
        </c:ser>
        <c:dLbls>
          <c:showLegendKey val="0"/>
          <c:showVal val="0"/>
          <c:showCatName val="0"/>
          <c:showSerName val="0"/>
          <c:showPercent val="0"/>
          <c:showBubbleSize val="0"/>
        </c:dLbls>
        <c:gapWidth val="219"/>
        <c:axId val="234006480"/>
        <c:axId val="357953904"/>
      </c:barChart>
      <c:catAx>
        <c:axId val="23400648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o-RO"/>
          </a:p>
        </c:txPr>
        <c:crossAx val="357953904"/>
        <c:crosses val="autoZero"/>
        <c:auto val="1"/>
        <c:lblAlgn val="ctr"/>
        <c:lblOffset val="100"/>
        <c:noMultiLvlLbl val="0"/>
      </c:catAx>
      <c:valAx>
        <c:axId val="35795390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o-RO"/>
          </a:p>
        </c:txPr>
        <c:crossAx val="23400648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o-RO"/>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o-RO"/>
    </a:p>
  </c:txPr>
  <c:externalData r:id="rId4">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o-RO"/>
              <a:t>%</a:t>
            </a:r>
          </a:p>
        </c:rich>
      </c:tx>
      <c:layout>
        <c:manualLayout>
          <c:xMode val="edge"/>
          <c:yMode val="edge"/>
          <c:x val="0.89988974641675867"/>
          <c:y val="3.5283740076448106E-2"/>
        </c:manualLayout>
      </c:layout>
      <c:overlay val="1"/>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o-RO"/>
        </a:p>
      </c:txPr>
    </c:title>
    <c:autoTitleDeleted val="0"/>
    <c:plotArea>
      <c:layout/>
      <c:barChart>
        <c:barDir val="bar"/>
        <c:grouping val="clustered"/>
        <c:varyColors val="0"/>
        <c:ser>
          <c:idx val="0"/>
          <c:order val="0"/>
          <c:tx>
            <c:strRef>
              <c:f>Sheet1!$B$4</c:f>
              <c:strCache>
                <c:ptCount val="1"/>
                <c:pt idx="0">
                  <c:v>Fete Ro</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o-R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Sheet1!$A$5:$A$7</c:f>
              <c:strCache>
                <c:ptCount val="3"/>
                <c:pt idx="0">
                  <c:v>11 ani</c:v>
                </c:pt>
                <c:pt idx="1">
                  <c:v>13 ani</c:v>
                </c:pt>
                <c:pt idx="2">
                  <c:v>15 ani</c:v>
                </c:pt>
              </c:strCache>
            </c:strRef>
          </c:cat>
          <c:val>
            <c:numRef>
              <c:f>Sheet1!$B$5:$B$7</c:f>
              <c:numCache>
                <c:formatCode>General</c:formatCode>
                <c:ptCount val="3"/>
                <c:pt idx="0">
                  <c:v>4</c:v>
                </c:pt>
                <c:pt idx="1">
                  <c:v>20</c:v>
                </c:pt>
                <c:pt idx="2">
                  <c:v>34</c:v>
                </c:pt>
              </c:numCache>
            </c:numRef>
          </c:val>
          <c:extLst>
            <c:ext xmlns:c16="http://schemas.microsoft.com/office/drawing/2014/chart" uri="{C3380CC4-5D6E-409C-BE32-E72D297353CC}">
              <c16:uniqueId val="{00000000-E140-4A15-B6C3-D76497AF681E}"/>
            </c:ext>
          </c:extLst>
        </c:ser>
        <c:ser>
          <c:idx val="1"/>
          <c:order val="1"/>
          <c:tx>
            <c:strRef>
              <c:f>Sheet1!$C$4</c:f>
              <c:strCache>
                <c:ptCount val="1"/>
                <c:pt idx="0">
                  <c:v>Fete HBSC</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o-R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Sheet1!$A$5:$A$7</c:f>
              <c:strCache>
                <c:ptCount val="3"/>
                <c:pt idx="0">
                  <c:v>11 ani</c:v>
                </c:pt>
                <c:pt idx="1">
                  <c:v>13 ani</c:v>
                </c:pt>
                <c:pt idx="2">
                  <c:v>15 ani</c:v>
                </c:pt>
              </c:strCache>
            </c:strRef>
          </c:cat>
          <c:val>
            <c:numRef>
              <c:f>Sheet1!$C$5:$C$7</c:f>
              <c:numCache>
                <c:formatCode>General</c:formatCode>
                <c:ptCount val="3"/>
                <c:pt idx="0">
                  <c:v>3</c:v>
                </c:pt>
                <c:pt idx="1">
                  <c:v>11</c:v>
                </c:pt>
                <c:pt idx="2">
                  <c:v>26</c:v>
                </c:pt>
              </c:numCache>
            </c:numRef>
          </c:val>
          <c:extLst>
            <c:ext xmlns:c16="http://schemas.microsoft.com/office/drawing/2014/chart" uri="{C3380CC4-5D6E-409C-BE32-E72D297353CC}">
              <c16:uniqueId val="{00000001-E140-4A15-B6C3-D76497AF681E}"/>
            </c:ext>
          </c:extLst>
        </c:ser>
        <c:ser>
          <c:idx val="2"/>
          <c:order val="2"/>
          <c:tx>
            <c:strRef>
              <c:f>Sheet1!$D$4</c:f>
              <c:strCache>
                <c:ptCount val="1"/>
                <c:pt idx="0">
                  <c:v>Băieți Ro</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o-R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Sheet1!$A$5:$A$7</c:f>
              <c:strCache>
                <c:ptCount val="3"/>
                <c:pt idx="0">
                  <c:v>11 ani</c:v>
                </c:pt>
                <c:pt idx="1">
                  <c:v>13 ani</c:v>
                </c:pt>
                <c:pt idx="2">
                  <c:v>15 ani</c:v>
                </c:pt>
              </c:strCache>
            </c:strRef>
          </c:cat>
          <c:val>
            <c:numRef>
              <c:f>Sheet1!$D$5:$D$7</c:f>
              <c:numCache>
                <c:formatCode>General</c:formatCode>
                <c:ptCount val="3"/>
                <c:pt idx="0">
                  <c:v>4</c:v>
                </c:pt>
                <c:pt idx="1">
                  <c:v>14</c:v>
                </c:pt>
                <c:pt idx="2">
                  <c:v>32</c:v>
                </c:pt>
              </c:numCache>
            </c:numRef>
          </c:val>
          <c:extLst>
            <c:ext xmlns:c16="http://schemas.microsoft.com/office/drawing/2014/chart" uri="{C3380CC4-5D6E-409C-BE32-E72D297353CC}">
              <c16:uniqueId val="{00000002-E140-4A15-B6C3-D76497AF681E}"/>
            </c:ext>
          </c:extLst>
        </c:ser>
        <c:ser>
          <c:idx val="3"/>
          <c:order val="3"/>
          <c:tx>
            <c:strRef>
              <c:f>Sheet1!$E$4</c:f>
              <c:strCache>
                <c:ptCount val="1"/>
                <c:pt idx="0">
                  <c:v>Băieți HBSC</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o-R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Sheet1!$A$5:$A$7</c:f>
              <c:strCache>
                <c:ptCount val="3"/>
                <c:pt idx="0">
                  <c:v>11 ani</c:v>
                </c:pt>
                <c:pt idx="1">
                  <c:v>13 ani</c:v>
                </c:pt>
                <c:pt idx="2">
                  <c:v>15 ani</c:v>
                </c:pt>
              </c:strCache>
            </c:strRef>
          </c:cat>
          <c:val>
            <c:numRef>
              <c:f>Sheet1!$E$5:$E$7</c:f>
              <c:numCache>
                <c:formatCode>General</c:formatCode>
                <c:ptCount val="3"/>
                <c:pt idx="0">
                  <c:v>5</c:v>
                </c:pt>
                <c:pt idx="1">
                  <c:v>11</c:v>
                </c:pt>
                <c:pt idx="2">
                  <c:v>24</c:v>
                </c:pt>
              </c:numCache>
            </c:numRef>
          </c:val>
          <c:extLst>
            <c:ext xmlns:c16="http://schemas.microsoft.com/office/drawing/2014/chart" uri="{C3380CC4-5D6E-409C-BE32-E72D297353CC}">
              <c16:uniqueId val="{00000003-E140-4A15-B6C3-D76497AF681E}"/>
            </c:ext>
          </c:extLst>
        </c:ser>
        <c:dLbls>
          <c:showLegendKey val="0"/>
          <c:showVal val="0"/>
          <c:showCatName val="0"/>
          <c:showSerName val="0"/>
          <c:showPercent val="0"/>
          <c:showBubbleSize val="0"/>
        </c:dLbls>
        <c:gapWidth val="219"/>
        <c:axId val="1434796656"/>
        <c:axId val="313362512"/>
      </c:barChart>
      <c:catAx>
        <c:axId val="143479665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o-RO"/>
          </a:p>
        </c:txPr>
        <c:crossAx val="313362512"/>
        <c:crosses val="autoZero"/>
        <c:auto val="1"/>
        <c:lblAlgn val="ctr"/>
        <c:lblOffset val="100"/>
        <c:noMultiLvlLbl val="0"/>
      </c:catAx>
      <c:valAx>
        <c:axId val="31336251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o-RO"/>
          </a:p>
        </c:txPr>
        <c:crossAx val="143479665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o-RO"/>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o-RO"/>
    </a:p>
  </c:txPr>
  <c:externalData r:id="rId4">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o-RO"/>
              <a:t>%</a:t>
            </a:r>
          </a:p>
        </c:rich>
      </c:tx>
      <c:overlay val="1"/>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o-RO"/>
        </a:p>
      </c:txPr>
    </c:title>
    <c:autoTitleDeleted val="0"/>
    <c:plotArea>
      <c:layout/>
      <c:barChart>
        <c:barDir val="col"/>
        <c:grouping val="clustered"/>
        <c:varyColors val="0"/>
        <c:ser>
          <c:idx val="0"/>
          <c:order val="0"/>
          <c:tx>
            <c:strRef>
              <c:f>'13'!$D$3</c:f>
              <c:strCache>
                <c:ptCount val="1"/>
                <c:pt idx="0">
                  <c:v>Fete</c:v>
                </c:pt>
              </c:strCache>
            </c:strRef>
          </c:tx>
          <c:spPr>
            <a:solidFill>
              <a:schemeClr val="accent1"/>
            </a:solidFill>
            <a:ln>
              <a:noFill/>
            </a:ln>
            <a:effectLst/>
          </c:spPr>
          <c:invertIfNegative val="0"/>
          <c:dPt>
            <c:idx val="3"/>
            <c:invertIfNegative val="0"/>
            <c:bubble3D val="0"/>
            <c:spPr>
              <a:solidFill>
                <a:schemeClr val="accent5">
                  <a:lumMod val="75000"/>
                </a:schemeClr>
              </a:solidFill>
              <a:ln>
                <a:noFill/>
              </a:ln>
              <a:effectLst/>
            </c:spPr>
            <c:extLst>
              <c:ext xmlns:c16="http://schemas.microsoft.com/office/drawing/2014/chart" uri="{C3380CC4-5D6E-409C-BE32-E72D297353CC}">
                <c16:uniqueId val="{00000001-7A5D-440B-BAB4-915596690CBB}"/>
              </c:ext>
            </c:extLst>
          </c:dPt>
          <c:dPt>
            <c:idx val="9"/>
            <c:invertIfNegative val="0"/>
            <c:bubble3D val="0"/>
            <c:extLst>
              <c:ext xmlns:c16="http://schemas.microsoft.com/office/drawing/2014/chart" uri="{C3380CC4-5D6E-409C-BE32-E72D297353CC}">
                <c16:uniqueId val="{00000002-7A5D-440B-BAB4-915596690CBB}"/>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'13'!$F$4:$F$32</c:f>
              <c:strCache>
                <c:ptCount val="29"/>
                <c:pt idx="0">
                  <c:v>Bulgaria</c:v>
                </c:pt>
                <c:pt idx="1">
                  <c:v>Ungaria</c:v>
                </c:pt>
                <c:pt idx="2">
                  <c:v>Polonia</c:v>
                </c:pt>
                <c:pt idx="3">
                  <c:v>România</c:v>
                </c:pt>
                <c:pt idx="4">
                  <c:v>Finlanda</c:v>
                </c:pt>
                <c:pt idx="5">
                  <c:v>Lituania</c:v>
                </c:pt>
                <c:pt idx="6">
                  <c:v>Croaţia</c:v>
                </c:pt>
                <c:pt idx="7">
                  <c:v>Letonia</c:v>
                </c:pt>
                <c:pt idx="8">
                  <c:v>Estonia</c:v>
                </c:pt>
                <c:pt idx="9">
                  <c:v>Italia</c:v>
                </c:pt>
                <c:pt idx="10">
                  <c:v>Slovacia</c:v>
                </c:pt>
                <c:pt idx="11">
                  <c:v>Suedia</c:v>
                </c:pt>
                <c:pt idx="12">
                  <c:v>Germania</c:v>
                </c:pt>
                <c:pt idx="13">
                  <c:v>Cehia</c:v>
                </c:pt>
                <c:pt idx="14">
                  <c:v>Franţa</c:v>
                </c:pt>
                <c:pt idx="15">
                  <c:v>Belgia (franceză)</c:v>
                </c:pt>
                <c:pt idx="16">
                  <c:v>Luxemburg</c:v>
                </c:pt>
                <c:pt idx="17">
                  <c:v>Malta</c:v>
                </c:pt>
                <c:pt idx="18">
                  <c:v>Slovenia</c:v>
                </c:pt>
                <c:pt idx="19">
                  <c:v>Austria</c:v>
                </c:pt>
                <c:pt idx="20">
                  <c:v>Grecia</c:v>
                </c:pt>
                <c:pt idx="21">
                  <c:v>Cipru</c:v>
                </c:pt>
                <c:pt idx="22">
                  <c:v>Danemarca</c:v>
                </c:pt>
                <c:pt idx="23">
                  <c:v>Spania</c:v>
                </c:pt>
                <c:pt idx="24">
                  <c:v>Olanda</c:v>
                </c:pt>
                <c:pt idx="25">
                  <c:v>Belgia (flamandă)</c:v>
                </c:pt>
                <c:pt idx="26">
                  <c:v>Portugalia</c:v>
                </c:pt>
                <c:pt idx="27">
                  <c:v>Irlanda</c:v>
                </c:pt>
                <c:pt idx="28">
                  <c:v>Media HBSC</c:v>
                </c:pt>
              </c:strCache>
            </c:strRef>
          </c:cat>
          <c:val>
            <c:numRef>
              <c:f>'13'!$D$4:$D$32</c:f>
              <c:numCache>
                <c:formatCode>General</c:formatCode>
                <c:ptCount val="29"/>
                <c:pt idx="0">
                  <c:v>15</c:v>
                </c:pt>
                <c:pt idx="1">
                  <c:v>14</c:v>
                </c:pt>
                <c:pt idx="2">
                  <c:v>10</c:v>
                </c:pt>
                <c:pt idx="3">
                  <c:v>12</c:v>
                </c:pt>
                <c:pt idx="4">
                  <c:v>6</c:v>
                </c:pt>
                <c:pt idx="5">
                  <c:v>9</c:v>
                </c:pt>
                <c:pt idx="6">
                  <c:v>8</c:v>
                </c:pt>
                <c:pt idx="7">
                  <c:v>8</c:v>
                </c:pt>
                <c:pt idx="8">
                  <c:v>8</c:v>
                </c:pt>
                <c:pt idx="9">
                  <c:v>8</c:v>
                </c:pt>
                <c:pt idx="10">
                  <c:v>6</c:v>
                </c:pt>
                <c:pt idx="11">
                  <c:v>6</c:v>
                </c:pt>
                <c:pt idx="12">
                  <c:v>5</c:v>
                </c:pt>
                <c:pt idx="13">
                  <c:v>6</c:v>
                </c:pt>
                <c:pt idx="14">
                  <c:v>4</c:v>
                </c:pt>
                <c:pt idx="15">
                  <c:v>6</c:v>
                </c:pt>
                <c:pt idx="16">
                  <c:v>6</c:v>
                </c:pt>
                <c:pt idx="17">
                  <c:v>5</c:v>
                </c:pt>
                <c:pt idx="18">
                  <c:v>4</c:v>
                </c:pt>
                <c:pt idx="19">
                  <c:v>4</c:v>
                </c:pt>
                <c:pt idx="20">
                  <c:v>4</c:v>
                </c:pt>
                <c:pt idx="21">
                  <c:v>3</c:v>
                </c:pt>
                <c:pt idx="22">
                  <c:v>3</c:v>
                </c:pt>
                <c:pt idx="23">
                  <c:v>4</c:v>
                </c:pt>
                <c:pt idx="24">
                  <c:v>3</c:v>
                </c:pt>
                <c:pt idx="25">
                  <c:v>3</c:v>
                </c:pt>
                <c:pt idx="26">
                  <c:v>2</c:v>
                </c:pt>
                <c:pt idx="27">
                  <c:v>2</c:v>
                </c:pt>
                <c:pt idx="28">
                  <c:v>6</c:v>
                </c:pt>
              </c:numCache>
            </c:numRef>
          </c:val>
          <c:extLst>
            <c:ext xmlns:c16="http://schemas.microsoft.com/office/drawing/2014/chart" uri="{C3380CC4-5D6E-409C-BE32-E72D297353CC}">
              <c16:uniqueId val="{00000003-7A5D-440B-BAB4-915596690CBB}"/>
            </c:ext>
          </c:extLst>
        </c:ser>
        <c:ser>
          <c:idx val="1"/>
          <c:order val="1"/>
          <c:tx>
            <c:strRef>
              <c:f>'13'!$E$3</c:f>
              <c:strCache>
                <c:ptCount val="1"/>
                <c:pt idx="0">
                  <c:v>Băieți</c:v>
                </c:pt>
              </c:strCache>
            </c:strRef>
          </c:tx>
          <c:spPr>
            <a:solidFill>
              <a:schemeClr val="accent2"/>
            </a:solidFill>
            <a:ln>
              <a:noFill/>
            </a:ln>
            <a:effectLst/>
          </c:spPr>
          <c:invertIfNegative val="0"/>
          <c:dPt>
            <c:idx val="3"/>
            <c:invertIfNegative val="0"/>
            <c:bubble3D val="0"/>
            <c:spPr>
              <a:solidFill>
                <a:schemeClr val="accent5">
                  <a:lumMod val="60000"/>
                  <a:lumOff val="40000"/>
                </a:schemeClr>
              </a:solidFill>
              <a:ln>
                <a:noFill/>
              </a:ln>
              <a:effectLst/>
            </c:spPr>
            <c:extLst>
              <c:ext xmlns:c16="http://schemas.microsoft.com/office/drawing/2014/chart" uri="{C3380CC4-5D6E-409C-BE32-E72D297353CC}">
                <c16:uniqueId val="{00000005-7A5D-440B-BAB4-915596690CBB}"/>
              </c:ext>
            </c:extLst>
          </c:dPt>
          <c:dPt>
            <c:idx val="9"/>
            <c:invertIfNegative val="0"/>
            <c:bubble3D val="0"/>
            <c:extLst>
              <c:ext xmlns:c16="http://schemas.microsoft.com/office/drawing/2014/chart" uri="{C3380CC4-5D6E-409C-BE32-E72D297353CC}">
                <c16:uniqueId val="{00000006-7A5D-440B-BAB4-915596690CBB}"/>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'13'!$F$4:$F$32</c:f>
              <c:strCache>
                <c:ptCount val="29"/>
                <c:pt idx="0">
                  <c:v>Bulgaria</c:v>
                </c:pt>
                <c:pt idx="1">
                  <c:v>Ungaria</c:v>
                </c:pt>
                <c:pt idx="2">
                  <c:v>Polonia</c:v>
                </c:pt>
                <c:pt idx="3">
                  <c:v>România</c:v>
                </c:pt>
                <c:pt idx="4">
                  <c:v>Finlanda</c:v>
                </c:pt>
                <c:pt idx="5">
                  <c:v>Lituania</c:v>
                </c:pt>
                <c:pt idx="6">
                  <c:v>Croaţia</c:v>
                </c:pt>
                <c:pt idx="7">
                  <c:v>Letonia</c:v>
                </c:pt>
                <c:pt idx="8">
                  <c:v>Estonia</c:v>
                </c:pt>
                <c:pt idx="9">
                  <c:v>Italia</c:v>
                </c:pt>
                <c:pt idx="10">
                  <c:v>Slovacia</c:v>
                </c:pt>
                <c:pt idx="11">
                  <c:v>Suedia</c:v>
                </c:pt>
                <c:pt idx="12">
                  <c:v>Germania</c:v>
                </c:pt>
                <c:pt idx="13">
                  <c:v>Cehia</c:v>
                </c:pt>
                <c:pt idx="14">
                  <c:v>Franţa</c:v>
                </c:pt>
                <c:pt idx="15">
                  <c:v>Belgia (franceză)</c:v>
                </c:pt>
                <c:pt idx="16">
                  <c:v>Luxemburg</c:v>
                </c:pt>
                <c:pt idx="17">
                  <c:v>Malta</c:v>
                </c:pt>
                <c:pt idx="18">
                  <c:v>Slovenia</c:v>
                </c:pt>
                <c:pt idx="19">
                  <c:v>Austria</c:v>
                </c:pt>
                <c:pt idx="20">
                  <c:v>Grecia</c:v>
                </c:pt>
                <c:pt idx="21">
                  <c:v>Cipru</c:v>
                </c:pt>
                <c:pt idx="22">
                  <c:v>Danemarca</c:v>
                </c:pt>
                <c:pt idx="23">
                  <c:v>Spania</c:v>
                </c:pt>
                <c:pt idx="24">
                  <c:v>Olanda</c:v>
                </c:pt>
                <c:pt idx="25">
                  <c:v>Belgia (flamandă)</c:v>
                </c:pt>
                <c:pt idx="26">
                  <c:v>Portugalia</c:v>
                </c:pt>
                <c:pt idx="27">
                  <c:v>Irlanda</c:v>
                </c:pt>
                <c:pt idx="28">
                  <c:v>Media HBSC</c:v>
                </c:pt>
              </c:strCache>
            </c:strRef>
          </c:cat>
          <c:val>
            <c:numRef>
              <c:f>'13'!$E$4:$E$32</c:f>
              <c:numCache>
                <c:formatCode>General</c:formatCode>
                <c:ptCount val="29"/>
                <c:pt idx="0">
                  <c:v>17</c:v>
                </c:pt>
                <c:pt idx="1">
                  <c:v>8</c:v>
                </c:pt>
                <c:pt idx="2">
                  <c:v>10</c:v>
                </c:pt>
                <c:pt idx="3">
                  <c:v>7</c:v>
                </c:pt>
                <c:pt idx="4">
                  <c:v>13</c:v>
                </c:pt>
                <c:pt idx="5">
                  <c:v>8</c:v>
                </c:pt>
                <c:pt idx="6">
                  <c:v>7</c:v>
                </c:pt>
                <c:pt idx="7">
                  <c:v>6</c:v>
                </c:pt>
                <c:pt idx="8">
                  <c:v>6</c:v>
                </c:pt>
                <c:pt idx="9">
                  <c:v>5</c:v>
                </c:pt>
                <c:pt idx="10">
                  <c:v>6</c:v>
                </c:pt>
                <c:pt idx="11">
                  <c:v>6</c:v>
                </c:pt>
                <c:pt idx="12">
                  <c:v>6</c:v>
                </c:pt>
                <c:pt idx="13">
                  <c:v>5</c:v>
                </c:pt>
                <c:pt idx="14">
                  <c:v>6</c:v>
                </c:pt>
                <c:pt idx="15">
                  <c:v>3</c:v>
                </c:pt>
                <c:pt idx="16">
                  <c:v>4</c:v>
                </c:pt>
                <c:pt idx="17">
                  <c:v>4</c:v>
                </c:pt>
                <c:pt idx="18">
                  <c:v>5</c:v>
                </c:pt>
                <c:pt idx="19">
                  <c:v>4</c:v>
                </c:pt>
                <c:pt idx="20">
                  <c:v>4</c:v>
                </c:pt>
                <c:pt idx="21">
                  <c:v>4</c:v>
                </c:pt>
                <c:pt idx="22">
                  <c:v>3</c:v>
                </c:pt>
                <c:pt idx="23">
                  <c:v>3</c:v>
                </c:pt>
                <c:pt idx="24">
                  <c:v>3</c:v>
                </c:pt>
                <c:pt idx="25">
                  <c:v>3</c:v>
                </c:pt>
                <c:pt idx="26">
                  <c:v>3</c:v>
                </c:pt>
                <c:pt idx="27">
                  <c:v>2</c:v>
                </c:pt>
                <c:pt idx="28">
                  <c:v>6</c:v>
                </c:pt>
              </c:numCache>
            </c:numRef>
          </c:val>
          <c:extLst>
            <c:ext xmlns:c16="http://schemas.microsoft.com/office/drawing/2014/chart" uri="{C3380CC4-5D6E-409C-BE32-E72D297353CC}">
              <c16:uniqueId val="{00000007-7A5D-440B-BAB4-915596690CBB}"/>
            </c:ext>
          </c:extLst>
        </c:ser>
        <c:dLbls>
          <c:dLblPos val="outEnd"/>
          <c:showLegendKey val="0"/>
          <c:showVal val="1"/>
          <c:showCatName val="0"/>
          <c:showSerName val="0"/>
          <c:showPercent val="0"/>
          <c:showBubbleSize val="0"/>
        </c:dLbls>
        <c:gapWidth val="219"/>
        <c:overlap val="-27"/>
        <c:axId val="1782498591"/>
        <c:axId val="1782499551"/>
      </c:barChart>
      <c:catAx>
        <c:axId val="178249859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82499551"/>
        <c:crosses val="autoZero"/>
        <c:auto val="1"/>
        <c:lblAlgn val="ctr"/>
        <c:lblOffset val="100"/>
        <c:noMultiLvlLbl val="0"/>
      </c:catAx>
      <c:valAx>
        <c:axId val="178249955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82498591"/>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o-RO"/>
              <a:t>%</a:t>
            </a:r>
          </a:p>
        </c:rich>
      </c:tx>
      <c:overlay val="1"/>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o-RO"/>
        </a:p>
      </c:txPr>
    </c:title>
    <c:autoTitleDeleted val="0"/>
    <c:plotArea>
      <c:layout/>
      <c:barChart>
        <c:barDir val="col"/>
        <c:grouping val="clustered"/>
        <c:varyColors val="0"/>
        <c:ser>
          <c:idx val="0"/>
          <c:order val="0"/>
          <c:tx>
            <c:strRef>
              <c:f>'15'!$D$3</c:f>
              <c:strCache>
                <c:ptCount val="1"/>
                <c:pt idx="0">
                  <c:v>Fete</c:v>
                </c:pt>
              </c:strCache>
            </c:strRef>
          </c:tx>
          <c:spPr>
            <a:solidFill>
              <a:schemeClr val="accent1"/>
            </a:solidFill>
            <a:ln>
              <a:noFill/>
            </a:ln>
            <a:effectLst/>
          </c:spPr>
          <c:invertIfNegative val="0"/>
          <c:dPt>
            <c:idx val="3"/>
            <c:invertIfNegative val="0"/>
            <c:bubble3D val="0"/>
            <c:extLst>
              <c:ext xmlns:c16="http://schemas.microsoft.com/office/drawing/2014/chart" uri="{C3380CC4-5D6E-409C-BE32-E72D297353CC}">
                <c16:uniqueId val="{00000000-2298-4EBD-83ED-588187498CCD}"/>
              </c:ext>
            </c:extLst>
          </c:dPt>
          <c:dPt>
            <c:idx val="5"/>
            <c:invertIfNegative val="0"/>
            <c:bubble3D val="0"/>
            <c:spPr>
              <a:solidFill>
                <a:schemeClr val="accent5">
                  <a:lumMod val="75000"/>
                </a:schemeClr>
              </a:solidFill>
              <a:ln>
                <a:noFill/>
              </a:ln>
              <a:effectLst/>
            </c:spPr>
            <c:extLst>
              <c:ext xmlns:c16="http://schemas.microsoft.com/office/drawing/2014/chart" uri="{C3380CC4-5D6E-409C-BE32-E72D297353CC}">
                <c16:uniqueId val="{00000002-2298-4EBD-83ED-588187498CCD}"/>
              </c:ext>
            </c:extLst>
          </c:dPt>
          <c:dPt>
            <c:idx val="9"/>
            <c:invertIfNegative val="0"/>
            <c:bubble3D val="0"/>
            <c:extLst>
              <c:ext xmlns:c16="http://schemas.microsoft.com/office/drawing/2014/chart" uri="{C3380CC4-5D6E-409C-BE32-E72D297353CC}">
                <c16:uniqueId val="{00000003-2298-4EBD-83ED-588187498CCD}"/>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'15'!$F$4:$F$32</c:f>
              <c:strCache>
                <c:ptCount val="29"/>
                <c:pt idx="0">
                  <c:v>Bulgaria</c:v>
                </c:pt>
                <c:pt idx="1">
                  <c:v>Ungaria</c:v>
                </c:pt>
                <c:pt idx="2">
                  <c:v>Italia</c:v>
                </c:pt>
                <c:pt idx="3">
                  <c:v>Croaţia</c:v>
                </c:pt>
                <c:pt idx="4">
                  <c:v>Polonia</c:v>
                </c:pt>
                <c:pt idx="5">
                  <c:v>România</c:v>
                </c:pt>
                <c:pt idx="6">
                  <c:v>Lituania</c:v>
                </c:pt>
                <c:pt idx="7">
                  <c:v>Letonia</c:v>
                </c:pt>
                <c:pt idx="8">
                  <c:v>Austria</c:v>
                </c:pt>
                <c:pt idx="9">
                  <c:v>Slovacia</c:v>
                </c:pt>
                <c:pt idx="10">
                  <c:v>Finlanda</c:v>
                </c:pt>
                <c:pt idx="11">
                  <c:v>Germania</c:v>
                </c:pt>
                <c:pt idx="12">
                  <c:v>Grecia</c:v>
                </c:pt>
                <c:pt idx="13">
                  <c:v>Spania</c:v>
                </c:pt>
                <c:pt idx="14">
                  <c:v>Olanda</c:v>
                </c:pt>
                <c:pt idx="15">
                  <c:v>Belgia (flamandă)</c:v>
                </c:pt>
                <c:pt idx="16">
                  <c:v>Cehia</c:v>
                </c:pt>
                <c:pt idx="17">
                  <c:v>Slovenia</c:v>
                </c:pt>
                <c:pt idx="18">
                  <c:v>Luxemburg</c:v>
                </c:pt>
                <c:pt idx="19">
                  <c:v>Danemarca</c:v>
                </c:pt>
                <c:pt idx="20">
                  <c:v>Franţa</c:v>
                </c:pt>
                <c:pt idx="21">
                  <c:v>Suedia</c:v>
                </c:pt>
                <c:pt idx="22">
                  <c:v>Estonia</c:v>
                </c:pt>
                <c:pt idx="23">
                  <c:v>Cipru</c:v>
                </c:pt>
                <c:pt idx="24">
                  <c:v>Belgia (franceză)</c:v>
                </c:pt>
                <c:pt idx="25">
                  <c:v>Malta</c:v>
                </c:pt>
                <c:pt idx="26">
                  <c:v>Portugalia</c:v>
                </c:pt>
                <c:pt idx="27">
                  <c:v>Irlanda</c:v>
                </c:pt>
                <c:pt idx="28">
                  <c:v>Media HBSC</c:v>
                </c:pt>
              </c:strCache>
            </c:strRef>
          </c:cat>
          <c:val>
            <c:numRef>
              <c:f>'15'!$D$4:$D$32</c:f>
              <c:numCache>
                <c:formatCode>General</c:formatCode>
                <c:ptCount val="29"/>
                <c:pt idx="0">
                  <c:v>32</c:v>
                </c:pt>
                <c:pt idx="1">
                  <c:v>34</c:v>
                </c:pt>
                <c:pt idx="2">
                  <c:v>31</c:v>
                </c:pt>
                <c:pt idx="3">
                  <c:v>28</c:v>
                </c:pt>
                <c:pt idx="4">
                  <c:v>22</c:v>
                </c:pt>
                <c:pt idx="5">
                  <c:v>25</c:v>
                </c:pt>
                <c:pt idx="6">
                  <c:v>19</c:v>
                </c:pt>
                <c:pt idx="7">
                  <c:v>20</c:v>
                </c:pt>
                <c:pt idx="8">
                  <c:v>20</c:v>
                </c:pt>
                <c:pt idx="9">
                  <c:v>18</c:v>
                </c:pt>
                <c:pt idx="10">
                  <c:v>15</c:v>
                </c:pt>
                <c:pt idx="11">
                  <c:v>18</c:v>
                </c:pt>
                <c:pt idx="12">
                  <c:v>17</c:v>
                </c:pt>
                <c:pt idx="13">
                  <c:v>18</c:v>
                </c:pt>
                <c:pt idx="14">
                  <c:v>17</c:v>
                </c:pt>
                <c:pt idx="15">
                  <c:v>15</c:v>
                </c:pt>
                <c:pt idx="16">
                  <c:v>15</c:v>
                </c:pt>
                <c:pt idx="17">
                  <c:v>14</c:v>
                </c:pt>
                <c:pt idx="18">
                  <c:v>15</c:v>
                </c:pt>
                <c:pt idx="19">
                  <c:v>14</c:v>
                </c:pt>
                <c:pt idx="20">
                  <c:v>13</c:v>
                </c:pt>
                <c:pt idx="21">
                  <c:v>13</c:v>
                </c:pt>
                <c:pt idx="22">
                  <c:v>13</c:v>
                </c:pt>
                <c:pt idx="23">
                  <c:v>9</c:v>
                </c:pt>
                <c:pt idx="24">
                  <c:v>10</c:v>
                </c:pt>
                <c:pt idx="25">
                  <c:v>10</c:v>
                </c:pt>
                <c:pt idx="26">
                  <c:v>9</c:v>
                </c:pt>
                <c:pt idx="27">
                  <c:v>8</c:v>
                </c:pt>
                <c:pt idx="28">
                  <c:v>15</c:v>
                </c:pt>
              </c:numCache>
            </c:numRef>
          </c:val>
          <c:extLst>
            <c:ext xmlns:c16="http://schemas.microsoft.com/office/drawing/2014/chart" uri="{C3380CC4-5D6E-409C-BE32-E72D297353CC}">
              <c16:uniqueId val="{00000004-2298-4EBD-83ED-588187498CCD}"/>
            </c:ext>
          </c:extLst>
        </c:ser>
        <c:ser>
          <c:idx val="1"/>
          <c:order val="1"/>
          <c:tx>
            <c:strRef>
              <c:f>'13'!$E$3</c:f>
              <c:strCache>
                <c:ptCount val="1"/>
                <c:pt idx="0">
                  <c:v>Băieți</c:v>
                </c:pt>
              </c:strCache>
            </c:strRef>
          </c:tx>
          <c:spPr>
            <a:solidFill>
              <a:schemeClr val="accent2"/>
            </a:solidFill>
            <a:ln>
              <a:noFill/>
            </a:ln>
            <a:effectLst/>
          </c:spPr>
          <c:invertIfNegative val="0"/>
          <c:dPt>
            <c:idx val="3"/>
            <c:invertIfNegative val="0"/>
            <c:bubble3D val="0"/>
            <c:extLst>
              <c:ext xmlns:c16="http://schemas.microsoft.com/office/drawing/2014/chart" uri="{C3380CC4-5D6E-409C-BE32-E72D297353CC}">
                <c16:uniqueId val="{00000005-2298-4EBD-83ED-588187498CCD}"/>
              </c:ext>
            </c:extLst>
          </c:dPt>
          <c:dPt>
            <c:idx val="5"/>
            <c:invertIfNegative val="0"/>
            <c:bubble3D val="0"/>
            <c:spPr>
              <a:solidFill>
                <a:schemeClr val="accent5">
                  <a:lumMod val="60000"/>
                  <a:lumOff val="40000"/>
                </a:schemeClr>
              </a:solidFill>
              <a:ln>
                <a:noFill/>
              </a:ln>
              <a:effectLst/>
            </c:spPr>
            <c:extLst>
              <c:ext xmlns:c16="http://schemas.microsoft.com/office/drawing/2014/chart" uri="{C3380CC4-5D6E-409C-BE32-E72D297353CC}">
                <c16:uniqueId val="{00000007-2298-4EBD-83ED-588187498CCD}"/>
              </c:ext>
            </c:extLst>
          </c:dPt>
          <c:dPt>
            <c:idx val="9"/>
            <c:invertIfNegative val="0"/>
            <c:bubble3D val="0"/>
            <c:extLst>
              <c:ext xmlns:c16="http://schemas.microsoft.com/office/drawing/2014/chart" uri="{C3380CC4-5D6E-409C-BE32-E72D297353CC}">
                <c16:uniqueId val="{00000008-2298-4EBD-83ED-588187498CCD}"/>
              </c:ext>
            </c:extLst>
          </c:dPt>
          <c:dLbls>
            <c:dLbl>
              <c:idx val="5"/>
              <c:layout>
                <c:manualLayout>
                  <c:x val="1.0515247108307046E-2"/>
                  <c:y val="3.787878787878788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2298-4EBD-83ED-588187498CCD}"/>
                </c:ext>
              </c:extLst>
            </c:dLbl>
            <c:dLbl>
              <c:idx val="28"/>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15:layout>
                    <c:manualLayout>
                      <c:w val="3.1379059873404586E-2"/>
                      <c:h val="7.5529432308864622E-2"/>
                    </c:manualLayout>
                  </c15:layout>
                </c:ext>
                <c:ext xmlns:c16="http://schemas.microsoft.com/office/drawing/2014/chart" uri="{C3380CC4-5D6E-409C-BE32-E72D297353CC}">
                  <c16:uniqueId val="{00000009-2298-4EBD-83ED-588187498CCD}"/>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'15'!$F$4:$F$32</c:f>
              <c:strCache>
                <c:ptCount val="29"/>
                <c:pt idx="0">
                  <c:v>Bulgaria</c:v>
                </c:pt>
                <c:pt idx="1">
                  <c:v>Ungaria</c:v>
                </c:pt>
                <c:pt idx="2">
                  <c:v>Italia</c:v>
                </c:pt>
                <c:pt idx="3">
                  <c:v>Croaţia</c:v>
                </c:pt>
                <c:pt idx="4">
                  <c:v>Polonia</c:v>
                </c:pt>
                <c:pt idx="5">
                  <c:v>România</c:v>
                </c:pt>
                <c:pt idx="6">
                  <c:v>Lituania</c:v>
                </c:pt>
                <c:pt idx="7">
                  <c:v>Letonia</c:v>
                </c:pt>
                <c:pt idx="8">
                  <c:v>Austria</c:v>
                </c:pt>
                <c:pt idx="9">
                  <c:v>Slovacia</c:v>
                </c:pt>
                <c:pt idx="10">
                  <c:v>Finlanda</c:v>
                </c:pt>
                <c:pt idx="11">
                  <c:v>Germania</c:v>
                </c:pt>
                <c:pt idx="12">
                  <c:v>Grecia</c:v>
                </c:pt>
                <c:pt idx="13">
                  <c:v>Spania</c:v>
                </c:pt>
                <c:pt idx="14">
                  <c:v>Olanda</c:v>
                </c:pt>
                <c:pt idx="15">
                  <c:v>Belgia (flamandă)</c:v>
                </c:pt>
                <c:pt idx="16">
                  <c:v>Cehia</c:v>
                </c:pt>
                <c:pt idx="17">
                  <c:v>Slovenia</c:v>
                </c:pt>
                <c:pt idx="18">
                  <c:v>Luxemburg</c:v>
                </c:pt>
                <c:pt idx="19">
                  <c:v>Danemarca</c:v>
                </c:pt>
                <c:pt idx="20">
                  <c:v>Franţa</c:v>
                </c:pt>
                <c:pt idx="21">
                  <c:v>Suedia</c:v>
                </c:pt>
                <c:pt idx="22">
                  <c:v>Estonia</c:v>
                </c:pt>
                <c:pt idx="23">
                  <c:v>Cipru</c:v>
                </c:pt>
                <c:pt idx="24">
                  <c:v>Belgia (franceză)</c:v>
                </c:pt>
                <c:pt idx="25">
                  <c:v>Malta</c:v>
                </c:pt>
                <c:pt idx="26">
                  <c:v>Portugalia</c:v>
                </c:pt>
                <c:pt idx="27">
                  <c:v>Irlanda</c:v>
                </c:pt>
                <c:pt idx="28">
                  <c:v>Media HBSC</c:v>
                </c:pt>
              </c:strCache>
            </c:strRef>
          </c:cat>
          <c:val>
            <c:numRef>
              <c:f>'15'!$E$4:$E$32</c:f>
              <c:numCache>
                <c:formatCode>General</c:formatCode>
                <c:ptCount val="29"/>
                <c:pt idx="0">
                  <c:v>32</c:v>
                </c:pt>
                <c:pt idx="1">
                  <c:v>25</c:v>
                </c:pt>
                <c:pt idx="2">
                  <c:v>22</c:v>
                </c:pt>
                <c:pt idx="3">
                  <c:v>24</c:v>
                </c:pt>
                <c:pt idx="4">
                  <c:v>24</c:v>
                </c:pt>
                <c:pt idx="5">
                  <c:v>21</c:v>
                </c:pt>
                <c:pt idx="6">
                  <c:v>20</c:v>
                </c:pt>
                <c:pt idx="7">
                  <c:v>18</c:v>
                </c:pt>
                <c:pt idx="8">
                  <c:v>17</c:v>
                </c:pt>
                <c:pt idx="9">
                  <c:v>18</c:v>
                </c:pt>
                <c:pt idx="10">
                  <c:v>21</c:v>
                </c:pt>
                <c:pt idx="11">
                  <c:v>15</c:v>
                </c:pt>
                <c:pt idx="12">
                  <c:v>16</c:v>
                </c:pt>
                <c:pt idx="13">
                  <c:v>13</c:v>
                </c:pt>
                <c:pt idx="14">
                  <c:v>13</c:v>
                </c:pt>
                <c:pt idx="15">
                  <c:v>14</c:v>
                </c:pt>
                <c:pt idx="16">
                  <c:v>13</c:v>
                </c:pt>
                <c:pt idx="17">
                  <c:v>14</c:v>
                </c:pt>
                <c:pt idx="18">
                  <c:v>12</c:v>
                </c:pt>
                <c:pt idx="19">
                  <c:v>11</c:v>
                </c:pt>
                <c:pt idx="20">
                  <c:v>11</c:v>
                </c:pt>
                <c:pt idx="21">
                  <c:v>11</c:v>
                </c:pt>
                <c:pt idx="22">
                  <c:v>11</c:v>
                </c:pt>
                <c:pt idx="23">
                  <c:v>13</c:v>
                </c:pt>
                <c:pt idx="24">
                  <c:v>10</c:v>
                </c:pt>
                <c:pt idx="25">
                  <c:v>9</c:v>
                </c:pt>
                <c:pt idx="26">
                  <c:v>8</c:v>
                </c:pt>
                <c:pt idx="27">
                  <c:v>6</c:v>
                </c:pt>
                <c:pt idx="28">
                  <c:v>15</c:v>
                </c:pt>
              </c:numCache>
            </c:numRef>
          </c:val>
          <c:extLst>
            <c:ext xmlns:c16="http://schemas.microsoft.com/office/drawing/2014/chart" uri="{C3380CC4-5D6E-409C-BE32-E72D297353CC}">
              <c16:uniqueId val="{0000000A-2298-4EBD-83ED-588187498CCD}"/>
            </c:ext>
          </c:extLst>
        </c:ser>
        <c:dLbls>
          <c:dLblPos val="outEnd"/>
          <c:showLegendKey val="0"/>
          <c:showVal val="1"/>
          <c:showCatName val="0"/>
          <c:showSerName val="0"/>
          <c:showPercent val="0"/>
          <c:showBubbleSize val="0"/>
        </c:dLbls>
        <c:gapWidth val="219"/>
        <c:overlap val="-27"/>
        <c:axId val="1782498591"/>
        <c:axId val="1782499551"/>
      </c:barChart>
      <c:catAx>
        <c:axId val="178249859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82499551"/>
        <c:crosses val="autoZero"/>
        <c:auto val="1"/>
        <c:lblAlgn val="ctr"/>
        <c:lblOffset val="100"/>
        <c:noMultiLvlLbl val="0"/>
      </c:catAx>
      <c:valAx>
        <c:axId val="178249955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82498591"/>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o-RO"/>
              <a:t>%</a:t>
            </a:r>
          </a:p>
        </c:rich>
      </c:tx>
      <c:layout>
        <c:manualLayout>
          <c:xMode val="edge"/>
          <c:yMode val="edge"/>
          <c:x val="0.60276377952755911"/>
          <c:y val="5.5555555555555552E-2"/>
        </c:manualLayout>
      </c:layout>
      <c:overlay val="1"/>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o-RO"/>
        </a:p>
      </c:txPr>
    </c:title>
    <c:autoTitleDeleted val="0"/>
    <c:plotArea>
      <c:layout/>
      <c:barChart>
        <c:barDir val="col"/>
        <c:grouping val="clustered"/>
        <c:varyColors val="0"/>
        <c:ser>
          <c:idx val="0"/>
          <c:order val="0"/>
          <c:tx>
            <c:strRef>
              <c:f>Sheet1!$D$2</c:f>
              <c:strCache>
                <c:ptCount val="1"/>
                <c:pt idx="0">
                  <c:v>Masculin</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o-R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Sheet1!$B$3:$B$5</c:f>
              <c:strCache>
                <c:ptCount val="3"/>
                <c:pt idx="0">
                  <c:v>Superior</c:v>
                </c:pt>
                <c:pt idx="1">
                  <c:v>Mediu</c:v>
                </c:pt>
                <c:pt idx="2">
                  <c:v>Scăzut</c:v>
                </c:pt>
              </c:strCache>
            </c:strRef>
          </c:cat>
          <c:val>
            <c:numRef>
              <c:f>Sheet1!$D$3:$D$5</c:f>
              <c:numCache>
                <c:formatCode>General</c:formatCode>
                <c:ptCount val="3"/>
                <c:pt idx="0">
                  <c:v>40.299999999999997</c:v>
                </c:pt>
                <c:pt idx="1">
                  <c:v>44.2</c:v>
                </c:pt>
                <c:pt idx="2">
                  <c:v>32.5</c:v>
                </c:pt>
              </c:numCache>
            </c:numRef>
          </c:val>
          <c:extLst>
            <c:ext xmlns:c16="http://schemas.microsoft.com/office/drawing/2014/chart" uri="{C3380CC4-5D6E-409C-BE32-E72D297353CC}">
              <c16:uniqueId val="{00000000-DBC9-4A01-AAB1-221C25F93C90}"/>
            </c:ext>
          </c:extLst>
        </c:ser>
        <c:ser>
          <c:idx val="1"/>
          <c:order val="1"/>
          <c:tx>
            <c:strRef>
              <c:f>Sheet1!$E$2</c:f>
              <c:strCache>
                <c:ptCount val="1"/>
                <c:pt idx="0">
                  <c:v>Feminin</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o-R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Sheet1!$B$3:$B$5</c:f>
              <c:strCache>
                <c:ptCount val="3"/>
                <c:pt idx="0">
                  <c:v>Superior</c:v>
                </c:pt>
                <c:pt idx="1">
                  <c:v>Mediu</c:v>
                </c:pt>
                <c:pt idx="2">
                  <c:v>Scăzut</c:v>
                </c:pt>
              </c:strCache>
            </c:strRef>
          </c:cat>
          <c:val>
            <c:numRef>
              <c:f>Sheet1!$E$3:$E$5</c:f>
              <c:numCache>
                <c:formatCode>General</c:formatCode>
                <c:ptCount val="3"/>
                <c:pt idx="0">
                  <c:v>18.8</c:v>
                </c:pt>
                <c:pt idx="1">
                  <c:v>14.8</c:v>
                </c:pt>
                <c:pt idx="2">
                  <c:v>10.1</c:v>
                </c:pt>
              </c:numCache>
            </c:numRef>
          </c:val>
          <c:extLst>
            <c:ext xmlns:c16="http://schemas.microsoft.com/office/drawing/2014/chart" uri="{C3380CC4-5D6E-409C-BE32-E72D297353CC}">
              <c16:uniqueId val="{00000001-DBC9-4A01-AAB1-221C25F93C90}"/>
            </c:ext>
          </c:extLst>
        </c:ser>
        <c:dLbls>
          <c:showLegendKey val="0"/>
          <c:showVal val="0"/>
          <c:showCatName val="0"/>
          <c:showSerName val="0"/>
          <c:showPercent val="0"/>
          <c:showBubbleSize val="0"/>
        </c:dLbls>
        <c:gapWidth val="219"/>
        <c:overlap val="-27"/>
        <c:axId val="691549440"/>
        <c:axId val="691549920"/>
      </c:barChart>
      <c:catAx>
        <c:axId val="6915494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o-RO"/>
          </a:p>
        </c:txPr>
        <c:crossAx val="691549920"/>
        <c:crosses val="autoZero"/>
        <c:auto val="1"/>
        <c:lblAlgn val="ctr"/>
        <c:lblOffset val="100"/>
        <c:noMultiLvlLbl val="0"/>
      </c:catAx>
      <c:valAx>
        <c:axId val="69154992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o-RO"/>
          </a:p>
        </c:txPr>
        <c:crossAx val="69154944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o-RO"/>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o-RO"/>
    </a:p>
  </c:txPr>
  <c:externalData r:id="rId4">
    <c:autoUpdate val="0"/>
  </c:externalData>
</c:chartSpace>
</file>

<file path=word/charts/chart3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o-RO"/>
              <a:t>%</a:t>
            </a:r>
          </a:p>
        </c:rich>
      </c:tx>
      <c:overlay val="1"/>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o-RO"/>
        </a:p>
      </c:txPr>
    </c:title>
    <c:autoTitleDeleted val="0"/>
    <c:plotArea>
      <c:layout/>
      <c:barChart>
        <c:barDir val="col"/>
        <c:grouping val="clustered"/>
        <c:varyColors val="0"/>
        <c:ser>
          <c:idx val="0"/>
          <c:order val="0"/>
          <c:tx>
            <c:strRef>
              <c:f>'13'!$D$3</c:f>
              <c:strCache>
                <c:ptCount val="1"/>
                <c:pt idx="0">
                  <c:v>Fete</c:v>
                </c:pt>
              </c:strCache>
            </c:strRef>
          </c:tx>
          <c:spPr>
            <a:solidFill>
              <a:schemeClr val="accent1"/>
            </a:solidFill>
            <a:ln>
              <a:noFill/>
            </a:ln>
            <a:effectLst/>
          </c:spPr>
          <c:invertIfNegative val="0"/>
          <c:dPt>
            <c:idx val="4"/>
            <c:invertIfNegative val="0"/>
            <c:bubble3D val="0"/>
            <c:spPr>
              <a:solidFill>
                <a:schemeClr val="accent5">
                  <a:lumMod val="75000"/>
                </a:schemeClr>
              </a:solidFill>
              <a:ln>
                <a:noFill/>
              </a:ln>
              <a:effectLst/>
            </c:spPr>
            <c:extLst>
              <c:ext xmlns:c16="http://schemas.microsoft.com/office/drawing/2014/chart" uri="{C3380CC4-5D6E-409C-BE32-E72D297353CC}">
                <c16:uniqueId val="{00000001-1ACA-4249-8B01-ED8BD86832B5}"/>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'13'!$F$4:$F$32</c:f>
              <c:strCache>
                <c:ptCount val="29"/>
                <c:pt idx="0">
                  <c:v>Lituania</c:v>
                </c:pt>
                <c:pt idx="1">
                  <c:v>Bulgaria</c:v>
                </c:pt>
                <c:pt idx="2">
                  <c:v>Estonia</c:v>
                </c:pt>
                <c:pt idx="3">
                  <c:v>Ungaria</c:v>
                </c:pt>
                <c:pt idx="4">
                  <c:v>România</c:v>
                </c:pt>
                <c:pt idx="5">
                  <c:v>Slovacia</c:v>
                </c:pt>
                <c:pt idx="6">
                  <c:v>Finlanda</c:v>
                </c:pt>
                <c:pt idx="7">
                  <c:v>Letonia</c:v>
                </c:pt>
                <c:pt idx="8">
                  <c:v>Croaţia</c:v>
                </c:pt>
                <c:pt idx="9">
                  <c:v>Polonia</c:v>
                </c:pt>
                <c:pt idx="10">
                  <c:v>Cehia</c:v>
                </c:pt>
                <c:pt idx="11">
                  <c:v>Italia</c:v>
                </c:pt>
                <c:pt idx="12">
                  <c:v>Germania</c:v>
                </c:pt>
                <c:pt idx="13">
                  <c:v>Franţa</c:v>
                </c:pt>
                <c:pt idx="14">
                  <c:v>Suedia</c:v>
                </c:pt>
                <c:pt idx="15">
                  <c:v>Slovenia</c:v>
                </c:pt>
                <c:pt idx="16">
                  <c:v>Luxemburg</c:v>
                </c:pt>
                <c:pt idx="17">
                  <c:v>Austria</c:v>
                </c:pt>
                <c:pt idx="18">
                  <c:v>Grecia</c:v>
                </c:pt>
                <c:pt idx="19">
                  <c:v>Belgia (franceză)</c:v>
                </c:pt>
                <c:pt idx="20">
                  <c:v>Spania</c:v>
                </c:pt>
                <c:pt idx="21">
                  <c:v>Olanda</c:v>
                </c:pt>
                <c:pt idx="22">
                  <c:v>Danemarca</c:v>
                </c:pt>
                <c:pt idx="23">
                  <c:v>Malta</c:v>
                </c:pt>
                <c:pt idx="24">
                  <c:v>Belgia (flamandă)</c:v>
                </c:pt>
                <c:pt idx="25">
                  <c:v>Cipru</c:v>
                </c:pt>
                <c:pt idx="26">
                  <c:v>Portugalia</c:v>
                </c:pt>
                <c:pt idx="27">
                  <c:v>Irlanda</c:v>
                </c:pt>
                <c:pt idx="28">
                  <c:v>Media HBSC</c:v>
                </c:pt>
              </c:strCache>
            </c:strRef>
          </c:cat>
          <c:val>
            <c:numRef>
              <c:f>'13'!$D$4:$D$32</c:f>
              <c:numCache>
                <c:formatCode>General</c:formatCode>
                <c:ptCount val="29"/>
                <c:pt idx="0">
                  <c:v>23</c:v>
                </c:pt>
                <c:pt idx="1">
                  <c:v>24</c:v>
                </c:pt>
                <c:pt idx="2">
                  <c:v>19</c:v>
                </c:pt>
                <c:pt idx="3">
                  <c:v>21</c:v>
                </c:pt>
                <c:pt idx="4">
                  <c:v>20</c:v>
                </c:pt>
                <c:pt idx="5">
                  <c:v>17</c:v>
                </c:pt>
                <c:pt idx="6">
                  <c:v>12</c:v>
                </c:pt>
                <c:pt idx="7">
                  <c:v>18</c:v>
                </c:pt>
                <c:pt idx="8">
                  <c:v>17</c:v>
                </c:pt>
                <c:pt idx="9">
                  <c:v>15</c:v>
                </c:pt>
                <c:pt idx="10">
                  <c:v>15</c:v>
                </c:pt>
                <c:pt idx="11">
                  <c:v>12</c:v>
                </c:pt>
                <c:pt idx="12">
                  <c:v>10</c:v>
                </c:pt>
                <c:pt idx="13">
                  <c:v>10</c:v>
                </c:pt>
                <c:pt idx="14">
                  <c:v>11</c:v>
                </c:pt>
                <c:pt idx="15">
                  <c:v>9</c:v>
                </c:pt>
                <c:pt idx="16">
                  <c:v>11</c:v>
                </c:pt>
                <c:pt idx="17">
                  <c:v>9</c:v>
                </c:pt>
                <c:pt idx="18">
                  <c:v>8</c:v>
                </c:pt>
                <c:pt idx="19">
                  <c:v>9</c:v>
                </c:pt>
                <c:pt idx="20">
                  <c:v>9</c:v>
                </c:pt>
                <c:pt idx="21">
                  <c:v>7</c:v>
                </c:pt>
                <c:pt idx="22">
                  <c:v>7</c:v>
                </c:pt>
                <c:pt idx="23">
                  <c:v>7</c:v>
                </c:pt>
                <c:pt idx="24">
                  <c:v>6</c:v>
                </c:pt>
                <c:pt idx="25">
                  <c:v>4</c:v>
                </c:pt>
                <c:pt idx="26">
                  <c:v>4</c:v>
                </c:pt>
                <c:pt idx="27">
                  <c:v>3</c:v>
                </c:pt>
                <c:pt idx="28">
                  <c:v>11</c:v>
                </c:pt>
              </c:numCache>
            </c:numRef>
          </c:val>
          <c:extLst>
            <c:ext xmlns:c16="http://schemas.microsoft.com/office/drawing/2014/chart" uri="{C3380CC4-5D6E-409C-BE32-E72D297353CC}">
              <c16:uniqueId val="{00000002-1ACA-4249-8B01-ED8BD86832B5}"/>
            </c:ext>
          </c:extLst>
        </c:ser>
        <c:ser>
          <c:idx val="1"/>
          <c:order val="1"/>
          <c:tx>
            <c:strRef>
              <c:f>'13'!$E$3</c:f>
              <c:strCache>
                <c:ptCount val="1"/>
                <c:pt idx="0">
                  <c:v>Băieți</c:v>
                </c:pt>
              </c:strCache>
            </c:strRef>
          </c:tx>
          <c:spPr>
            <a:solidFill>
              <a:schemeClr val="accent2"/>
            </a:solidFill>
            <a:ln>
              <a:noFill/>
            </a:ln>
            <a:effectLst/>
          </c:spPr>
          <c:invertIfNegative val="0"/>
          <c:dPt>
            <c:idx val="4"/>
            <c:invertIfNegative val="0"/>
            <c:bubble3D val="0"/>
            <c:spPr>
              <a:solidFill>
                <a:schemeClr val="accent5">
                  <a:lumMod val="60000"/>
                  <a:lumOff val="40000"/>
                </a:schemeClr>
              </a:solidFill>
              <a:ln>
                <a:noFill/>
              </a:ln>
              <a:effectLst/>
            </c:spPr>
            <c:extLst>
              <c:ext xmlns:c16="http://schemas.microsoft.com/office/drawing/2014/chart" uri="{C3380CC4-5D6E-409C-BE32-E72D297353CC}">
                <c16:uniqueId val="{00000004-1ACA-4249-8B01-ED8BD86832B5}"/>
              </c:ext>
            </c:extLst>
          </c:dPt>
          <c:dLbls>
            <c:dLbl>
              <c:idx val="4"/>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15:layout>
                    <c:manualLayout>
                      <c:w val="3.1379059873404586E-2"/>
                      <c:h val="5.5368141986283974E-2"/>
                    </c:manualLayout>
                  </c15:layout>
                </c:ext>
                <c:ext xmlns:c16="http://schemas.microsoft.com/office/drawing/2014/chart" uri="{C3380CC4-5D6E-409C-BE32-E72D297353CC}">
                  <c16:uniqueId val="{00000004-1ACA-4249-8B01-ED8BD86832B5}"/>
                </c:ext>
              </c:extLst>
            </c:dLbl>
            <c:dLbl>
              <c:idx val="28"/>
              <c:layout>
                <c:manualLayout>
                  <c:x val="1.6602677181695547E-2"/>
                  <c:y val="1.0080645161290322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1ACA-4249-8B01-ED8BD86832B5}"/>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'13'!$F$4:$F$32</c:f>
              <c:strCache>
                <c:ptCount val="29"/>
                <c:pt idx="0">
                  <c:v>Lituania</c:v>
                </c:pt>
                <c:pt idx="1">
                  <c:v>Bulgaria</c:v>
                </c:pt>
                <c:pt idx="2">
                  <c:v>Estonia</c:v>
                </c:pt>
                <c:pt idx="3">
                  <c:v>Ungaria</c:v>
                </c:pt>
                <c:pt idx="4">
                  <c:v>România</c:v>
                </c:pt>
                <c:pt idx="5">
                  <c:v>Slovacia</c:v>
                </c:pt>
                <c:pt idx="6">
                  <c:v>Finlanda</c:v>
                </c:pt>
                <c:pt idx="7">
                  <c:v>Letonia</c:v>
                </c:pt>
                <c:pt idx="8">
                  <c:v>Croaţia</c:v>
                </c:pt>
                <c:pt idx="9">
                  <c:v>Polonia</c:v>
                </c:pt>
                <c:pt idx="10">
                  <c:v>Cehia</c:v>
                </c:pt>
                <c:pt idx="11">
                  <c:v>Italia</c:v>
                </c:pt>
                <c:pt idx="12">
                  <c:v>Germania</c:v>
                </c:pt>
                <c:pt idx="13">
                  <c:v>Franţa</c:v>
                </c:pt>
                <c:pt idx="14">
                  <c:v>Suedia</c:v>
                </c:pt>
                <c:pt idx="15">
                  <c:v>Slovenia</c:v>
                </c:pt>
                <c:pt idx="16">
                  <c:v>Luxemburg</c:v>
                </c:pt>
                <c:pt idx="17">
                  <c:v>Austria</c:v>
                </c:pt>
                <c:pt idx="18">
                  <c:v>Grecia</c:v>
                </c:pt>
                <c:pt idx="19">
                  <c:v>Belgia (franceză)</c:v>
                </c:pt>
                <c:pt idx="20">
                  <c:v>Spania</c:v>
                </c:pt>
                <c:pt idx="21">
                  <c:v>Olanda</c:v>
                </c:pt>
                <c:pt idx="22">
                  <c:v>Danemarca</c:v>
                </c:pt>
                <c:pt idx="23">
                  <c:v>Malta</c:v>
                </c:pt>
                <c:pt idx="24">
                  <c:v>Belgia (flamandă)</c:v>
                </c:pt>
                <c:pt idx="25">
                  <c:v>Cipru</c:v>
                </c:pt>
                <c:pt idx="26">
                  <c:v>Portugalia</c:v>
                </c:pt>
                <c:pt idx="27">
                  <c:v>Irlanda</c:v>
                </c:pt>
                <c:pt idx="28">
                  <c:v>Media HBSC</c:v>
                </c:pt>
              </c:strCache>
            </c:strRef>
          </c:cat>
          <c:val>
            <c:numRef>
              <c:f>'13'!$E$4:$E$32</c:f>
              <c:numCache>
                <c:formatCode>General</c:formatCode>
                <c:ptCount val="29"/>
                <c:pt idx="0">
                  <c:v>24</c:v>
                </c:pt>
                <c:pt idx="1">
                  <c:v>19</c:v>
                </c:pt>
                <c:pt idx="2">
                  <c:v>18</c:v>
                </c:pt>
                <c:pt idx="3">
                  <c:v>15</c:v>
                </c:pt>
                <c:pt idx="4">
                  <c:v>14</c:v>
                </c:pt>
                <c:pt idx="5">
                  <c:v>17</c:v>
                </c:pt>
                <c:pt idx="6">
                  <c:v>20</c:v>
                </c:pt>
                <c:pt idx="7">
                  <c:v>14</c:v>
                </c:pt>
                <c:pt idx="8">
                  <c:v>13</c:v>
                </c:pt>
                <c:pt idx="9">
                  <c:v>14</c:v>
                </c:pt>
                <c:pt idx="10">
                  <c:v>13</c:v>
                </c:pt>
                <c:pt idx="11">
                  <c:v>12</c:v>
                </c:pt>
                <c:pt idx="12">
                  <c:v>12</c:v>
                </c:pt>
                <c:pt idx="13">
                  <c:v>13</c:v>
                </c:pt>
                <c:pt idx="14">
                  <c:v>10</c:v>
                </c:pt>
                <c:pt idx="15">
                  <c:v>10</c:v>
                </c:pt>
                <c:pt idx="16">
                  <c:v>8</c:v>
                </c:pt>
                <c:pt idx="17">
                  <c:v>9</c:v>
                </c:pt>
                <c:pt idx="18">
                  <c:v>9</c:v>
                </c:pt>
                <c:pt idx="19">
                  <c:v>7</c:v>
                </c:pt>
                <c:pt idx="20">
                  <c:v>6</c:v>
                </c:pt>
                <c:pt idx="21">
                  <c:v>8</c:v>
                </c:pt>
                <c:pt idx="22">
                  <c:v>7</c:v>
                </c:pt>
                <c:pt idx="23">
                  <c:v>5</c:v>
                </c:pt>
                <c:pt idx="24">
                  <c:v>6</c:v>
                </c:pt>
                <c:pt idx="25">
                  <c:v>7</c:v>
                </c:pt>
                <c:pt idx="26">
                  <c:v>5</c:v>
                </c:pt>
                <c:pt idx="27">
                  <c:v>4</c:v>
                </c:pt>
                <c:pt idx="28">
                  <c:v>11</c:v>
                </c:pt>
              </c:numCache>
            </c:numRef>
          </c:val>
          <c:extLst>
            <c:ext xmlns:c16="http://schemas.microsoft.com/office/drawing/2014/chart" uri="{C3380CC4-5D6E-409C-BE32-E72D297353CC}">
              <c16:uniqueId val="{00000006-1ACA-4249-8B01-ED8BD86832B5}"/>
            </c:ext>
          </c:extLst>
        </c:ser>
        <c:dLbls>
          <c:dLblPos val="outEnd"/>
          <c:showLegendKey val="0"/>
          <c:showVal val="1"/>
          <c:showCatName val="0"/>
          <c:showSerName val="0"/>
          <c:showPercent val="0"/>
          <c:showBubbleSize val="0"/>
        </c:dLbls>
        <c:gapWidth val="219"/>
        <c:overlap val="-27"/>
        <c:axId val="1080266863"/>
        <c:axId val="1080267823"/>
      </c:barChart>
      <c:catAx>
        <c:axId val="108026686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o-RO"/>
          </a:p>
        </c:txPr>
        <c:crossAx val="1080267823"/>
        <c:crosses val="autoZero"/>
        <c:auto val="1"/>
        <c:lblAlgn val="ctr"/>
        <c:lblOffset val="100"/>
        <c:noMultiLvlLbl val="0"/>
      </c:catAx>
      <c:valAx>
        <c:axId val="108026782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o-RO"/>
          </a:p>
        </c:txPr>
        <c:crossAx val="108026686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o-RO"/>
    </a:p>
  </c:txPr>
  <c:externalData r:id="rId4">
    <c:autoUpdate val="0"/>
  </c:externalData>
</c:chartSpace>
</file>

<file path=word/charts/chart3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xMode val="edge"/>
          <c:yMode val="edge"/>
          <c:x val="7.8632463815135698E-3"/>
          <c:y val="0.1048644028623999"/>
          <c:w val="0.98820513042772962"/>
          <c:h val="0.88334299465880128"/>
        </c:manualLayout>
      </c:layout>
      <c:lineChart>
        <c:grouping val="standard"/>
        <c:varyColors val="0"/>
        <c:ser>
          <c:idx val="0"/>
          <c:order val="0"/>
          <c:tx>
            <c:strRef>
              <c:f>'g4-1'!$B$29</c:f>
              <c:strCache>
                <c:ptCount val="1"/>
                <c:pt idx="0">
                  <c:v>2014</c:v>
                </c:pt>
              </c:strCache>
            </c:strRef>
          </c:tx>
          <c:spPr>
            <a:ln w="28575">
              <a:noFill/>
            </a:ln>
          </c:spPr>
          <c:marker>
            <c:symbol val="circle"/>
            <c:size val="6"/>
            <c:spPr>
              <a:solidFill>
                <a:sysClr val="window" lastClr="FFFFFF"/>
              </a:solidFill>
              <a:ln w="6350" cap="flat" cmpd="sng" algn="ctr">
                <a:solidFill>
                  <a:srgbClr val="000000"/>
                </a:solidFill>
                <a:prstDash val="solid"/>
                <a:round/>
              </a:ln>
              <a:effectLst/>
            </c:spPr>
          </c:marker>
          <c:dPt>
            <c:idx val="16"/>
            <c:marker>
              <c:spPr>
                <a:solidFill>
                  <a:sysClr val="windowText" lastClr="000000"/>
                </a:solidFill>
                <a:ln w="6350" cap="flat" cmpd="sng" algn="ctr">
                  <a:solidFill>
                    <a:srgbClr val="000000"/>
                  </a:solidFill>
                  <a:prstDash val="solid"/>
                  <a:round/>
                </a:ln>
                <a:effectLst/>
              </c:spPr>
            </c:marker>
            <c:bubble3D val="0"/>
            <c:extLst>
              <c:ext xmlns:c16="http://schemas.microsoft.com/office/drawing/2014/chart" uri="{C3380CC4-5D6E-409C-BE32-E72D297353CC}">
                <c16:uniqueId val="{00000000-8C73-48F5-8F0A-3716E36FB57B}"/>
              </c:ext>
            </c:extLst>
          </c:dPt>
          <c:cat>
            <c:strRef>
              <c:f>'g4-1'!$A$30:$A$66</c:f>
              <c:strCache>
                <c:ptCount val="37"/>
                <c:pt idx="0">
                  <c:v>Irlanda</c:v>
                </c:pt>
                <c:pt idx="1">
                  <c:v>Portugalia</c:v>
                </c:pt>
                <c:pt idx="2">
                  <c:v>Malta</c:v>
                </c:pt>
                <c:pt idx="3">
                  <c:v>Cipru</c:v>
                </c:pt>
                <c:pt idx="4">
                  <c:v>Estonia</c:v>
                </c:pt>
                <c:pt idx="5">
                  <c:v>Suedia</c:v>
                </c:pt>
                <c:pt idx="6">
                  <c:v>Frața</c:v>
                </c:pt>
                <c:pt idx="7">
                  <c:v>Belgia¹</c:v>
                </c:pt>
                <c:pt idx="8">
                  <c:v>Danemarca</c:v>
                </c:pt>
                <c:pt idx="9">
                  <c:v>Luxemburg</c:v>
                </c:pt>
                <c:pt idx="10">
                  <c:v>Slovenia</c:v>
                </c:pt>
                <c:pt idx="11">
                  <c:v>Cehia</c:v>
                </c:pt>
                <c:pt idx="12">
                  <c:v>Țările de Jos</c:v>
                </c:pt>
                <c:pt idx="13">
                  <c:v>Spania</c:v>
                </c:pt>
                <c:pt idx="14">
                  <c:v>Grecia</c:v>
                </c:pt>
                <c:pt idx="15">
                  <c:v>Germania</c:v>
                </c:pt>
                <c:pt idx="16">
                  <c:v>EU27</c:v>
                </c:pt>
                <c:pt idx="17">
                  <c:v>Finlanda</c:v>
                </c:pt>
                <c:pt idx="18">
                  <c:v>Republica Slovacia</c:v>
                </c:pt>
                <c:pt idx="19">
                  <c:v>Austria</c:v>
                </c:pt>
                <c:pt idx="20">
                  <c:v>Letonia</c:v>
                </c:pt>
                <c:pt idx="21">
                  <c:v>Lituania</c:v>
                </c:pt>
                <c:pt idx="22">
                  <c:v>România</c:v>
                </c:pt>
                <c:pt idx="23">
                  <c:v>Polonia</c:v>
                </c:pt>
                <c:pt idx="24">
                  <c:v>Croația</c:v>
                </c:pt>
                <c:pt idx="25">
                  <c:v>Italia</c:v>
                </c:pt>
                <c:pt idx="26">
                  <c:v>Ungaria</c:v>
                </c:pt>
                <c:pt idx="27">
                  <c:v>Bulgaria</c:v>
                </c:pt>
                <c:pt idx="29">
                  <c:v>Islanda</c:v>
                </c:pt>
                <c:pt idx="30">
                  <c:v>Norvegia</c:v>
                </c:pt>
                <c:pt idx="31">
                  <c:v>Regatul Unit</c:v>
                </c:pt>
                <c:pt idx="32">
                  <c:v>Moldova</c:v>
                </c:pt>
                <c:pt idx="33">
                  <c:v>Albania</c:v>
                </c:pt>
                <c:pt idx="34">
                  <c:v>Elveția</c:v>
                </c:pt>
                <c:pt idx="35">
                  <c:v>Serbia</c:v>
                </c:pt>
                <c:pt idx="36">
                  <c:v>Macedonia de Nord</c:v>
                </c:pt>
              </c:strCache>
            </c:strRef>
          </c:cat>
          <c:val>
            <c:numRef>
              <c:f>'g4-1'!$B$30:$B$66</c:f>
              <c:numCache>
                <c:formatCode>0</c:formatCode>
                <c:ptCount val="37"/>
                <c:pt idx="0">
                  <c:v>9.5</c:v>
                </c:pt>
                <c:pt idx="1">
                  <c:v>15.5</c:v>
                </c:pt>
                <c:pt idx="2">
                  <c:v>17.5</c:v>
                </c:pt>
                <c:pt idx="4">
                  <c:v>20.5</c:v>
                </c:pt>
                <c:pt idx="5">
                  <c:v>13.5</c:v>
                </c:pt>
                <c:pt idx="6">
                  <c:v>26</c:v>
                </c:pt>
                <c:pt idx="7">
                  <c:v>18.25</c:v>
                </c:pt>
                <c:pt idx="8">
                  <c:v>20.5</c:v>
                </c:pt>
                <c:pt idx="9">
                  <c:v>21</c:v>
                </c:pt>
                <c:pt idx="10">
                  <c:v>22</c:v>
                </c:pt>
                <c:pt idx="11">
                  <c:v>23</c:v>
                </c:pt>
                <c:pt idx="12">
                  <c:v>19.5</c:v>
                </c:pt>
                <c:pt idx="13">
                  <c:v>15</c:v>
                </c:pt>
                <c:pt idx="14">
                  <c:v>19.5</c:v>
                </c:pt>
                <c:pt idx="15">
                  <c:v>19</c:v>
                </c:pt>
                <c:pt idx="16">
                  <c:v>21.85576923076923</c:v>
                </c:pt>
                <c:pt idx="17">
                  <c:v>23</c:v>
                </c:pt>
                <c:pt idx="18">
                  <c:v>24.5</c:v>
                </c:pt>
                <c:pt idx="19">
                  <c:v>22.5</c:v>
                </c:pt>
                <c:pt idx="20">
                  <c:v>23</c:v>
                </c:pt>
                <c:pt idx="21">
                  <c:v>25.5</c:v>
                </c:pt>
                <c:pt idx="22">
                  <c:v>23</c:v>
                </c:pt>
                <c:pt idx="23">
                  <c:v>23.5</c:v>
                </c:pt>
                <c:pt idx="24">
                  <c:v>33.5</c:v>
                </c:pt>
                <c:pt idx="25">
                  <c:v>29</c:v>
                </c:pt>
                <c:pt idx="26">
                  <c:v>30</c:v>
                </c:pt>
                <c:pt idx="27">
                  <c:v>30.5</c:v>
                </c:pt>
                <c:pt idx="29">
                  <c:v>5.5</c:v>
                </c:pt>
                <c:pt idx="30">
                  <c:v>9</c:v>
                </c:pt>
                <c:pt idx="31">
                  <c:v>13</c:v>
                </c:pt>
                <c:pt idx="33">
                  <c:v>8</c:v>
                </c:pt>
                <c:pt idx="34">
                  <c:v>17.5</c:v>
                </c:pt>
                <c:pt idx="36">
                  <c:v>16</c:v>
                </c:pt>
              </c:numCache>
            </c:numRef>
          </c:val>
          <c:smooth val="0"/>
          <c:extLst>
            <c:ext xmlns:c16="http://schemas.microsoft.com/office/drawing/2014/chart" uri="{C3380CC4-5D6E-409C-BE32-E72D297353CC}">
              <c16:uniqueId val="{00000001-8C73-48F5-8F0A-3716E36FB57B}"/>
            </c:ext>
          </c:extLst>
        </c:ser>
        <c:ser>
          <c:idx val="1"/>
          <c:order val="1"/>
          <c:tx>
            <c:strRef>
              <c:f>'g4-1'!$C$29</c:f>
              <c:strCache>
                <c:ptCount val="1"/>
                <c:pt idx="0">
                  <c:v>2022</c:v>
                </c:pt>
              </c:strCache>
            </c:strRef>
          </c:tx>
          <c:spPr>
            <a:ln w="28575">
              <a:noFill/>
            </a:ln>
          </c:spPr>
          <c:marker>
            <c:symbol val="circle"/>
            <c:size val="6"/>
            <c:spPr>
              <a:solidFill>
                <a:srgbClr val="006BB6"/>
              </a:solidFill>
              <a:ln w="3175">
                <a:solidFill>
                  <a:srgbClr val="006BB6"/>
                </a:solidFill>
                <a:prstDash val="solid"/>
              </a:ln>
              <a:effectLst/>
            </c:spPr>
          </c:marker>
          <c:dPt>
            <c:idx val="16"/>
            <c:marker>
              <c:spPr>
                <a:solidFill>
                  <a:srgbClr val="DD2C00"/>
                </a:solidFill>
                <a:ln w="3175">
                  <a:solidFill>
                    <a:srgbClr val="DD2C00"/>
                  </a:solidFill>
                  <a:prstDash val="solid"/>
                </a:ln>
                <a:effectLst/>
              </c:spPr>
            </c:marker>
            <c:bubble3D val="0"/>
            <c:extLst>
              <c:ext xmlns:c16="http://schemas.microsoft.com/office/drawing/2014/chart" uri="{C3380CC4-5D6E-409C-BE32-E72D297353CC}">
                <c16:uniqueId val="{00000002-8C73-48F5-8F0A-3716E36FB57B}"/>
              </c:ext>
            </c:extLst>
          </c:dPt>
          <c:dLbls>
            <c:dLbl>
              <c:idx val="0"/>
              <c:tx>
                <c:rich>
                  <a:bodyPr wrap="square" lIns="38100" tIns="19050" rIns="38100" bIns="19050" anchor="ctr">
                    <a:spAutoFit/>
                  </a:bodyPr>
                  <a:lstStyle/>
                  <a:p>
                    <a:pPr>
                      <a:defRPr sz="700" b="0" i="0">
                        <a:solidFill>
                          <a:srgbClr val="000000"/>
                        </a:solidFill>
                        <a:latin typeface="Arial Narrow" panose="020B0606020202030204" pitchFamily="34" charset="0"/>
                      </a:defRPr>
                    </a:pPr>
                    <a:r>
                      <a:rPr lang="en-US" sz="700" b="0" i="0">
                        <a:solidFill>
                          <a:srgbClr val="000000"/>
                        </a:solidFill>
                        <a:latin typeface="Arial Narrow" panose="020B0606020202030204" pitchFamily="34" charset="0"/>
                      </a:rPr>
                      <a:t>7</a:t>
                    </a:r>
                  </a:p>
                </c:rich>
              </c:tx>
              <c:spPr>
                <a:noFill/>
                <a:ln w="25400">
                  <a:noFill/>
                </a:ln>
              </c:spPr>
              <c:dLblPos val="b"/>
              <c:showLegendKey val="0"/>
              <c:showVal val="0"/>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8C73-48F5-8F0A-3716E36FB57B}"/>
                </c:ext>
              </c:extLst>
            </c:dLbl>
            <c:dLbl>
              <c:idx val="1"/>
              <c:tx>
                <c:rich>
                  <a:bodyPr wrap="square" lIns="38100" tIns="19050" rIns="38100" bIns="19050" anchor="ctr">
                    <a:spAutoFit/>
                  </a:bodyPr>
                  <a:lstStyle/>
                  <a:p>
                    <a:pPr>
                      <a:defRPr sz="700" b="0" i="0">
                        <a:solidFill>
                          <a:srgbClr val="000000"/>
                        </a:solidFill>
                        <a:latin typeface="Arial Narrow" panose="020B0606020202030204" pitchFamily="34" charset="0"/>
                      </a:defRPr>
                    </a:pPr>
                    <a:r>
                      <a:rPr lang="en-US" sz="700" b="0" i="0">
                        <a:solidFill>
                          <a:srgbClr val="000000"/>
                        </a:solidFill>
                        <a:latin typeface="Arial Narrow" panose="020B0606020202030204" pitchFamily="34" charset="0"/>
                      </a:rPr>
                      <a:t>9</a:t>
                    </a:r>
                  </a:p>
                </c:rich>
              </c:tx>
              <c:spPr>
                <a:noFill/>
                <a:ln w="25400">
                  <a:noFill/>
                </a:ln>
              </c:spPr>
              <c:dLblPos val="b"/>
              <c:showLegendKey val="0"/>
              <c:showVal val="0"/>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4-8C73-48F5-8F0A-3716E36FB57B}"/>
                </c:ext>
              </c:extLst>
            </c:dLbl>
            <c:dLbl>
              <c:idx val="2"/>
              <c:tx>
                <c:rich>
                  <a:bodyPr wrap="square" lIns="38100" tIns="19050" rIns="38100" bIns="19050" anchor="ctr">
                    <a:spAutoFit/>
                  </a:bodyPr>
                  <a:lstStyle/>
                  <a:p>
                    <a:pPr>
                      <a:defRPr sz="700" b="0" i="0">
                        <a:solidFill>
                          <a:srgbClr val="000000"/>
                        </a:solidFill>
                        <a:latin typeface="Arial Narrow" panose="020B0606020202030204" pitchFamily="34" charset="0"/>
                      </a:defRPr>
                    </a:pPr>
                    <a:r>
                      <a:rPr lang="en-US" sz="700" b="0" i="0">
                        <a:solidFill>
                          <a:srgbClr val="000000"/>
                        </a:solidFill>
                        <a:latin typeface="Arial Narrow" panose="020B0606020202030204" pitchFamily="34" charset="0"/>
                      </a:rPr>
                      <a:t>10</a:t>
                    </a:r>
                  </a:p>
                </c:rich>
              </c:tx>
              <c:spPr>
                <a:noFill/>
                <a:ln w="25400">
                  <a:noFill/>
                </a:ln>
              </c:spPr>
              <c:dLblPos val="b"/>
              <c:showLegendKey val="0"/>
              <c:showVal val="0"/>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5-8C73-48F5-8F0A-3716E36FB57B}"/>
                </c:ext>
              </c:extLst>
            </c:dLbl>
            <c:dLbl>
              <c:idx val="3"/>
              <c:tx>
                <c:rich>
                  <a:bodyPr wrap="square" lIns="38100" tIns="19050" rIns="38100" bIns="19050" anchor="ctr">
                    <a:spAutoFit/>
                  </a:bodyPr>
                  <a:lstStyle/>
                  <a:p>
                    <a:pPr>
                      <a:defRPr sz="700" b="0" i="0">
                        <a:solidFill>
                          <a:srgbClr val="000000"/>
                        </a:solidFill>
                        <a:latin typeface="Arial Narrow" panose="020B0606020202030204" pitchFamily="34" charset="0"/>
                      </a:defRPr>
                    </a:pPr>
                    <a:r>
                      <a:rPr lang="en-US" sz="700" b="0" i="0">
                        <a:solidFill>
                          <a:srgbClr val="000000"/>
                        </a:solidFill>
                        <a:latin typeface="Arial Narrow" panose="020B0606020202030204" pitchFamily="34" charset="0"/>
                      </a:rPr>
                      <a:t>11</a:t>
                    </a:r>
                  </a:p>
                </c:rich>
              </c:tx>
              <c:spPr>
                <a:noFill/>
                <a:ln w="25400">
                  <a:noFill/>
                </a:ln>
              </c:spPr>
              <c:dLblPos val="b"/>
              <c:showLegendKey val="0"/>
              <c:showVal val="0"/>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6-8C73-48F5-8F0A-3716E36FB57B}"/>
                </c:ext>
              </c:extLst>
            </c:dLbl>
            <c:dLbl>
              <c:idx val="4"/>
              <c:tx>
                <c:rich>
                  <a:bodyPr wrap="square" lIns="38100" tIns="19050" rIns="38100" bIns="19050" anchor="ctr">
                    <a:spAutoFit/>
                  </a:bodyPr>
                  <a:lstStyle/>
                  <a:p>
                    <a:pPr>
                      <a:defRPr sz="700" b="0" i="0">
                        <a:solidFill>
                          <a:srgbClr val="000000"/>
                        </a:solidFill>
                        <a:latin typeface="Arial Narrow" panose="020B0606020202030204" pitchFamily="34" charset="0"/>
                      </a:defRPr>
                    </a:pPr>
                    <a:r>
                      <a:rPr lang="en-US" sz="700" b="0" i="0">
                        <a:solidFill>
                          <a:srgbClr val="000000"/>
                        </a:solidFill>
                        <a:latin typeface="Arial Narrow" panose="020B0606020202030204" pitchFamily="34" charset="0"/>
                      </a:rPr>
                      <a:t>12</a:t>
                    </a:r>
                  </a:p>
                </c:rich>
              </c:tx>
              <c:spPr>
                <a:noFill/>
                <a:ln w="25400">
                  <a:noFill/>
                </a:ln>
              </c:spPr>
              <c:dLblPos val="b"/>
              <c:showLegendKey val="0"/>
              <c:showVal val="0"/>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7-8C73-48F5-8F0A-3716E36FB57B}"/>
                </c:ext>
              </c:extLst>
            </c:dLbl>
            <c:dLbl>
              <c:idx val="5"/>
              <c:tx>
                <c:rich>
                  <a:bodyPr wrap="square" lIns="38100" tIns="19050" rIns="38100" bIns="19050" anchor="ctr">
                    <a:spAutoFit/>
                  </a:bodyPr>
                  <a:lstStyle/>
                  <a:p>
                    <a:pPr>
                      <a:defRPr sz="700" b="0" i="0">
                        <a:solidFill>
                          <a:srgbClr val="000000"/>
                        </a:solidFill>
                        <a:latin typeface="Arial Narrow" panose="020B0606020202030204" pitchFamily="34" charset="0"/>
                      </a:defRPr>
                    </a:pPr>
                    <a:r>
                      <a:rPr lang="en-US" sz="700" b="0" i="0">
                        <a:solidFill>
                          <a:srgbClr val="000000"/>
                        </a:solidFill>
                        <a:latin typeface="Arial Narrow" panose="020B0606020202030204" pitchFamily="34" charset="0"/>
                      </a:rPr>
                      <a:t>12</a:t>
                    </a:r>
                  </a:p>
                </c:rich>
              </c:tx>
              <c:spPr>
                <a:noFill/>
                <a:ln w="25400">
                  <a:noFill/>
                </a:ln>
              </c:spPr>
              <c:dLblPos val="b"/>
              <c:showLegendKey val="0"/>
              <c:showVal val="0"/>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8-8C73-48F5-8F0A-3716E36FB57B}"/>
                </c:ext>
              </c:extLst>
            </c:dLbl>
            <c:dLbl>
              <c:idx val="6"/>
              <c:tx>
                <c:rich>
                  <a:bodyPr wrap="square" lIns="38100" tIns="19050" rIns="38100" bIns="19050" anchor="ctr">
                    <a:spAutoFit/>
                  </a:bodyPr>
                  <a:lstStyle/>
                  <a:p>
                    <a:pPr>
                      <a:defRPr sz="700" b="0" i="0">
                        <a:solidFill>
                          <a:srgbClr val="000000"/>
                        </a:solidFill>
                        <a:latin typeface="Arial Narrow" panose="020B0606020202030204" pitchFamily="34" charset="0"/>
                      </a:defRPr>
                    </a:pPr>
                    <a:r>
                      <a:rPr lang="en-US" sz="700" b="0" i="0">
                        <a:solidFill>
                          <a:srgbClr val="000000"/>
                        </a:solidFill>
                        <a:latin typeface="Arial Narrow" panose="020B0606020202030204" pitchFamily="34" charset="0"/>
                      </a:rPr>
                      <a:t>12</a:t>
                    </a:r>
                  </a:p>
                </c:rich>
              </c:tx>
              <c:spPr>
                <a:noFill/>
                <a:ln w="25400">
                  <a:noFill/>
                </a:ln>
              </c:spPr>
              <c:dLblPos val="b"/>
              <c:showLegendKey val="0"/>
              <c:showVal val="0"/>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9-8C73-48F5-8F0A-3716E36FB57B}"/>
                </c:ext>
              </c:extLst>
            </c:dLbl>
            <c:dLbl>
              <c:idx val="7"/>
              <c:tx>
                <c:rich>
                  <a:bodyPr wrap="square" lIns="38100" tIns="19050" rIns="38100" bIns="19050" anchor="ctr">
                    <a:spAutoFit/>
                  </a:bodyPr>
                  <a:lstStyle/>
                  <a:p>
                    <a:pPr>
                      <a:defRPr sz="700" b="0" i="0">
                        <a:solidFill>
                          <a:srgbClr val="000000"/>
                        </a:solidFill>
                        <a:latin typeface="Arial Narrow" panose="020B0606020202030204" pitchFamily="34" charset="0"/>
                      </a:defRPr>
                    </a:pPr>
                    <a:r>
                      <a:rPr lang="en-US" sz="700" b="0" i="0">
                        <a:solidFill>
                          <a:srgbClr val="000000"/>
                        </a:solidFill>
                        <a:latin typeface="Arial Narrow" panose="020B0606020202030204" pitchFamily="34" charset="0"/>
                      </a:rPr>
                      <a:t>12</a:t>
                    </a:r>
                  </a:p>
                </c:rich>
              </c:tx>
              <c:spPr>
                <a:noFill/>
                <a:ln w="25400">
                  <a:noFill/>
                </a:ln>
              </c:spPr>
              <c:dLblPos val="b"/>
              <c:showLegendKey val="0"/>
              <c:showVal val="0"/>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A-8C73-48F5-8F0A-3716E36FB57B}"/>
                </c:ext>
              </c:extLst>
            </c:dLbl>
            <c:dLbl>
              <c:idx val="8"/>
              <c:tx>
                <c:rich>
                  <a:bodyPr wrap="square" lIns="38100" tIns="19050" rIns="38100" bIns="19050" anchor="ctr">
                    <a:spAutoFit/>
                  </a:bodyPr>
                  <a:lstStyle/>
                  <a:p>
                    <a:pPr>
                      <a:defRPr sz="700" b="0" i="0">
                        <a:solidFill>
                          <a:srgbClr val="000000"/>
                        </a:solidFill>
                        <a:latin typeface="Arial Narrow" panose="020B0606020202030204" pitchFamily="34" charset="0"/>
                      </a:defRPr>
                    </a:pPr>
                    <a:r>
                      <a:rPr lang="en-US" sz="700" b="0" i="0">
                        <a:solidFill>
                          <a:srgbClr val="000000"/>
                        </a:solidFill>
                        <a:latin typeface="Arial Narrow" panose="020B0606020202030204" pitchFamily="34" charset="0"/>
                      </a:rPr>
                      <a:t>13</a:t>
                    </a:r>
                  </a:p>
                </c:rich>
              </c:tx>
              <c:spPr>
                <a:noFill/>
                <a:ln w="25400">
                  <a:noFill/>
                </a:ln>
              </c:spPr>
              <c:dLblPos val="b"/>
              <c:showLegendKey val="0"/>
              <c:showVal val="0"/>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B-8C73-48F5-8F0A-3716E36FB57B}"/>
                </c:ext>
              </c:extLst>
            </c:dLbl>
            <c:dLbl>
              <c:idx val="9"/>
              <c:tx>
                <c:rich>
                  <a:bodyPr wrap="square" lIns="38100" tIns="19050" rIns="38100" bIns="19050" anchor="ctr">
                    <a:spAutoFit/>
                  </a:bodyPr>
                  <a:lstStyle/>
                  <a:p>
                    <a:pPr>
                      <a:defRPr sz="700" b="0" i="0">
                        <a:solidFill>
                          <a:srgbClr val="000000"/>
                        </a:solidFill>
                        <a:latin typeface="Arial Narrow" panose="020B0606020202030204" pitchFamily="34" charset="0"/>
                      </a:defRPr>
                    </a:pPr>
                    <a:r>
                      <a:rPr lang="en-US" sz="700" b="0" i="0">
                        <a:solidFill>
                          <a:srgbClr val="000000"/>
                        </a:solidFill>
                        <a:latin typeface="Arial Narrow" panose="020B0606020202030204" pitchFamily="34" charset="0"/>
                      </a:rPr>
                      <a:t>13</a:t>
                    </a:r>
                  </a:p>
                </c:rich>
              </c:tx>
              <c:spPr>
                <a:noFill/>
                <a:ln w="25400">
                  <a:noFill/>
                </a:ln>
              </c:spPr>
              <c:dLblPos val="b"/>
              <c:showLegendKey val="0"/>
              <c:showVal val="0"/>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C-8C73-48F5-8F0A-3716E36FB57B}"/>
                </c:ext>
              </c:extLst>
            </c:dLbl>
            <c:dLbl>
              <c:idx val="10"/>
              <c:tx>
                <c:rich>
                  <a:bodyPr wrap="square" lIns="38100" tIns="19050" rIns="38100" bIns="19050" anchor="ctr">
                    <a:spAutoFit/>
                  </a:bodyPr>
                  <a:lstStyle/>
                  <a:p>
                    <a:pPr>
                      <a:defRPr sz="700" b="0" i="0">
                        <a:solidFill>
                          <a:srgbClr val="000000"/>
                        </a:solidFill>
                        <a:latin typeface="Arial Narrow" panose="020B0606020202030204" pitchFamily="34" charset="0"/>
                      </a:defRPr>
                    </a:pPr>
                    <a:r>
                      <a:rPr lang="en-US" sz="700" b="0" i="0">
                        <a:solidFill>
                          <a:srgbClr val="000000"/>
                        </a:solidFill>
                        <a:latin typeface="Arial Narrow" panose="020B0606020202030204" pitchFamily="34" charset="0"/>
                      </a:rPr>
                      <a:t>14</a:t>
                    </a:r>
                  </a:p>
                </c:rich>
              </c:tx>
              <c:spPr>
                <a:noFill/>
                <a:ln w="25400">
                  <a:noFill/>
                </a:ln>
              </c:spPr>
              <c:dLblPos val="b"/>
              <c:showLegendKey val="0"/>
              <c:showVal val="0"/>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D-8C73-48F5-8F0A-3716E36FB57B}"/>
                </c:ext>
              </c:extLst>
            </c:dLbl>
            <c:dLbl>
              <c:idx val="11"/>
              <c:tx>
                <c:rich>
                  <a:bodyPr wrap="square" lIns="38100" tIns="19050" rIns="38100" bIns="19050" anchor="ctr">
                    <a:spAutoFit/>
                  </a:bodyPr>
                  <a:lstStyle/>
                  <a:p>
                    <a:pPr>
                      <a:defRPr sz="700" b="0" i="0">
                        <a:solidFill>
                          <a:srgbClr val="000000"/>
                        </a:solidFill>
                        <a:latin typeface="Arial Narrow" panose="020B0606020202030204" pitchFamily="34" charset="0"/>
                      </a:defRPr>
                    </a:pPr>
                    <a:r>
                      <a:rPr lang="en-US" sz="700" b="0" i="0">
                        <a:solidFill>
                          <a:srgbClr val="000000"/>
                        </a:solidFill>
                        <a:latin typeface="Arial Narrow" panose="020B0606020202030204" pitchFamily="34" charset="0"/>
                      </a:rPr>
                      <a:t>14</a:t>
                    </a:r>
                  </a:p>
                </c:rich>
              </c:tx>
              <c:spPr>
                <a:noFill/>
                <a:ln w="25400">
                  <a:noFill/>
                </a:ln>
              </c:spPr>
              <c:dLblPos val="b"/>
              <c:showLegendKey val="0"/>
              <c:showVal val="0"/>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E-8C73-48F5-8F0A-3716E36FB57B}"/>
                </c:ext>
              </c:extLst>
            </c:dLbl>
            <c:dLbl>
              <c:idx val="12"/>
              <c:tx>
                <c:rich>
                  <a:bodyPr wrap="square" lIns="38100" tIns="19050" rIns="38100" bIns="19050" anchor="ctr">
                    <a:spAutoFit/>
                  </a:bodyPr>
                  <a:lstStyle/>
                  <a:p>
                    <a:pPr>
                      <a:defRPr sz="700" b="0" i="0">
                        <a:solidFill>
                          <a:srgbClr val="000000"/>
                        </a:solidFill>
                        <a:latin typeface="Arial Narrow" panose="020B0606020202030204" pitchFamily="34" charset="0"/>
                      </a:defRPr>
                    </a:pPr>
                    <a:r>
                      <a:rPr lang="en-US" sz="700" b="0" i="0">
                        <a:solidFill>
                          <a:srgbClr val="000000"/>
                        </a:solidFill>
                        <a:latin typeface="Arial Narrow" panose="020B0606020202030204" pitchFamily="34" charset="0"/>
                      </a:rPr>
                      <a:t>15</a:t>
                    </a:r>
                  </a:p>
                </c:rich>
              </c:tx>
              <c:spPr>
                <a:noFill/>
                <a:ln w="25400">
                  <a:noFill/>
                </a:ln>
              </c:spPr>
              <c:dLblPos val="b"/>
              <c:showLegendKey val="0"/>
              <c:showVal val="0"/>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F-8C73-48F5-8F0A-3716E36FB57B}"/>
                </c:ext>
              </c:extLst>
            </c:dLbl>
            <c:dLbl>
              <c:idx val="13"/>
              <c:tx>
                <c:rich>
                  <a:bodyPr wrap="square" lIns="38100" tIns="19050" rIns="38100" bIns="19050" anchor="ctr">
                    <a:spAutoFit/>
                  </a:bodyPr>
                  <a:lstStyle/>
                  <a:p>
                    <a:pPr>
                      <a:defRPr sz="700" b="0" i="0">
                        <a:solidFill>
                          <a:srgbClr val="000000"/>
                        </a:solidFill>
                        <a:latin typeface="Arial Narrow" panose="020B0606020202030204" pitchFamily="34" charset="0"/>
                      </a:defRPr>
                    </a:pPr>
                    <a:r>
                      <a:rPr lang="en-US" sz="700" b="0" i="0">
                        <a:solidFill>
                          <a:srgbClr val="000000"/>
                        </a:solidFill>
                        <a:latin typeface="Arial Narrow" panose="020B0606020202030204" pitchFamily="34" charset="0"/>
                      </a:rPr>
                      <a:t>15</a:t>
                    </a:r>
                  </a:p>
                </c:rich>
              </c:tx>
              <c:spPr>
                <a:noFill/>
                <a:ln w="25400">
                  <a:noFill/>
                </a:ln>
              </c:spPr>
              <c:dLblPos val="b"/>
              <c:showLegendKey val="0"/>
              <c:showVal val="0"/>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10-8C73-48F5-8F0A-3716E36FB57B}"/>
                </c:ext>
              </c:extLst>
            </c:dLbl>
            <c:dLbl>
              <c:idx val="14"/>
              <c:tx>
                <c:rich>
                  <a:bodyPr wrap="square" lIns="38100" tIns="19050" rIns="38100" bIns="19050" anchor="ctr">
                    <a:spAutoFit/>
                  </a:bodyPr>
                  <a:lstStyle/>
                  <a:p>
                    <a:pPr>
                      <a:defRPr sz="700" b="0" i="0">
                        <a:solidFill>
                          <a:srgbClr val="000000"/>
                        </a:solidFill>
                        <a:latin typeface="Arial Narrow" panose="020B0606020202030204" pitchFamily="34" charset="0"/>
                      </a:defRPr>
                    </a:pPr>
                    <a:r>
                      <a:rPr lang="en-US" sz="700" b="0" i="0">
                        <a:solidFill>
                          <a:srgbClr val="000000"/>
                        </a:solidFill>
                        <a:latin typeface="Arial Narrow" panose="020B0606020202030204" pitchFamily="34" charset="0"/>
                      </a:rPr>
                      <a:t>17</a:t>
                    </a:r>
                  </a:p>
                </c:rich>
              </c:tx>
              <c:spPr>
                <a:noFill/>
                <a:ln w="25400">
                  <a:noFill/>
                </a:ln>
              </c:spPr>
              <c:dLblPos val="b"/>
              <c:showLegendKey val="0"/>
              <c:showVal val="0"/>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11-8C73-48F5-8F0A-3716E36FB57B}"/>
                </c:ext>
              </c:extLst>
            </c:dLbl>
            <c:dLbl>
              <c:idx val="15"/>
              <c:tx>
                <c:rich>
                  <a:bodyPr wrap="square" lIns="38100" tIns="19050" rIns="38100" bIns="19050" anchor="ctr">
                    <a:spAutoFit/>
                  </a:bodyPr>
                  <a:lstStyle/>
                  <a:p>
                    <a:pPr>
                      <a:defRPr sz="700" b="0" i="0">
                        <a:solidFill>
                          <a:srgbClr val="000000"/>
                        </a:solidFill>
                        <a:latin typeface="Arial Narrow" panose="020B0606020202030204" pitchFamily="34" charset="0"/>
                      </a:defRPr>
                    </a:pPr>
                    <a:r>
                      <a:rPr lang="en-US" sz="700" b="0" i="0">
                        <a:solidFill>
                          <a:srgbClr val="000000"/>
                        </a:solidFill>
                        <a:latin typeface="Arial Narrow" panose="020B0606020202030204" pitchFamily="34" charset="0"/>
                      </a:rPr>
                      <a:t>17</a:t>
                    </a:r>
                  </a:p>
                </c:rich>
              </c:tx>
              <c:spPr>
                <a:noFill/>
                <a:ln w="25400">
                  <a:noFill/>
                </a:ln>
              </c:spPr>
              <c:dLblPos val="b"/>
              <c:showLegendKey val="0"/>
              <c:showVal val="0"/>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12-8C73-48F5-8F0A-3716E36FB57B}"/>
                </c:ext>
              </c:extLst>
            </c:dLbl>
            <c:dLbl>
              <c:idx val="16"/>
              <c:tx>
                <c:rich>
                  <a:bodyPr wrap="square" lIns="38100" tIns="19050" rIns="38100" bIns="19050" anchor="ctr">
                    <a:spAutoFit/>
                  </a:bodyPr>
                  <a:lstStyle/>
                  <a:p>
                    <a:pPr>
                      <a:defRPr sz="700" b="0" i="0">
                        <a:solidFill>
                          <a:srgbClr val="000000"/>
                        </a:solidFill>
                        <a:latin typeface="Arial Narrow" panose="020B0606020202030204" pitchFamily="34" charset="0"/>
                      </a:defRPr>
                    </a:pPr>
                    <a:r>
                      <a:rPr lang="en-US" sz="700" b="0" i="0">
                        <a:solidFill>
                          <a:srgbClr val="000000"/>
                        </a:solidFill>
                        <a:latin typeface="Arial Narrow" panose="020B0606020202030204" pitchFamily="34" charset="0"/>
                      </a:rPr>
                      <a:t>17</a:t>
                    </a:r>
                  </a:p>
                </c:rich>
              </c:tx>
              <c:spPr>
                <a:noFill/>
                <a:ln w="25400">
                  <a:noFill/>
                </a:ln>
              </c:spPr>
              <c:dLblPos val="b"/>
              <c:showLegendKey val="0"/>
              <c:showVal val="0"/>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2-8C73-48F5-8F0A-3716E36FB57B}"/>
                </c:ext>
              </c:extLst>
            </c:dLbl>
            <c:dLbl>
              <c:idx val="17"/>
              <c:tx>
                <c:rich>
                  <a:bodyPr wrap="square" lIns="38100" tIns="19050" rIns="38100" bIns="19050" anchor="ctr">
                    <a:spAutoFit/>
                  </a:bodyPr>
                  <a:lstStyle/>
                  <a:p>
                    <a:pPr>
                      <a:defRPr sz="700" b="0" i="0">
                        <a:solidFill>
                          <a:srgbClr val="000000"/>
                        </a:solidFill>
                        <a:latin typeface="Arial Narrow" panose="020B0606020202030204" pitchFamily="34" charset="0"/>
                      </a:defRPr>
                    </a:pPr>
                    <a:r>
                      <a:rPr lang="en-US" sz="700" b="0" i="0">
                        <a:solidFill>
                          <a:srgbClr val="000000"/>
                        </a:solidFill>
                        <a:latin typeface="Arial Narrow" panose="020B0606020202030204" pitchFamily="34" charset="0"/>
                      </a:rPr>
                      <a:t>18</a:t>
                    </a:r>
                  </a:p>
                </c:rich>
              </c:tx>
              <c:spPr>
                <a:noFill/>
                <a:ln w="25400">
                  <a:noFill/>
                </a:ln>
              </c:spPr>
              <c:dLblPos val="b"/>
              <c:showLegendKey val="0"/>
              <c:showVal val="0"/>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13-8C73-48F5-8F0A-3716E36FB57B}"/>
                </c:ext>
              </c:extLst>
            </c:dLbl>
            <c:dLbl>
              <c:idx val="18"/>
              <c:tx>
                <c:rich>
                  <a:bodyPr wrap="square" lIns="38100" tIns="19050" rIns="38100" bIns="19050" anchor="ctr">
                    <a:spAutoFit/>
                  </a:bodyPr>
                  <a:lstStyle/>
                  <a:p>
                    <a:pPr>
                      <a:defRPr sz="700" b="0" i="0">
                        <a:solidFill>
                          <a:srgbClr val="000000"/>
                        </a:solidFill>
                        <a:latin typeface="Arial Narrow" panose="020B0606020202030204" pitchFamily="34" charset="0"/>
                      </a:defRPr>
                    </a:pPr>
                    <a:r>
                      <a:rPr lang="en-US" sz="700" b="0" i="0">
                        <a:solidFill>
                          <a:srgbClr val="000000"/>
                        </a:solidFill>
                        <a:latin typeface="Arial Narrow" panose="020B0606020202030204" pitchFamily="34" charset="0"/>
                      </a:rPr>
                      <a:t>18</a:t>
                    </a:r>
                  </a:p>
                </c:rich>
              </c:tx>
              <c:spPr>
                <a:noFill/>
                <a:ln w="25400">
                  <a:noFill/>
                </a:ln>
              </c:spPr>
              <c:dLblPos val="b"/>
              <c:showLegendKey val="0"/>
              <c:showVal val="0"/>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14-8C73-48F5-8F0A-3716E36FB57B}"/>
                </c:ext>
              </c:extLst>
            </c:dLbl>
            <c:dLbl>
              <c:idx val="19"/>
              <c:tx>
                <c:rich>
                  <a:bodyPr wrap="square" lIns="38100" tIns="19050" rIns="38100" bIns="19050" anchor="ctr">
                    <a:spAutoFit/>
                  </a:bodyPr>
                  <a:lstStyle/>
                  <a:p>
                    <a:pPr>
                      <a:defRPr sz="700" b="0" i="0">
                        <a:solidFill>
                          <a:srgbClr val="000000"/>
                        </a:solidFill>
                        <a:latin typeface="Arial Narrow" panose="020B0606020202030204" pitchFamily="34" charset="0"/>
                      </a:defRPr>
                    </a:pPr>
                    <a:r>
                      <a:rPr lang="en-US" sz="700" b="0" i="0">
                        <a:solidFill>
                          <a:srgbClr val="000000"/>
                        </a:solidFill>
                        <a:latin typeface="Arial Narrow" panose="020B0606020202030204" pitchFamily="34" charset="0"/>
                      </a:rPr>
                      <a:t>19</a:t>
                    </a:r>
                  </a:p>
                </c:rich>
              </c:tx>
              <c:spPr>
                <a:noFill/>
                <a:ln w="25400">
                  <a:noFill/>
                </a:ln>
              </c:spPr>
              <c:dLblPos val="b"/>
              <c:showLegendKey val="0"/>
              <c:showVal val="0"/>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15-8C73-48F5-8F0A-3716E36FB57B}"/>
                </c:ext>
              </c:extLst>
            </c:dLbl>
            <c:dLbl>
              <c:idx val="20"/>
              <c:tx>
                <c:rich>
                  <a:bodyPr wrap="square" lIns="38100" tIns="19050" rIns="38100" bIns="19050" anchor="ctr">
                    <a:spAutoFit/>
                  </a:bodyPr>
                  <a:lstStyle/>
                  <a:p>
                    <a:pPr>
                      <a:defRPr sz="700" b="0" i="0">
                        <a:solidFill>
                          <a:srgbClr val="000000"/>
                        </a:solidFill>
                        <a:latin typeface="Arial Narrow" panose="020B0606020202030204" pitchFamily="34" charset="0"/>
                      </a:defRPr>
                    </a:pPr>
                    <a:r>
                      <a:rPr lang="en-US" sz="700" b="0" i="0">
                        <a:solidFill>
                          <a:srgbClr val="000000"/>
                        </a:solidFill>
                        <a:latin typeface="Arial Narrow" panose="020B0606020202030204" pitchFamily="34" charset="0"/>
                      </a:rPr>
                      <a:t>19</a:t>
                    </a:r>
                  </a:p>
                </c:rich>
              </c:tx>
              <c:spPr>
                <a:noFill/>
                <a:ln w="25400">
                  <a:noFill/>
                </a:ln>
              </c:spPr>
              <c:dLblPos val="b"/>
              <c:showLegendKey val="0"/>
              <c:showVal val="0"/>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16-8C73-48F5-8F0A-3716E36FB57B}"/>
                </c:ext>
              </c:extLst>
            </c:dLbl>
            <c:dLbl>
              <c:idx val="21"/>
              <c:tx>
                <c:rich>
                  <a:bodyPr wrap="square" lIns="38100" tIns="19050" rIns="38100" bIns="19050" anchor="ctr">
                    <a:spAutoFit/>
                  </a:bodyPr>
                  <a:lstStyle/>
                  <a:p>
                    <a:pPr>
                      <a:defRPr sz="700" b="0" i="0">
                        <a:solidFill>
                          <a:srgbClr val="000000"/>
                        </a:solidFill>
                        <a:latin typeface="Arial Narrow" panose="020B0606020202030204" pitchFamily="34" charset="0"/>
                      </a:defRPr>
                    </a:pPr>
                    <a:r>
                      <a:rPr lang="en-US" sz="700" b="0" i="0">
                        <a:solidFill>
                          <a:srgbClr val="000000"/>
                        </a:solidFill>
                        <a:latin typeface="Arial Narrow" panose="020B0606020202030204" pitchFamily="34" charset="0"/>
                      </a:rPr>
                      <a:t>20</a:t>
                    </a:r>
                  </a:p>
                </c:rich>
              </c:tx>
              <c:spPr>
                <a:noFill/>
                <a:ln w="25400">
                  <a:noFill/>
                </a:ln>
              </c:spPr>
              <c:dLblPos val="b"/>
              <c:showLegendKey val="0"/>
              <c:showVal val="0"/>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17-8C73-48F5-8F0A-3716E36FB57B}"/>
                </c:ext>
              </c:extLst>
            </c:dLbl>
            <c:dLbl>
              <c:idx val="22"/>
              <c:tx>
                <c:rich>
                  <a:bodyPr wrap="square" lIns="38100" tIns="19050" rIns="38100" bIns="19050" anchor="ctr">
                    <a:spAutoFit/>
                  </a:bodyPr>
                  <a:lstStyle/>
                  <a:p>
                    <a:pPr>
                      <a:defRPr sz="700" b="0" i="0">
                        <a:solidFill>
                          <a:srgbClr val="000000"/>
                        </a:solidFill>
                        <a:latin typeface="Arial Narrow" panose="020B0606020202030204" pitchFamily="34" charset="0"/>
                      </a:defRPr>
                    </a:pPr>
                    <a:r>
                      <a:rPr lang="en-US" sz="700" b="0" i="0">
                        <a:solidFill>
                          <a:srgbClr val="000000"/>
                        </a:solidFill>
                        <a:latin typeface="Arial Narrow" panose="020B0606020202030204" pitchFamily="34" charset="0"/>
                      </a:rPr>
                      <a:t>23</a:t>
                    </a:r>
                  </a:p>
                </c:rich>
              </c:tx>
              <c:spPr>
                <a:noFill/>
                <a:ln w="25400">
                  <a:noFill/>
                </a:ln>
              </c:spPr>
              <c:dLblPos val="b"/>
              <c:showLegendKey val="0"/>
              <c:showVal val="0"/>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18-8C73-48F5-8F0A-3716E36FB57B}"/>
                </c:ext>
              </c:extLst>
            </c:dLbl>
            <c:dLbl>
              <c:idx val="23"/>
              <c:tx>
                <c:rich>
                  <a:bodyPr wrap="square" lIns="38100" tIns="19050" rIns="38100" bIns="19050" anchor="ctr">
                    <a:spAutoFit/>
                  </a:bodyPr>
                  <a:lstStyle/>
                  <a:p>
                    <a:pPr>
                      <a:defRPr sz="700" b="0" i="0">
                        <a:solidFill>
                          <a:srgbClr val="000000"/>
                        </a:solidFill>
                        <a:latin typeface="Arial Narrow" panose="020B0606020202030204" pitchFamily="34" charset="0"/>
                      </a:defRPr>
                    </a:pPr>
                    <a:r>
                      <a:rPr lang="en-US" sz="700" b="0" i="0">
                        <a:solidFill>
                          <a:srgbClr val="000000"/>
                        </a:solidFill>
                        <a:latin typeface="Arial Narrow" panose="020B0606020202030204" pitchFamily="34" charset="0"/>
                      </a:rPr>
                      <a:t>23</a:t>
                    </a:r>
                  </a:p>
                </c:rich>
              </c:tx>
              <c:spPr>
                <a:noFill/>
                <a:ln w="25400">
                  <a:noFill/>
                </a:ln>
              </c:spPr>
              <c:dLblPos val="b"/>
              <c:showLegendKey val="0"/>
              <c:showVal val="0"/>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19-8C73-48F5-8F0A-3716E36FB57B}"/>
                </c:ext>
              </c:extLst>
            </c:dLbl>
            <c:dLbl>
              <c:idx val="24"/>
              <c:tx>
                <c:rich>
                  <a:bodyPr wrap="square" lIns="38100" tIns="19050" rIns="38100" bIns="19050" anchor="ctr">
                    <a:spAutoFit/>
                  </a:bodyPr>
                  <a:lstStyle/>
                  <a:p>
                    <a:pPr>
                      <a:defRPr sz="700" b="0" i="0">
                        <a:solidFill>
                          <a:srgbClr val="000000"/>
                        </a:solidFill>
                        <a:latin typeface="Arial Narrow" panose="020B0606020202030204" pitchFamily="34" charset="0"/>
                      </a:defRPr>
                    </a:pPr>
                    <a:r>
                      <a:rPr lang="en-US" sz="700" b="0" i="0">
                        <a:solidFill>
                          <a:srgbClr val="000000"/>
                        </a:solidFill>
                        <a:latin typeface="Arial Narrow" panose="020B0606020202030204" pitchFamily="34" charset="0"/>
                      </a:rPr>
                      <a:t>26</a:t>
                    </a:r>
                  </a:p>
                </c:rich>
              </c:tx>
              <c:spPr>
                <a:noFill/>
                <a:ln w="25400">
                  <a:noFill/>
                </a:ln>
              </c:spPr>
              <c:dLblPos val="b"/>
              <c:showLegendKey val="0"/>
              <c:showVal val="0"/>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1A-8C73-48F5-8F0A-3716E36FB57B}"/>
                </c:ext>
              </c:extLst>
            </c:dLbl>
            <c:dLbl>
              <c:idx val="25"/>
              <c:tx>
                <c:rich>
                  <a:bodyPr wrap="square" lIns="38100" tIns="19050" rIns="38100" bIns="19050" anchor="ctr">
                    <a:spAutoFit/>
                  </a:bodyPr>
                  <a:lstStyle/>
                  <a:p>
                    <a:pPr>
                      <a:defRPr sz="700" b="0" i="0">
                        <a:solidFill>
                          <a:srgbClr val="000000"/>
                        </a:solidFill>
                        <a:latin typeface="Arial Narrow" panose="020B0606020202030204" pitchFamily="34" charset="0"/>
                      </a:defRPr>
                    </a:pPr>
                    <a:r>
                      <a:rPr lang="en-US" sz="700" b="0" i="0">
                        <a:solidFill>
                          <a:srgbClr val="000000"/>
                        </a:solidFill>
                        <a:latin typeface="Arial Narrow" panose="020B0606020202030204" pitchFamily="34" charset="0"/>
                      </a:rPr>
                      <a:t>27</a:t>
                    </a:r>
                  </a:p>
                </c:rich>
              </c:tx>
              <c:spPr>
                <a:noFill/>
                <a:ln w="25400">
                  <a:noFill/>
                </a:ln>
              </c:spPr>
              <c:dLblPos val="b"/>
              <c:showLegendKey val="0"/>
              <c:showVal val="0"/>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1B-8C73-48F5-8F0A-3716E36FB57B}"/>
                </c:ext>
              </c:extLst>
            </c:dLbl>
            <c:dLbl>
              <c:idx val="26"/>
              <c:tx>
                <c:rich>
                  <a:bodyPr wrap="square" lIns="38100" tIns="19050" rIns="38100" bIns="19050" anchor="ctr">
                    <a:spAutoFit/>
                  </a:bodyPr>
                  <a:lstStyle/>
                  <a:p>
                    <a:pPr>
                      <a:defRPr sz="700" b="0" i="0">
                        <a:solidFill>
                          <a:srgbClr val="000000"/>
                        </a:solidFill>
                        <a:latin typeface="Arial Narrow" panose="020B0606020202030204" pitchFamily="34" charset="0"/>
                      </a:defRPr>
                    </a:pPr>
                    <a:r>
                      <a:rPr lang="en-US" sz="700" b="0" i="0">
                        <a:solidFill>
                          <a:srgbClr val="000000"/>
                        </a:solidFill>
                        <a:latin typeface="Arial Narrow" panose="020B0606020202030204" pitchFamily="34" charset="0"/>
                      </a:rPr>
                      <a:t>29</a:t>
                    </a:r>
                  </a:p>
                </c:rich>
              </c:tx>
              <c:spPr>
                <a:noFill/>
                <a:ln w="25400">
                  <a:noFill/>
                </a:ln>
              </c:spPr>
              <c:dLblPos val="b"/>
              <c:showLegendKey val="0"/>
              <c:showVal val="0"/>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1C-8C73-48F5-8F0A-3716E36FB57B}"/>
                </c:ext>
              </c:extLst>
            </c:dLbl>
            <c:dLbl>
              <c:idx val="27"/>
              <c:tx>
                <c:rich>
                  <a:bodyPr wrap="square" lIns="38100" tIns="19050" rIns="38100" bIns="19050" anchor="ctr">
                    <a:spAutoFit/>
                  </a:bodyPr>
                  <a:lstStyle/>
                  <a:p>
                    <a:pPr>
                      <a:defRPr sz="700" b="0" i="0">
                        <a:solidFill>
                          <a:srgbClr val="000000"/>
                        </a:solidFill>
                        <a:latin typeface="Arial Narrow" panose="020B0606020202030204" pitchFamily="34" charset="0"/>
                      </a:defRPr>
                    </a:pPr>
                    <a:r>
                      <a:rPr lang="en-US" sz="700" b="0" i="0">
                        <a:solidFill>
                          <a:srgbClr val="000000"/>
                        </a:solidFill>
                        <a:latin typeface="Arial Narrow" panose="020B0606020202030204" pitchFamily="34" charset="0"/>
                      </a:rPr>
                      <a:t>32</a:t>
                    </a:r>
                  </a:p>
                </c:rich>
              </c:tx>
              <c:spPr>
                <a:noFill/>
                <a:ln w="25400">
                  <a:noFill/>
                </a:ln>
              </c:spPr>
              <c:dLblPos val="t"/>
              <c:showLegendKey val="0"/>
              <c:showVal val="0"/>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1D-8C73-48F5-8F0A-3716E36FB57B}"/>
                </c:ext>
              </c:extLst>
            </c:dLbl>
            <c:dLbl>
              <c:idx val="28"/>
              <c:tx>
                <c:rich>
                  <a:bodyPr wrap="square" lIns="38100" tIns="19050" rIns="38100" bIns="19050" anchor="ctr">
                    <a:spAutoFit/>
                  </a:bodyPr>
                  <a:lstStyle/>
                  <a:p>
                    <a:pPr>
                      <a:defRPr sz="700" b="0" i="0">
                        <a:solidFill>
                          <a:srgbClr val="000000"/>
                        </a:solidFill>
                        <a:latin typeface="Arial Narrow" panose="020B0606020202030204" pitchFamily="34" charset="0"/>
                      </a:defRPr>
                    </a:pPr>
                    <a:endParaRPr lang="en-GB" sz="700" b="0" i="0">
                      <a:solidFill>
                        <a:srgbClr val="000000"/>
                      </a:solidFill>
                      <a:latin typeface="Arial Narrow" panose="020B0606020202030204" pitchFamily="34" charset="0"/>
                    </a:endParaRPr>
                  </a:p>
                </c:rich>
              </c:tx>
              <c:spPr>
                <a:noFill/>
                <a:ln w="25400">
                  <a:noFill/>
                </a:ln>
              </c:spPr>
              <c:dLblPos val="b"/>
              <c:showLegendKey val="0"/>
              <c:showVal val="0"/>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1E-8C73-48F5-8F0A-3716E36FB57B}"/>
                </c:ext>
              </c:extLst>
            </c:dLbl>
            <c:dLbl>
              <c:idx val="29"/>
              <c:layout>
                <c:manualLayout>
                  <c:x val="-2.4815689202256574E-2"/>
                  <c:y val="2.692883250943726E-2"/>
                </c:manualLayout>
              </c:layout>
              <c:tx>
                <c:rich>
                  <a:bodyPr wrap="square" lIns="38100" tIns="19050" rIns="38100" bIns="19050" anchor="ctr">
                    <a:spAutoFit/>
                  </a:bodyPr>
                  <a:lstStyle/>
                  <a:p>
                    <a:pPr>
                      <a:defRPr sz="700" b="0" i="0">
                        <a:solidFill>
                          <a:srgbClr val="000000"/>
                        </a:solidFill>
                        <a:latin typeface="Arial Narrow" panose="020B0606020202030204" pitchFamily="34" charset="0"/>
                      </a:defRPr>
                    </a:pPr>
                    <a:r>
                      <a:rPr lang="en-US" sz="700" b="0" i="0">
                        <a:solidFill>
                          <a:srgbClr val="000000"/>
                        </a:solidFill>
                        <a:latin typeface="Arial Narrow" panose="020B0606020202030204" pitchFamily="34" charset="0"/>
                      </a:rPr>
                      <a:t>4</a:t>
                    </a:r>
                  </a:p>
                </c:rich>
              </c:tx>
              <c:spPr>
                <a:noFill/>
                <a:ln w="25400">
                  <a:noFill/>
                </a:ln>
              </c:spPr>
              <c:dLblPos val="r"/>
              <c:showLegendKey val="0"/>
              <c:showVal val="0"/>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1F-8C73-48F5-8F0A-3716E36FB57B}"/>
                </c:ext>
              </c:extLst>
            </c:dLbl>
            <c:dLbl>
              <c:idx val="30"/>
              <c:tx>
                <c:rich>
                  <a:bodyPr wrap="square" lIns="38100" tIns="19050" rIns="38100" bIns="19050" anchor="ctr">
                    <a:spAutoFit/>
                  </a:bodyPr>
                  <a:lstStyle/>
                  <a:p>
                    <a:pPr>
                      <a:defRPr sz="700" b="0" i="0">
                        <a:solidFill>
                          <a:srgbClr val="000000"/>
                        </a:solidFill>
                        <a:latin typeface="Arial Narrow" panose="020B0606020202030204" pitchFamily="34" charset="0"/>
                      </a:defRPr>
                    </a:pPr>
                    <a:r>
                      <a:rPr lang="en-US" sz="700" b="0" i="0">
                        <a:solidFill>
                          <a:srgbClr val="000000"/>
                        </a:solidFill>
                        <a:latin typeface="Arial Narrow" panose="020B0606020202030204" pitchFamily="34" charset="0"/>
                      </a:rPr>
                      <a:t>9</a:t>
                    </a:r>
                  </a:p>
                </c:rich>
              </c:tx>
              <c:spPr>
                <a:noFill/>
                <a:ln w="25400">
                  <a:noFill/>
                </a:ln>
              </c:spPr>
              <c:dLblPos val="b"/>
              <c:showLegendKey val="0"/>
              <c:showVal val="0"/>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20-8C73-48F5-8F0A-3716E36FB57B}"/>
                </c:ext>
              </c:extLst>
            </c:dLbl>
            <c:dLbl>
              <c:idx val="31"/>
              <c:tx>
                <c:rich>
                  <a:bodyPr wrap="square" lIns="38100" tIns="19050" rIns="38100" bIns="19050" anchor="ctr">
                    <a:spAutoFit/>
                  </a:bodyPr>
                  <a:lstStyle/>
                  <a:p>
                    <a:pPr>
                      <a:defRPr sz="700" b="0" i="0">
                        <a:solidFill>
                          <a:srgbClr val="000000"/>
                        </a:solidFill>
                        <a:latin typeface="Arial Narrow" panose="020B0606020202030204" pitchFamily="34" charset="0"/>
                      </a:defRPr>
                    </a:pPr>
                    <a:r>
                      <a:rPr lang="en-US" sz="700" b="0" i="0">
                        <a:solidFill>
                          <a:srgbClr val="000000"/>
                        </a:solidFill>
                        <a:latin typeface="Arial Narrow" panose="020B0606020202030204" pitchFamily="34" charset="0"/>
                      </a:rPr>
                      <a:t>12</a:t>
                    </a:r>
                  </a:p>
                </c:rich>
              </c:tx>
              <c:spPr>
                <a:noFill/>
                <a:ln w="25400">
                  <a:noFill/>
                </a:ln>
              </c:spPr>
              <c:dLblPos val="b"/>
              <c:showLegendKey val="0"/>
              <c:showVal val="0"/>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21-8C73-48F5-8F0A-3716E36FB57B}"/>
                </c:ext>
              </c:extLst>
            </c:dLbl>
            <c:dLbl>
              <c:idx val="32"/>
              <c:tx>
                <c:rich>
                  <a:bodyPr wrap="square" lIns="38100" tIns="19050" rIns="38100" bIns="19050" anchor="ctr">
                    <a:spAutoFit/>
                  </a:bodyPr>
                  <a:lstStyle/>
                  <a:p>
                    <a:pPr>
                      <a:defRPr sz="700" b="0" i="0">
                        <a:solidFill>
                          <a:srgbClr val="000000"/>
                        </a:solidFill>
                        <a:latin typeface="Arial Narrow" panose="020B0606020202030204" pitchFamily="34" charset="0"/>
                      </a:defRPr>
                    </a:pPr>
                    <a:r>
                      <a:rPr lang="en-US" sz="700" b="0" i="0">
                        <a:solidFill>
                          <a:srgbClr val="000000"/>
                        </a:solidFill>
                        <a:latin typeface="Arial Narrow" panose="020B0606020202030204" pitchFamily="34" charset="0"/>
                      </a:rPr>
                      <a:t>12</a:t>
                    </a:r>
                  </a:p>
                </c:rich>
              </c:tx>
              <c:spPr>
                <a:noFill/>
                <a:ln w="25400">
                  <a:noFill/>
                </a:ln>
              </c:spPr>
              <c:dLblPos val="t"/>
              <c:showLegendKey val="0"/>
              <c:showVal val="0"/>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22-8C73-48F5-8F0A-3716E36FB57B}"/>
                </c:ext>
              </c:extLst>
            </c:dLbl>
            <c:dLbl>
              <c:idx val="33"/>
              <c:tx>
                <c:rich>
                  <a:bodyPr wrap="square" lIns="38100" tIns="19050" rIns="38100" bIns="19050" anchor="ctr">
                    <a:spAutoFit/>
                  </a:bodyPr>
                  <a:lstStyle/>
                  <a:p>
                    <a:pPr>
                      <a:defRPr sz="700" b="0" i="0">
                        <a:solidFill>
                          <a:srgbClr val="000000"/>
                        </a:solidFill>
                        <a:latin typeface="Arial Narrow" panose="020B0606020202030204" pitchFamily="34" charset="0"/>
                      </a:defRPr>
                    </a:pPr>
                    <a:r>
                      <a:rPr lang="en-US" sz="700" b="0" i="0">
                        <a:solidFill>
                          <a:srgbClr val="000000"/>
                        </a:solidFill>
                        <a:latin typeface="Arial Narrow" panose="020B0606020202030204" pitchFamily="34" charset="0"/>
                      </a:rPr>
                      <a:t>13</a:t>
                    </a:r>
                  </a:p>
                </c:rich>
              </c:tx>
              <c:spPr>
                <a:noFill/>
                <a:ln w="25400">
                  <a:noFill/>
                </a:ln>
              </c:spPr>
              <c:dLblPos val="t"/>
              <c:showLegendKey val="0"/>
              <c:showVal val="0"/>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23-8C73-48F5-8F0A-3716E36FB57B}"/>
                </c:ext>
              </c:extLst>
            </c:dLbl>
            <c:dLbl>
              <c:idx val="34"/>
              <c:tx>
                <c:rich>
                  <a:bodyPr wrap="square" lIns="38100" tIns="19050" rIns="38100" bIns="19050" anchor="ctr">
                    <a:spAutoFit/>
                  </a:bodyPr>
                  <a:lstStyle/>
                  <a:p>
                    <a:pPr>
                      <a:defRPr sz="700" b="0" i="0">
                        <a:solidFill>
                          <a:srgbClr val="000000"/>
                        </a:solidFill>
                        <a:latin typeface="Arial Narrow" panose="020B0606020202030204" pitchFamily="34" charset="0"/>
                      </a:defRPr>
                    </a:pPr>
                    <a:r>
                      <a:rPr lang="en-US" sz="700" b="0" i="0">
                        <a:solidFill>
                          <a:srgbClr val="000000"/>
                        </a:solidFill>
                        <a:latin typeface="Arial Narrow" panose="020B0606020202030204" pitchFamily="34" charset="0"/>
                      </a:rPr>
                      <a:t>15</a:t>
                    </a:r>
                  </a:p>
                </c:rich>
              </c:tx>
              <c:spPr>
                <a:noFill/>
                <a:ln w="25400">
                  <a:noFill/>
                </a:ln>
              </c:spPr>
              <c:dLblPos val="b"/>
              <c:showLegendKey val="0"/>
              <c:showVal val="0"/>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24-8C73-48F5-8F0A-3716E36FB57B}"/>
                </c:ext>
              </c:extLst>
            </c:dLbl>
            <c:dLbl>
              <c:idx val="35"/>
              <c:tx>
                <c:rich>
                  <a:bodyPr wrap="square" lIns="38100" tIns="19050" rIns="38100" bIns="19050" anchor="ctr">
                    <a:spAutoFit/>
                  </a:bodyPr>
                  <a:lstStyle/>
                  <a:p>
                    <a:pPr>
                      <a:defRPr sz="700" b="0" i="0">
                        <a:solidFill>
                          <a:srgbClr val="000000"/>
                        </a:solidFill>
                        <a:latin typeface="Arial Narrow" panose="020B0606020202030204" pitchFamily="34" charset="0"/>
                      </a:defRPr>
                    </a:pPr>
                    <a:r>
                      <a:rPr lang="en-US" sz="700" b="0" i="0">
                        <a:solidFill>
                          <a:srgbClr val="000000"/>
                        </a:solidFill>
                        <a:latin typeface="Arial Narrow" panose="020B0606020202030204" pitchFamily="34" charset="0"/>
                      </a:rPr>
                      <a:t>18</a:t>
                    </a:r>
                  </a:p>
                </c:rich>
              </c:tx>
              <c:spPr>
                <a:noFill/>
                <a:ln w="25400">
                  <a:noFill/>
                </a:ln>
              </c:spPr>
              <c:dLblPos val="t"/>
              <c:showLegendKey val="0"/>
              <c:showVal val="0"/>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25-8C73-48F5-8F0A-3716E36FB57B}"/>
                </c:ext>
              </c:extLst>
            </c:dLbl>
            <c:dLbl>
              <c:idx val="36"/>
              <c:tx>
                <c:rich>
                  <a:bodyPr wrap="square" lIns="38100" tIns="19050" rIns="38100" bIns="19050" anchor="ctr">
                    <a:spAutoFit/>
                  </a:bodyPr>
                  <a:lstStyle/>
                  <a:p>
                    <a:pPr>
                      <a:defRPr sz="700" b="0" i="0">
                        <a:solidFill>
                          <a:srgbClr val="000000"/>
                        </a:solidFill>
                        <a:latin typeface="Arial Narrow" panose="020B0606020202030204" pitchFamily="34" charset="0"/>
                      </a:defRPr>
                    </a:pPr>
                    <a:r>
                      <a:rPr lang="en-US" sz="700" b="0" i="0">
                        <a:solidFill>
                          <a:srgbClr val="000000"/>
                        </a:solidFill>
                        <a:latin typeface="Arial Narrow" panose="020B0606020202030204" pitchFamily="34" charset="0"/>
                      </a:rPr>
                      <a:t>20</a:t>
                    </a:r>
                  </a:p>
                </c:rich>
              </c:tx>
              <c:spPr>
                <a:noFill/>
                <a:ln w="25400">
                  <a:noFill/>
                </a:ln>
              </c:spPr>
              <c:dLblPos val="t"/>
              <c:showLegendKey val="0"/>
              <c:showVal val="0"/>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26-8C73-48F5-8F0A-3716E36FB57B}"/>
                </c:ext>
              </c:extLst>
            </c:dLbl>
            <c:spPr>
              <a:noFill/>
              <a:ln w="25400">
                <a:noFill/>
              </a:ln>
            </c:spPr>
            <c:txPr>
              <a:bodyPr wrap="square" lIns="38100" tIns="19050" rIns="38100" bIns="19050" anchor="ctr">
                <a:spAutoFit/>
              </a:bodyPr>
              <a:lstStyle/>
              <a:p>
                <a:pPr>
                  <a:defRPr sz="800">
                    <a:latin typeface="Arial Narrow" panose="020B0606020202030204" pitchFamily="34" charset="0"/>
                  </a:defRPr>
                </a:pPr>
                <a:endParaRPr lang="en-US"/>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'g4-1'!$A$30:$A$66</c:f>
              <c:strCache>
                <c:ptCount val="37"/>
                <c:pt idx="0">
                  <c:v>Irlanda</c:v>
                </c:pt>
                <c:pt idx="1">
                  <c:v>Portugalia</c:v>
                </c:pt>
                <c:pt idx="2">
                  <c:v>Malta</c:v>
                </c:pt>
                <c:pt idx="3">
                  <c:v>Cipru</c:v>
                </c:pt>
                <c:pt idx="4">
                  <c:v>Estonia</c:v>
                </c:pt>
                <c:pt idx="5">
                  <c:v>Suedia</c:v>
                </c:pt>
                <c:pt idx="6">
                  <c:v>Frața</c:v>
                </c:pt>
                <c:pt idx="7">
                  <c:v>Belgia¹</c:v>
                </c:pt>
                <c:pt idx="8">
                  <c:v>Danemarca</c:v>
                </c:pt>
                <c:pt idx="9">
                  <c:v>Luxemburg</c:v>
                </c:pt>
                <c:pt idx="10">
                  <c:v>Slovenia</c:v>
                </c:pt>
                <c:pt idx="11">
                  <c:v>Cehia</c:v>
                </c:pt>
                <c:pt idx="12">
                  <c:v>Țările de Jos</c:v>
                </c:pt>
                <c:pt idx="13">
                  <c:v>Spania</c:v>
                </c:pt>
                <c:pt idx="14">
                  <c:v>Grecia</c:v>
                </c:pt>
                <c:pt idx="15">
                  <c:v>Germania</c:v>
                </c:pt>
                <c:pt idx="16">
                  <c:v>EU27</c:v>
                </c:pt>
                <c:pt idx="17">
                  <c:v>Finlanda</c:v>
                </c:pt>
                <c:pt idx="18">
                  <c:v>Republica Slovacia</c:v>
                </c:pt>
                <c:pt idx="19">
                  <c:v>Austria</c:v>
                </c:pt>
                <c:pt idx="20">
                  <c:v>Letonia</c:v>
                </c:pt>
                <c:pt idx="21">
                  <c:v>Lituania</c:v>
                </c:pt>
                <c:pt idx="22">
                  <c:v>România</c:v>
                </c:pt>
                <c:pt idx="23">
                  <c:v>Polonia</c:v>
                </c:pt>
                <c:pt idx="24">
                  <c:v>Croația</c:v>
                </c:pt>
                <c:pt idx="25">
                  <c:v>Italia</c:v>
                </c:pt>
                <c:pt idx="26">
                  <c:v>Ungaria</c:v>
                </c:pt>
                <c:pt idx="27">
                  <c:v>Bulgaria</c:v>
                </c:pt>
                <c:pt idx="29">
                  <c:v>Islanda</c:v>
                </c:pt>
                <c:pt idx="30">
                  <c:v>Norvegia</c:v>
                </c:pt>
                <c:pt idx="31">
                  <c:v>Regatul Unit</c:v>
                </c:pt>
                <c:pt idx="32">
                  <c:v>Moldova</c:v>
                </c:pt>
                <c:pt idx="33">
                  <c:v>Albania</c:v>
                </c:pt>
                <c:pt idx="34">
                  <c:v>Elveția</c:v>
                </c:pt>
                <c:pt idx="35">
                  <c:v>Serbia</c:v>
                </c:pt>
                <c:pt idx="36">
                  <c:v>Macedonia de Nord</c:v>
                </c:pt>
              </c:strCache>
            </c:strRef>
          </c:cat>
          <c:val>
            <c:numRef>
              <c:f>'g4-1'!$C$30:$C$66</c:f>
              <c:numCache>
                <c:formatCode>0</c:formatCode>
                <c:ptCount val="37"/>
                <c:pt idx="0">
                  <c:v>7.3892145590258789</c:v>
                </c:pt>
                <c:pt idx="1">
                  <c:v>8.774452943758229</c:v>
                </c:pt>
                <c:pt idx="2">
                  <c:v>9.5821150097465893</c:v>
                </c:pt>
                <c:pt idx="3">
                  <c:v>10.930423600988904</c:v>
                </c:pt>
                <c:pt idx="4">
                  <c:v>11.736288185590722</c:v>
                </c:pt>
                <c:pt idx="5">
                  <c:v>11.959738664284119</c:v>
                </c:pt>
                <c:pt idx="6">
                  <c:v>12.051532207597996</c:v>
                </c:pt>
                <c:pt idx="7">
                  <c:v>12.159153898969937</c:v>
                </c:pt>
                <c:pt idx="8">
                  <c:v>12.552057436852257</c:v>
                </c:pt>
                <c:pt idx="9">
                  <c:v>13.032932655560323</c:v>
                </c:pt>
                <c:pt idx="10">
                  <c:v>13.97679784790647</c:v>
                </c:pt>
                <c:pt idx="11">
                  <c:v>14.251098211851405</c:v>
                </c:pt>
                <c:pt idx="12">
                  <c:v>15.08010838202749</c:v>
                </c:pt>
                <c:pt idx="13">
                  <c:v>15.235920852359207</c:v>
                </c:pt>
                <c:pt idx="14">
                  <c:v>16.504222222128107</c:v>
                </c:pt>
                <c:pt idx="15">
                  <c:v>16.673219112292536</c:v>
                </c:pt>
                <c:pt idx="16">
                  <c:v>16.845770964348517</c:v>
                </c:pt>
                <c:pt idx="17">
                  <c:v>18.088746985660443</c:v>
                </c:pt>
                <c:pt idx="18">
                  <c:v>18.158209001924295</c:v>
                </c:pt>
                <c:pt idx="19">
                  <c:v>18.706904820079266</c:v>
                </c:pt>
                <c:pt idx="20">
                  <c:v>19.034709533079351</c:v>
                </c:pt>
                <c:pt idx="21">
                  <c:v>19.591516183424407</c:v>
                </c:pt>
                <c:pt idx="22">
                  <c:v>22.925822686304404</c:v>
                </c:pt>
                <c:pt idx="23">
                  <c:v>22.99517613428387</c:v>
                </c:pt>
                <c:pt idx="24">
                  <c:v>25.994804468918908</c:v>
                </c:pt>
                <c:pt idx="25">
                  <c:v>26.590833581058632</c:v>
                </c:pt>
                <c:pt idx="26">
                  <c:v>29.220161457003563</c:v>
                </c:pt>
                <c:pt idx="27">
                  <c:v>31.639655394732603</c:v>
                </c:pt>
                <c:pt idx="29">
                  <c:v>3.5596400483131867</c:v>
                </c:pt>
                <c:pt idx="30">
                  <c:v>8.6332811684924344</c:v>
                </c:pt>
                <c:pt idx="31">
                  <c:v>11.741454665363452</c:v>
                </c:pt>
                <c:pt idx="32">
                  <c:v>11.78114455740876</c:v>
                </c:pt>
                <c:pt idx="33">
                  <c:v>13.186691096920841</c:v>
                </c:pt>
                <c:pt idx="34">
                  <c:v>14.672747602855129</c:v>
                </c:pt>
                <c:pt idx="35">
                  <c:v>18.419638021072853</c:v>
                </c:pt>
                <c:pt idx="36">
                  <c:v>20.177419405179169</c:v>
                </c:pt>
              </c:numCache>
            </c:numRef>
          </c:val>
          <c:smooth val="0"/>
          <c:extLst>
            <c:ext xmlns:c16="http://schemas.microsoft.com/office/drawing/2014/chart" uri="{C3380CC4-5D6E-409C-BE32-E72D297353CC}">
              <c16:uniqueId val="{00000027-8C73-48F5-8F0A-3716E36FB57B}"/>
            </c:ext>
          </c:extLst>
        </c:ser>
        <c:dLbls>
          <c:showLegendKey val="0"/>
          <c:showVal val="0"/>
          <c:showCatName val="0"/>
          <c:showSerName val="0"/>
          <c:showPercent val="0"/>
          <c:showBubbleSize val="0"/>
        </c:dLbls>
        <c:hiLowLines>
          <c:spPr>
            <a:ln w="6350">
              <a:solidFill>
                <a:srgbClr val="000000"/>
              </a:solidFill>
            </a:ln>
          </c:spPr>
        </c:hiLowLines>
        <c:marker val="1"/>
        <c:smooth val="0"/>
        <c:axId val="613761807"/>
        <c:axId val="1"/>
      </c:lineChart>
      <c:catAx>
        <c:axId val="613761807"/>
        <c:scaling>
          <c:orientation val="minMax"/>
        </c:scaling>
        <c:delete val="0"/>
        <c:axPos val="b"/>
        <c:majorGridlines>
          <c:spPr>
            <a:ln w="9525" cmpd="sng">
              <a:solidFill>
                <a:srgbClr val="FFFFFF"/>
              </a:solidFill>
              <a:prstDash val="solid"/>
            </a:ln>
          </c:spPr>
        </c:majorGridlines>
        <c:numFmt formatCode="General" sourceLinked="0"/>
        <c:majorTickMark val="in"/>
        <c:minorTickMark val="none"/>
        <c:tickLblPos val="low"/>
        <c:spPr>
          <a:noFill/>
          <a:ln w="9525">
            <a:solidFill>
              <a:srgbClr val="000000"/>
            </a:solidFill>
            <a:prstDash val="solid"/>
          </a:ln>
          <a:extLst>
            <a:ext uri="{909E8E84-426E-40DD-AFC4-6F175D3DCCD1}">
              <a14:hiddenFill xmlns:a14="http://schemas.microsoft.com/office/drawing/2010/main">
                <a:noFill/>
              </a14:hiddenFill>
            </a:ext>
          </a:extLst>
        </c:spPr>
        <c:txPr>
          <a:bodyPr rot="-2700000" vert="horz"/>
          <a:lstStyle/>
          <a:p>
            <a:pPr>
              <a:defRPr sz="750" b="0" i="0" u="none" strike="noStrike" baseline="0">
                <a:solidFill>
                  <a:srgbClr val="000000"/>
                </a:solidFill>
                <a:latin typeface="Arial Narrow"/>
                <a:ea typeface="Arial Narrow"/>
                <a:cs typeface="Arial Narrow"/>
              </a:defRPr>
            </a:pPr>
            <a:endParaRPr lang="en-US"/>
          </a:p>
        </c:txPr>
        <c:crossAx val="1"/>
        <c:crosses val="autoZero"/>
        <c:auto val="1"/>
        <c:lblAlgn val="ctr"/>
        <c:lblOffset val="0"/>
        <c:tickLblSkip val="1"/>
        <c:noMultiLvlLbl val="0"/>
      </c:catAx>
      <c:valAx>
        <c:axId val="1"/>
        <c:scaling>
          <c:orientation val="minMax"/>
        </c:scaling>
        <c:delete val="0"/>
        <c:axPos val="l"/>
        <c:majorGridlines>
          <c:spPr>
            <a:ln w="9525" cmpd="sng">
              <a:solidFill>
                <a:srgbClr val="FFFFFF"/>
              </a:solidFill>
              <a:prstDash val="solid"/>
            </a:ln>
          </c:spPr>
        </c:majorGridlines>
        <c:numFmt formatCode="General" sourceLinked="0"/>
        <c:majorTickMark val="in"/>
        <c:minorTickMark val="none"/>
        <c:tickLblPos val="nextTo"/>
        <c:spPr>
          <a:noFill/>
          <a:ln w="9525">
            <a:solidFill>
              <a:srgbClr val="000000"/>
            </a:solidFill>
            <a:prstDash val="solid"/>
          </a:ln>
          <a:extLst>
            <a:ext uri="{909E8E84-426E-40DD-AFC4-6F175D3DCCD1}">
              <a14:hiddenFill xmlns:a14="http://schemas.microsoft.com/office/drawing/2010/main">
                <a:noFill/>
              </a14:hiddenFill>
            </a:ext>
          </a:extLst>
        </c:spPr>
        <c:txPr>
          <a:bodyPr rot="0" vert="horz"/>
          <a:lstStyle/>
          <a:p>
            <a:pPr>
              <a:defRPr sz="750" b="0" i="0" u="none" strike="noStrike" baseline="0">
                <a:solidFill>
                  <a:srgbClr val="000000"/>
                </a:solidFill>
                <a:latin typeface="Arial Narrow"/>
                <a:ea typeface="Arial Narrow"/>
                <a:cs typeface="Arial Narrow"/>
              </a:defRPr>
            </a:pPr>
            <a:endParaRPr lang="en-US"/>
          </a:p>
        </c:txPr>
        <c:crossAx val="613761807"/>
        <c:crosses val="autoZero"/>
        <c:crossBetween val="between"/>
      </c:valAx>
      <c:spPr>
        <a:solidFill>
          <a:srgbClr val="EAEAEA"/>
        </a:solidFill>
        <a:ln w="25400">
          <a:noFill/>
        </a:ln>
      </c:spPr>
    </c:plotArea>
    <c:legend>
      <c:legendPos val="r"/>
      <c:layout>
        <c:manualLayout>
          <c:xMode val="edge"/>
          <c:yMode val="edge"/>
          <c:x val="3.7138987763515867E-2"/>
          <c:y val="1.5723391718892282E-2"/>
          <c:w val="0.94868027341331196"/>
          <c:h val="5.896298676951095E-2"/>
        </c:manualLayout>
      </c:layout>
      <c:overlay val="1"/>
      <c:spPr>
        <a:solidFill>
          <a:srgbClr val="EAEAEA"/>
        </a:solidFill>
        <a:ln w="25400">
          <a:noFill/>
        </a:ln>
      </c:spPr>
      <c:txPr>
        <a:bodyPr/>
        <a:lstStyle/>
        <a:p>
          <a:pPr>
            <a:defRPr sz="750" b="0" i="0" u="none" strike="noStrike" baseline="0">
              <a:solidFill>
                <a:srgbClr val="000000"/>
              </a:solidFill>
              <a:latin typeface="Arial Narrow"/>
              <a:ea typeface="Arial Narrow"/>
              <a:cs typeface="Arial Narrow"/>
            </a:defRPr>
          </a:pPr>
          <a:endParaRPr lang="en-US"/>
        </a:p>
      </c:txPr>
    </c:legend>
    <c:plotVisOnly val="1"/>
    <c:dispBlanksAs val="gap"/>
    <c:showDLblsOverMax val="1"/>
  </c:chart>
  <c:spPr>
    <a:noFill/>
    <a:ln w="9525">
      <a:noFill/>
    </a:ln>
  </c:spPr>
  <c:txPr>
    <a:bodyPr/>
    <a:lstStyle/>
    <a:p>
      <a:pPr>
        <a:defRPr sz="1000" b="0" i="0" u="none" strike="noStrike" baseline="0">
          <a:solidFill>
            <a:srgbClr val="000000"/>
          </a:solidFill>
          <a:latin typeface="Calibri"/>
          <a:ea typeface="Calibri"/>
          <a:cs typeface="Calibri"/>
        </a:defRPr>
      </a:pPr>
      <a:endParaRPr lang="en-US"/>
    </a:p>
  </c:txPr>
  <c:externalData r:id="rId2">
    <c:autoUpdate val="0"/>
  </c:externalData>
  <c:userShapes r:id="rId3"/>
</c:chartSpace>
</file>

<file path=word/charts/chart3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o-RO"/>
              <a:t>%</a:t>
            </a:r>
          </a:p>
        </c:rich>
      </c:tx>
      <c:layout>
        <c:manualLayout>
          <c:xMode val="edge"/>
          <c:yMode val="edge"/>
          <c:x val="0.86019845644983484"/>
          <c:y val="3.5283740076448106E-2"/>
        </c:manualLayout>
      </c:layout>
      <c:overlay val="1"/>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o-RO"/>
        </a:p>
      </c:txPr>
    </c:title>
    <c:autoTitleDeleted val="0"/>
    <c:plotArea>
      <c:layout/>
      <c:barChart>
        <c:barDir val="bar"/>
        <c:grouping val="clustered"/>
        <c:varyColors val="0"/>
        <c:ser>
          <c:idx val="0"/>
          <c:order val="0"/>
          <c:tx>
            <c:strRef>
              <c:f>Sheet1!$B$4</c:f>
              <c:strCache>
                <c:ptCount val="1"/>
                <c:pt idx="0">
                  <c:v>Fete Ro</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o-R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Sheet1!$A$5:$A$7</c:f>
              <c:strCache>
                <c:ptCount val="3"/>
                <c:pt idx="0">
                  <c:v>11 ani</c:v>
                </c:pt>
                <c:pt idx="1">
                  <c:v>13 ani</c:v>
                </c:pt>
                <c:pt idx="2">
                  <c:v>15 ani</c:v>
                </c:pt>
              </c:strCache>
            </c:strRef>
          </c:cat>
          <c:val>
            <c:numRef>
              <c:f>Sheet1!$B$5:$B$7</c:f>
              <c:numCache>
                <c:formatCode>General</c:formatCode>
                <c:ptCount val="3"/>
                <c:pt idx="0">
                  <c:v>4</c:v>
                </c:pt>
                <c:pt idx="1">
                  <c:v>18</c:v>
                </c:pt>
                <c:pt idx="2">
                  <c:v>28</c:v>
                </c:pt>
              </c:numCache>
            </c:numRef>
          </c:val>
          <c:extLst>
            <c:ext xmlns:c16="http://schemas.microsoft.com/office/drawing/2014/chart" uri="{C3380CC4-5D6E-409C-BE32-E72D297353CC}">
              <c16:uniqueId val="{00000000-9B98-4394-9A11-55FEEC159450}"/>
            </c:ext>
          </c:extLst>
        </c:ser>
        <c:ser>
          <c:idx val="1"/>
          <c:order val="1"/>
          <c:tx>
            <c:strRef>
              <c:f>Sheet1!$C$4</c:f>
              <c:strCache>
                <c:ptCount val="1"/>
                <c:pt idx="0">
                  <c:v>Fete HBSC</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o-R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Sheet1!$A$5:$A$7</c:f>
              <c:strCache>
                <c:ptCount val="3"/>
                <c:pt idx="0">
                  <c:v>11 ani</c:v>
                </c:pt>
                <c:pt idx="1">
                  <c:v>13 ani</c:v>
                </c:pt>
                <c:pt idx="2">
                  <c:v>15 ani</c:v>
                </c:pt>
              </c:strCache>
            </c:strRef>
          </c:cat>
          <c:val>
            <c:numRef>
              <c:f>Sheet1!$C$5:$C$7</c:f>
              <c:numCache>
                <c:formatCode>General</c:formatCode>
                <c:ptCount val="3"/>
                <c:pt idx="0">
                  <c:v>2</c:v>
                </c:pt>
                <c:pt idx="1">
                  <c:v>10</c:v>
                </c:pt>
                <c:pt idx="2">
                  <c:v>20</c:v>
                </c:pt>
              </c:numCache>
            </c:numRef>
          </c:val>
          <c:extLst>
            <c:ext xmlns:c16="http://schemas.microsoft.com/office/drawing/2014/chart" uri="{C3380CC4-5D6E-409C-BE32-E72D297353CC}">
              <c16:uniqueId val="{00000001-9B98-4394-9A11-55FEEC159450}"/>
            </c:ext>
          </c:extLst>
        </c:ser>
        <c:ser>
          <c:idx val="2"/>
          <c:order val="2"/>
          <c:tx>
            <c:strRef>
              <c:f>Sheet1!$D$4</c:f>
              <c:strCache>
                <c:ptCount val="1"/>
                <c:pt idx="0">
                  <c:v>Băieți Ro</c:v>
                </c:pt>
              </c:strCache>
            </c:strRef>
          </c:tx>
          <c:spPr>
            <a:solidFill>
              <a:schemeClr val="accent3"/>
            </a:solidFill>
            <a:ln>
              <a:noFill/>
            </a:ln>
            <a:effectLst/>
          </c:spPr>
          <c:invertIfNegative val="0"/>
          <c:dLbls>
            <c:dLbl>
              <c:idx val="1"/>
              <c:layout>
                <c:manualLayout>
                  <c:x val="-2.2050716648291068E-2"/>
                  <c:y val="-5.8806233460746843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9B98-4394-9A11-55FEEC15945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o-R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Sheet1!$A$5:$A$7</c:f>
              <c:strCache>
                <c:ptCount val="3"/>
                <c:pt idx="0">
                  <c:v>11 ani</c:v>
                </c:pt>
                <c:pt idx="1">
                  <c:v>13 ani</c:v>
                </c:pt>
                <c:pt idx="2">
                  <c:v>15 ani</c:v>
                </c:pt>
              </c:strCache>
            </c:strRef>
          </c:cat>
          <c:val>
            <c:numRef>
              <c:f>Sheet1!$D$5:$D$7</c:f>
              <c:numCache>
                <c:formatCode>General</c:formatCode>
                <c:ptCount val="3"/>
                <c:pt idx="0">
                  <c:v>3</c:v>
                </c:pt>
                <c:pt idx="1">
                  <c:v>10</c:v>
                </c:pt>
                <c:pt idx="2">
                  <c:v>23</c:v>
                </c:pt>
              </c:numCache>
            </c:numRef>
          </c:val>
          <c:extLst>
            <c:ext xmlns:c16="http://schemas.microsoft.com/office/drawing/2014/chart" uri="{C3380CC4-5D6E-409C-BE32-E72D297353CC}">
              <c16:uniqueId val="{00000003-9B98-4394-9A11-55FEEC159450}"/>
            </c:ext>
          </c:extLst>
        </c:ser>
        <c:ser>
          <c:idx val="3"/>
          <c:order val="3"/>
          <c:tx>
            <c:strRef>
              <c:f>Sheet1!$E$4</c:f>
              <c:strCache>
                <c:ptCount val="1"/>
                <c:pt idx="0">
                  <c:v>Băieți HBSC</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o-R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Sheet1!$A$5:$A$7</c:f>
              <c:strCache>
                <c:ptCount val="3"/>
                <c:pt idx="0">
                  <c:v>11 ani</c:v>
                </c:pt>
                <c:pt idx="1">
                  <c:v>13 ani</c:v>
                </c:pt>
                <c:pt idx="2">
                  <c:v>15 ani</c:v>
                </c:pt>
              </c:strCache>
            </c:strRef>
          </c:cat>
          <c:val>
            <c:numRef>
              <c:f>Sheet1!$E$5:$E$7</c:f>
              <c:numCache>
                <c:formatCode>General</c:formatCode>
                <c:ptCount val="3"/>
                <c:pt idx="0">
                  <c:v>3</c:v>
                </c:pt>
                <c:pt idx="1">
                  <c:v>8</c:v>
                </c:pt>
                <c:pt idx="2">
                  <c:v>18</c:v>
                </c:pt>
              </c:numCache>
            </c:numRef>
          </c:val>
          <c:extLst>
            <c:ext xmlns:c16="http://schemas.microsoft.com/office/drawing/2014/chart" uri="{C3380CC4-5D6E-409C-BE32-E72D297353CC}">
              <c16:uniqueId val="{00000004-9B98-4394-9A11-55FEEC159450}"/>
            </c:ext>
          </c:extLst>
        </c:ser>
        <c:dLbls>
          <c:showLegendKey val="0"/>
          <c:showVal val="0"/>
          <c:showCatName val="0"/>
          <c:showSerName val="0"/>
          <c:showPercent val="0"/>
          <c:showBubbleSize val="0"/>
        </c:dLbls>
        <c:gapWidth val="219"/>
        <c:axId val="247650400"/>
        <c:axId val="247650880"/>
      </c:barChart>
      <c:catAx>
        <c:axId val="24765040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o-RO"/>
          </a:p>
        </c:txPr>
        <c:crossAx val="247650880"/>
        <c:crosses val="autoZero"/>
        <c:auto val="1"/>
        <c:lblAlgn val="ctr"/>
        <c:lblOffset val="100"/>
        <c:noMultiLvlLbl val="0"/>
      </c:catAx>
      <c:valAx>
        <c:axId val="24765088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o-RO"/>
          </a:p>
        </c:txPr>
        <c:crossAx val="24765040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o-RO"/>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o-RO"/>
    </a:p>
  </c:txPr>
  <c:externalData r:id="rId4">
    <c:autoUpdate val="0"/>
  </c:externalData>
</c:chartSpace>
</file>

<file path=word/charts/chart3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o-RO"/>
              <a:t>%</a:t>
            </a:r>
          </a:p>
        </c:rich>
      </c:tx>
      <c:layout>
        <c:manualLayout>
          <c:xMode val="edge"/>
          <c:yMode val="edge"/>
          <c:x val="0.87165371693477678"/>
          <c:y val="4.116436342252279E-2"/>
        </c:manualLayout>
      </c:layout>
      <c:overlay val="1"/>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o-RO"/>
        </a:p>
      </c:txPr>
    </c:title>
    <c:autoTitleDeleted val="0"/>
    <c:plotArea>
      <c:layout/>
      <c:barChart>
        <c:barDir val="bar"/>
        <c:grouping val="clustered"/>
        <c:varyColors val="0"/>
        <c:ser>
          <c:idx val="0"/>
          <c:order val="0"/>
          <c:tx>
            <c:strRef>
              <c:f>Sheet1!$B$4</c:f>
              <c:strCache>
                <c:ptCount val="1"/>
                <c:pt idx="0">
                  <c:v>Fete Ro</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o-R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Sheet1!$A$5:$A$7</c:f>
              <c:strCache>
                <c:ptCount val="3"/>
                <c:pt idx="0">
                  <c:v>11 ani</c:v>
                </c:pt>
                <c:pt idx="1">
                  <c:v>13 ani</c:v>
                </c:pt>
                <c:pt idx="2">
                  <c:v>15 ani</c:v>
                </c:pt>
              </c:strCache>
            </c:strRef>
          </c:cat>
          <c:val>
            <c:numRef>
              <c:f>Sheet1!$B$5:$B$7</c:f>
              <c:numCache>
                <c:formatCode>General</c:formatCode>
                <c:ptCount val="3"/>
                <c:pt idx="0">
                  <c:v>9</c:v>
                </c:pt>
                <c:pt idx="1">
                  <c:v>31</c:v>
                </c:pt>
                <c:pt idx="2">
                  <c:v>46</c:v>
                </c:pt>
              </c:numCache>
            </c:numRef>
          </c:val>
          <c:extLst>
            <c:ext xmlns:c16="http://schemas.microsoft.com/office/drawing/2014/chart" uri="{C3380CC4-5D6E-409C-BE32-E72D297353CC}">
              <c16:uniqueId val="{00000000-2C06-468A-82AB-E94A50C8F902}"/>
            </c:ext>
          </c:extLst>
        </c:ser>
        <c:ser>
          <c:idx val="1"/>
          <c:order val="1"/>
          <c:tx>
            <c:strRef>
              <c:f>Sheet1!$C$4</c:f>
              <c:strCache>
                <c:ptCount val="1"/>
                <c:pt idx="0">
                  <c:v>Fete HBSC</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o-R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Sheet1!$A$5:$A$7</c:f>
              <c:strCache>
                <c:ptCount val="3"/>
                <c:pt idx="0">
                  <c:v>11 ani</c:v>
                </c:pt>
                <c:pt idx="1">
                  <c:v>13 ani</c:v>
                </c:pt>
                <c:pt idx="2">
                  <c:v>15 ani</c:v>
                </c:pt>
              </c:strCache>
            </c:strRef>
          </c:cat>
          <c:val>
            <c:numRef>
              <c:f>Sheet1!$C$5:$C$7</c:f>
              <c:numCache>
                <c:formatCode>General</c:formatCode>
                <c:ptCount val="3"/>
                <c:pt idx="0">
                  <c:v>4</c:v>
                </c:pt>
                <c:pt idx="1">
                  <c:v>16</c:v>
                </c:pt>
                <c:pt idx="2">
                  <c:v>32</c:v>
                </c:pt>
              </c:numCache>
            </c:numRef>
          </c:val>
          <c:extLst>
            <c:ext xmlns:c16="http://schemas.microsoft.com/office/drawing/2014/chart" uri="{C3380CC4-5D6E-409C-BE32-E72D297353CC}">
              <c16:uniqueId val="{00000001-2C06-468A-82AB-E94A50C8F902}"/>
            </c:ext>
          </c:extLst>
        </c:ser>
        <c:ser>
          <c:idx val="2"/>
          <c:order val="2"/>
          <c:tx>
            <c:strRef>
              <c:f>Sheet1!$D$4</c:f>
              <c:strCache>
                <c:ptCount val="1"/>
                <c:pt idx="0">
                  <c:v>Băieți Ro</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o-R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Sheet1!$A$5:$A$7</c:f>
              <c:strCache>
                <c:ptCount val="3"/>
                <c:pt idx="0">
                  <c:v>11 ani</c:v>
                </c:pt>
                <c:pt idx="1">
                  <c:v>13 ani</c:v>
                </c:pt>
                <c:pt idx="2">
                  <c:v>15 ani</c:v>
                </c:pt>
              </c:strCache>
            </c:strRef>
          </c:cat>
          <c:val>
            <c:numRef>
              <c:f>Sheet1!$D$5:$D$7</c:f>
              <c:numCache>
                <c:formatCode>General</c:formatCode>
                <c:ptCount val="3"/>
                <c:pt idx="0">
                  <c:v>9</c:v>
                </c:pt>
                <c:pt idx="1">
                  <c:v>23</c:v>
                </c:pt>
                <c:pt idx="2">
                  <c:v>40</c:v>
                </c:pt>
              </c:numCache>
            </c:numRef>
          </c:val>
          <c:extLst>
            <c:ext xmlns:c16="http://schemas.microsoft.com/office/drawing/2014/chart" uri="{C3380CC4-5D6E-409C-BE32-E72D297353CC}">
              <c16:uniqueId val="{00000002-2C06-468A-82AB-E94A50C8F902}"/>
            </c:ext>
          </c:extLst>
        </c:ser>
        <c:ser>
          <c:idx val="3"/>
          <c:order val="3"/>
          <c:tx>
            <c:strRef>
              <c:f>Sheet1!$E$4</c:f>
              <c:strCache>
                <c:ptCount val="1"/>
                <c:pt idx="0">
                  <c:v>Băieți HBSC</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o-R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Sheet1!$A$5:$A$7</c:f>
              <c:strCache>
                <c:ptCount val="3"/>
                <c:pt idx="0">
                  <c:v>11 ani</c:v>
                </c:pt>
                <c:pt idx="1">
                  <c:v>13 ani</c:v>
                </c:pt>
                <c:pt idx="2">
                  <c:v>15 ani</c:v>
                </c:pt>
              </c:strCache>
            </c:strRef>
          </c:cat>
          <c:val>
            <c:numRef>
              <c:f>Sheet1!$E$5:$E$7</c:f>
              <c:numCache>
                <c:formatCode>General</c:formatCode>
                <c:ptCount val="3"/>
                <c:pt idx="0">
                  <c:v>6</c:v>
                </c:pt>
                <c:pt idx="1">
                  <c:v>16</c:v>
                </c:pt>
                <c:pt idx="2">
                  <c:v>31</c:v>
                </c:pt>
              </c:numCache>
            </c:numRef>
          </c:val>
          <c:extLst>
            <c:ext xmlns:c16="http://schemas.microsoft.com/office/drawing/2014/chart" uri="{C3380CC4-5D6E-409C-BE32-E72D297353CC}">
              <c16:uniqueId val="{00000003-2C06-468A-82AB-E94A50C8F902}"/>
            </c:ext>
          </c:extLst>
        </c:ser>
        <c:dLbls>
          <c:showLegendKey val="0"/>
          <c:showVal val="0"/>
          <c:showCatName val="0"/>
          <c:showSerName val="0"/>
          <c:showPercent val="0"/>
          <c:showBubbleSize val="0"/>
        </c:dLbls>
        <c:gapWidth val="219"/>
        <c:axId val="757174511"/>
        <c:axId val="757176431"/>
      </c:barChart>
      <c:catAx>
        <c:axId val="757174511"/>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o-RO"/>
          </a:p>
        </c:txPr>
        <c:crossAx val="757176431"/>
        <c:crosses val="autoZero"/>
        <c:auto val="1"/>
        <c:lblAlgn val="ctr"/>
        <c:lblOffset val="100"/>
        <c:noMultiLvlLbl val="0"/>
      </c:catAx>
      <c:valAx>
        <c:axId val="757176431"/>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o-RO"/>
          </a:p>
        </c:txPr>
        <c:crossAx val="757174511"/>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o-RO"/>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o-RO"/>
    </a:p>
  </c:txPr>
  <c:externalData r:id="rId4">
    <c:autoUpdate val="0"/>
  </c:externalData>
</c:chartSpace>
</file>

<file path=word/charts/chart3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'13'!$D$3</c:f>
              <c:strCache>
                <c:ptCount val="1"/>
                <c:pt idx="0">
                  <c:v>Fete</c:v>
                </c:pt>
              </c:strCache>
            </c:strRef>
          </c:tx>
          <c:spPr>
            <a:solidFill>
              <a:schemeClr val="accent1"/>
            </a:solidFill>
            <a:ln>
              <a:noFill/>
            </a:ln>
            <a:effectLst/>
          </c:spPr>
          <c:invertIfNegative val="0"/>
          <c:dPt>
            <c:idx val="4"/>
            <c:invertIfNegative val="0"/>
            <c:bubble3D val="0"/>
            <c:spPr>
              <a:solidFill>
                <a:schemeClr val="accent5">
                  <a:lumMod val="75000"/>
                </a:schemeClr>
              </a:solidFill>
              <a:ln>
                <a:noFill/>
              </a:ln>
              <a:effectLst/>
            </c:spPr>
            <c:extLst>
              <c:ext xmlns:c16="http://schemas.microsoft.com/office/drawing/2014/chart" uri="{C3380CC4-5D6E-409C-BE32-E72D297353CC}">
                <c16:uniqueId val="{00000001-19F9-4DE2-A270-844DC066D2BD}"/>
              </c:ext>
            </c:extLst>
          </c:dPt>
          <c:dPt>
            <c:idx val="7"/>
            <c:invertIfNegative val="0"/>
            <c:bubble3D val="0"/>
            <c:extLst>
              <c:ext xmlns:c16="http://schemas.microsoft.com/office/drawing/2014/chart" uri="{C3380CC4-5D6E-409C-BE32-E72D297353CC}">
                <c16:uniqueId val="{00000002-19F9-4DE2-A270-844DC066D2BD}"/>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'13'!$F$4:$F$32</c:f>
              <c:strCache>
                <c:ptCount val="29"/>
                <c:pt idx="0">
                  <c:v>Bulgaria</c:v>
                </c:pt>
                <c:pt idx="1">
                  <c:v>Lituania</c:v>
                </c:pt>
                <c:pt idx="2">
                  <c:v>Ungaria</c:v>
                </c:pt>
                <c:pt idx="3">
                  <c:v>Estonia</c:v>
                </c:pt>
                <c:pt idx="4">
                  <c:v>România</c:v>
                </c:pt>
                <c:pt idx="5">
                  <c:v>Polonia</c:v>
                </c:pt>
                <c:pt idx="6">
                  <c:v>Suedia</c:v>
                </c:pt>
                <c:pt idx="7">
                  <c:v>Letonia</c:v>
                </c:pt>
                <c:pt idx="8">
                  <c:v>Cipru</c:v>
                </c:pt>
                <c:pt idx="9">
                  <c:v>Slovacia</c:v>
                </c:pt>
                <c:pt idx="10">
                  <c:v>Franţa</c:v>
                </c:pt>
                <c:pt idx="11">
                  <c:v>Croaţia</c:v>
                </c:pt>
                <c:pt idx="12">
                  <c:v>Luxemburg</c:v>
                </c:pt>
                <c:pt idx="13">
                  <c:v>Finlanda</c:v>
                </c:pt>
                <c:pt idx="14">
                  <c:v>Cehia</c:v>
                </c:pt>
                <c:pt idx="15">
                  <c:v>Germania</c:v>
                </c:pt>
                <c:pt idx="16">
                  <c:v>Spania</c:v>
                </c:pt>
                <c:pt idx="17">
                  <c:v>Malta</c:v>
                </c:pt>
                <c:pt idx="18">
                  <c:v>Belgia (franceză)</c:v>
                </c:pt>
                <c:pt idx="19">
                  <c:v>Grecia</c:v>
                </c:pt>
                <c:pt idx="20">
                  <c:v>Italia</c:v>
                </c:pt>
                <c:pt idx="21">
                  <c:v>Slovenia</c:v>
                </c:pt>
                <c:pt idx="22">
                  <c:v>Belgia (flamandă)</c:v>
                </c:pt>
                <c:pt idx="23">
                  <c:v>Austria</c:v>
                </c:pt>
                <c:pt idx="24">
                  <c:v>Irlanda</c:v>
                </c:pt>
                <c:pt idx="25">
                  <c:v>Olanda</c:v>
                </c:pt>
                <c:pt idx="26">
                  <c:v>Danemarca</c:v>
                </c:pt>
                <c:pt idx="27">
                  <c:v>Portugalia</c:v>
                </c:pt>
                <c:pt idx="28">
                  <c:v>Media HBSC</c:v>
                </c:pt>
              </c:strCache>
            </c:strRef>
          </c:cat>
          <c:val>
            <c:numRef>
              <c:f>'13'!$D$4:$D$32</c:f>
              <c:numCache>
                <c:formatCode>General</c:formatCode>
                <c:ptCount val="29"/>
                <c:pt idx="0">
                  <c:v>23</c:v>
                </c:pt>
                <c:pt idx="1">
                  <c:v>20</c:v>
                </c:pt>
                <c:pt idx="2">
                  <c:v>18</c:v>
                </c:pt>
                <c:pt idx="3">
                  <c:v>18</c:v>
                </c:pt>
                <c:pt idx="4">
                  <c:v>18</c:v>
                </c:pt>
                <c:pt idx="5">
                  <c:v>12</c:v>
                </c:pt>
                <c:pt idx="6">
                  <c:v>13</c:v>
                </c:pt>
                <c:pt idx="7">
                  <c:v>14</c:v>
                </c:pt>
                <c:pt idx="8">
                  <c:v>11</c:v>
                </c:pt>
                <c:pt idx="9">
                  <c:v>11</c:v>
                </c:pt>
                <c:pt idx="10">
                  <c:v>10</c:v>
                </c:pt>
                <c:pt idx="11">
                  <c:v>11</c:v>
                </c:pt>
                <c:pt idx="12">
                  <c:v>12</c:v>
                </c:pt>
                <c:pt idx="13">
                  <c:v>7</c:v>
                </c:pt>
                <c:pt idx="14">
                  <c:v>10</c:v>
                </c:pt>
                <c:pt idx="15">
                  <c:v>9</c:v>
                </c:pt>
                <c:pt idx="16">
                  <c:v>8</c:v>
                </c:pt>
                <c:pt idx="17">
                  <c:v>11</c:v>
                </c:pt>
                <c:pt idx="18">
                  <c:v>9</c:v>
                </c:pt>
                <c:pt idx="19">
                  <c:v>7</c:v>
                </c:pt>
                <c:pt idx="20">
                  <c:v>8</c:v>
                </c:pt>
                <c:pt idx="21">
                  <c:v>7</c:v>
                </c:pt>
                <c:pt idx="22">
                  <c:v>5</c:v>
                </c:pt>
                <c:pt idx="23">
                  <c:v>5</c:v>
                </c:pt>
                <c:pt idx="24">
                  <c:v>6</c:v>
                </c:pt>
                <c:pt idx="25">
                  <c:v>3</c:v>
                </c:pt>
                <c:pt idx="26">
                  <c:v>5</c:v>
                </c:pt>
                <c:pt idx="27">
                  <c:v>2</c:v>
                </c:pt>
                <c:pt idx="28">
                  <c:v>10</c:v>
                </c:pt>
              </c:numCache>
            </c:numRef>
          </c:val>
          <c:extLst>
            <c:ext xmlns:c16="http://schemas.microsoft.com/office/drawing/2014/chart" uri="{C3380CC4-5D6E-409C-BE32-E72D297353CC}">
              <c16:uniqueId val="{00000003-19F9-4DE2-A270-844DC066D2BD}"/>
            </c:ext>
          </c:extLst>
        </c:ser>
        <c:ser>
          <c:idx val="1"/>
          <c:order val="1"/>
          <c:tx>
            <c:strRef>
              <c:f>'13'!$E$3</c:f>
              <c:strCache>
                <c:ptCount val="1"/>
                <c:pt idx="0">
                  <c:v>Băieți</c:v>
                </c:pt>
              </c:strCache>
            </c:strRef>
          </c:tx>
          <c:spPr>
            <a:solidFill>
              <a:schemeClr val="accent2"/>
            </a:solidFill>
            <a:ln>
              <a:noFill/>
            </a:ln>
            <a:effectLst/>
          </c:spPr>
          <c:invertIfNegative val="0"/>
          <c:dPt>
            <c:idx val="4"/>
            <c:invertIfNegative val="0"/>
            <c:bubble3D val="0"/>
            <c:spPr>
              <a:solidFill>
                <a:schemeClr val="accent5">
                  <a:lumMod val="60000"/>
                  <a:lumOff val="40000"/>
                </a:schemeClr>
              </a:solidFill>
              <a:ln>
                <a:noFill/>
              </a:ln>
              <a:effectLst/>
            </c:spPr>
            <c:extLst>
              <c:ext xmlns:c16="http://schemas.microsoft.com/office/drawing/2014/chart" uri="{C3380CC4-5D6E-409C-BE32-E72D297353CC}">
                <c16:uniqueId val="{00000005-19F9-4DE2-A270-844DC066D2BD}"/>
              </c:ext>
            </c:extLst>
          </c:dPt>
          <c:dPt>
            <c:idx val="7"/>
            <c:invertIfNegative val="0"/>
            <c:bubble3D val="0"/>
            <c:extLst>
              <c:ext xmlns:c16="http://schemas.microsoft.com/office/drawing/2014/chart" uri="{C3380CC4-5D6E-409C-BE32-E72D297353CC}">
                <c16:uniqueId val="{00000006-19F9-4DE2-A270-844DC066D2BD}"/>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'13'!$F$4:$F$32</c:f>
              <c:strCache>
                <c:ptCount val="29"/>
                <c:pt idx="0">
                  <c:v>Bulgaria</c:v>
                </c:pt>
                <c:pt idx="1">
                  <c:v>Lituania</c:v>
                </c:pt>
                <c:pt idx="2">
                  <c:v>Ungaria</c:v>
                </c:pt>
                <c:pt idx="3">
                  <c:v>Estonia</c:v>
                </c:pt>
                <c:pt idx="4">
                  <c:v>România</c:v>
                </c:pt>
                <c:pt idx="5">
                  <c:v>Polonia</c:v>
                </c:pt>
                <c:pt idx="6">
                  <c:v>Suedia</c:v>
                </c:pt>
                <c:pt idx="7">
                  <c:v>Letonia</c:v>
                </c:pt>
                <c:pt idx="8">
                  <c:v>Cipru</c:v>
                </c:pt>
                <c:pt idx="9">
                  <c:v>Slovacia</c:v>
                </c:pt>
                <c:pt idx="10">
                  <c:v>Franţa</c:v>
                </c:pt>
                <c:pt idx="11">
                  <c:v>Croaţia</c:v>
                </c:pt>
                <c:pt idx="12">
                  <c:v>Luxemburg</c:v>
                </c:pt>
                <c:pt idx="13">
                  <c:v>Finlanda</c:v>
                </c:pt>
                <c:pt idx="14">
                  <c:v>Cehia</c:v>
                </c:pt>
                <c:pt idx="15">
                  <c:v>Germania</c:v>
                </c:pt>
                <c:pt idx="16">
                  <c:v>Spania</c:v>
                </c:pt>
                <c:pt idx="17">
                  <c:v>Malta</c:v>
                </c:pt>
                <c:pt idx="18">
                  <c:v>Belgia (franceză)</c:v>
                </c:pt>
                <c:pt idx="19">
                  <c:v>Grecia</c:v>
                </c:pt>
                <c:pt idx="20">
                  <c:v>Italia</c:v>
                </c:pt>
                <c:pt idx="21">
                  <c:v>Slovenia</c:v>
                </c:pt>
                <c:pt idx="22">
                  <c:v>Belgia (flamandă)</c:v>
                </c:pt>
                <c:pt idx="23">
                  <c:v>Austria</c:v>
                </c:pt>
                <c:pt idx="24">
                  <c:v>Irlanda</c:v>
                </c:pt>
                <c:pt idx="25">
                  <c:v>Olanda</c:v>
                </c:pt>
                <c:pt idx="26">
                  <c:v>Danemarca</c:v>
                </c:pt>
                <c:pt idx="27">
                  <c:v>Portugalia</c:v>
                </c:pt>
                <c:pt idx="28">
                  <c:v>Media HBSC</c:v>
                </c:pt>
              </c:strCache>
            </c:strRef>
          </c:cat>
          <c:val>
            <c:numRef>
              <c:f>'13'!$E$4:$E$32</c:f>
              <c:numCache>
                <c:formatCode>General</c:formatCode>
                <c:ptCount val="29"/>
                <c:pt idx="0">
                  <c:v>15</c:v>
                </c:pt>
                <c:pt idx="1">
                  <c:v>13</c:v>
                </c:pt>
                <c:pt idx="2">
                  <c:v>13</c:v>
                </c:pt>
                <c:pt idx="3">
                  <c:v>12</c:v>
                </c:pt>
                <c:pt idx="4">
                  <c:v>10</c:v>
                </c:pt>
                <c:pt idx="5">
                  <c:v>12</c:v>
                </c:pt>
                <c:pt idx="6">
                  <c:v>10</c:v>
                </c:pt>
                <c:pt idx="7">
                  <c:v>9</c:v>
                </c:pt>
                <c:pt idx="8">
                  <c:v>12</c:v>
                </c:pt>
                <c:pt idx="9">
                  <c:v>11</c:v>
                </c:pt>
                <c:pt idx="10">
                  <c:v>11</c:v>
                </c:pt>
                <c:pt idx="11">
                  <c:v>9</c:v>
                </c:pt>
                <c:pt idx="12">
                  <c:v>8</c:v>
                </c:pt>
                <c:pt idx="13">
                  <c:v>13</c:v>
                </c:pt>
                <c:pt idx="14">
                  <c:v>9</c:v>
                </c:pt>
                <c:pt idx="15">
                  <c:v>9</c:v>
                </c:pt>
                <c:pt idx="16">
                  <c:v>8</c:v>
                </c:pt>
                <c:pt idx="17">
                  <c:v>4</c:v>
                </c:pt>
                <c:pt idx="18">
                  <c:v>6</c:v>
                </c:pt>
                <c:pt idx="19">
                  <c:v>7</c:v>
                </c:pt>
                <c:pt idx="20">
                  <c:v>7</c:v>
                </c:pt>
                <c:pt idx="21">
                  <c:v>6</c:v>
                </c:pt>
                <c:pt idx="22">
                  <c:v>5</c:v>
                </c:pt>
                <c:pt idx="23">
                  <c:v>5</c:v>
                </c:pt>
                <c:pt idx="24">
                  <c:v>3</c:v>
                </c:pt>
                <c:pt idx="25">
                  <c:v>6</c:v>
                </c:pt>
                <c:pt idx="26">
                  <c:v>4</c:v>
                </c:pt>
                <c:pt idx="27">
                  <c:v>4</c:v>
                </c:pt>
                <c:pt idx="28">
                  <c:v>8</c:v>
                </c:pt>
              </c:numCache>
            </c:numRef>
          </c:val>
          <c:extLst>
            <c:ext xmlns:c16="http://schemas.microsoft.com/office/drawing/2014/chart" uri="{C3380CC4-5D6E-409C-BE32-E72D297353CC}">
              <c16:uniqueId val="{00000007-19F9-4DE2-A270-844DC066D2BD}"/>
            </c:ext>
          </c:extLst>
        </c:ser>
        <c:dLbls>
          <c:dLblPos val="outEnd"/>
          <c:showLegendKey val="0"/>
          <c:showVal val="1"/>
          <c:showCatName val="0"/>
          <c:showSerName val="0"/>
          <c:showPercent val="0"/>
          <c:showBubbleSize val="0"/>
        </c:dLbls>
        <c:gapWidth val="219"/>
        <c:overlap val="-27"/>
        <c:axId val="1080266863"/>
        <c:axId val="1080267823"/>
      </c:barChart>
      <c:catAx>
        <c:axId val="108026686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o-RO"/>
          </a:p>
        </c:txPr>
        <c:crossAx val="1080267823"/>
        <c:crosses val="autoZero"/>
        <c:auto val="1"/>
        <c:lblAlgn val="ctr"/>
        <c:lblOffset val="100"/>
        <c:noMultiLvlLbl val="0"/>
      </c:catAx>
      <c:valAx>
        <c:axId val="108026782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o-RO"/>
          </a:p>
        </c:txPr>
        <c:crossAx val="108026686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o-RO"/>
    </a:p>
  </c:txPr>
  <c:externalData r:id="rId4">
    <c:autoUpdate val="0"/>
  </c:externalData>
</c:chartSpace>
</file>

<file path=word/charts/chart3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'11'!$D$3</c:f>
              <c:strCache>
                <c:ptCount val="1"/>
                <c:pt idx="0">
                  <c:v>Fete</c:v>
                </c:pt>
              </c:strCache>
            </c:strRef>
          </c:tx>
          <c:spPr>
            <a:solidFill>
              <a:schemeClr val="accent1"/>
            </a:solidFill>
            <a:ln>
              <a:noFill/>
            </a:ln>
            <a:effectLst/>
          </c:spPr>
          <c:invertIfNegative val="0"/>
          <c:dPt>
            <c:idx val="4"/>
            <c:invertIfNegative val="0"/>
            <c:bubble3D val="0"/>
            <c:spPr>
              <a:solidFill>
                <a:schemeClr val="accent5">
                  <a:lumMod val="75000"/>
                </a:schemeClr>
              </a:solidFill>
              <a:ln>
                <a:noFill/>
              </a:ln>
              <a:effectLst/>
            </c:spPr>
            <c:extLst>
              <c:ext xmlns:c16="http://schemas.microsoft.com/office/drawing/2014/chart" uri="{C3380CC4-5D6E-409C-BE32-E72D297353CC}">
                <c16:uniqueId val="{00000001-133B-41BB-B7A0-3C44EB4AAB3F}"/>
              </c:ext>
            </c:extLst>
          </c:dPt>
          <c:dPt>
            <c:idx val="5"/>
            <c:invertIfNegative val="0"/>
            <c:bubble3D val="0"/>
            <c:extLst>
              <c:ext xmlns:c16="http://schemas.microsoft.com/office/drawing/2014/chart" uri="{C3380CC4-5D6E-409C-BE32-E72D297353CC}">
                <c16:uniqueId val="{00000002-133B-41BB-B7A0-3C44EB4AAB3F}"/>
              </c:ext>
            </c:extLst>
          </c:dPt>
          <c:dPt>
            <c:idx val="7"/>
            <c:invertIfNegative val="0"/>
            <c:bubble3D val="0"/>
            <c:extLst>
              <c:ext xmlns:c16="http://schemas.microsoft.com/office/drawing/2014/chart" uri="{C3380CC4-5D6E-409C-BE32-E72D297353CC}">
                <c16:uniqueId val="{00000003-133B-41BB-B7A0-3C44EB4AAB3F}"/>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'11'!$F$4:$F$32</c:f>
              <c:strCache>
                <c:ptCount val="29"/>
                <c:pt idx="0">
                  <c:v>Lituania</c:v>
                </c:pt>
                <c:pt idx="1">
                  <c:v>Bulgaria</c:v>
                </c:pt>
                <c:pt idx="2">
                  <c:v>Estonia</c:v>
                </c:pt>
                <c:pt idx="3">
                  <c:v>Letonia</c:v>
                </c:pt>
                <c:pt idx="4">
                  <c:v>România</c:v>
                </c:pt>
                <c:pt idx="5">
                  <c:v>Ungaria</c:v>
                </c:pt>
                <c:pt idx="6">
                  <c:v>Slovacia</c:v>
                </c:pt>
                <c:pt idx="7">
                  <c:v>Polonia</c:v>
                </c:pt>
                <c:pt idx="8">
                  <c:v>Franţa</c:v>
                </c:pt>
                <c:pt idx="9">
                  <c:v>Croaţia</c:v>
                </c:pt>
                <c:pt idx="10">
                  <c:v>Cehia</c:v>
                </c:pt>
                <c:pt idx="11">
                  <c:v>Cipru</c:v>
                </c:pt>
                <c:pt idx="12">
                  <c:v>Malta</c:v>
                </c:pt>
                <c:pt idx="13">
                  <c:v>Luxemburg</c:v>
                </c:pt>
                <c:pt idx="14">
                  <c:v>Slovenia</c:v>
                </c:pt>
                <c:pt idx="15">
                  <c:v>Italia</c:v>
                </c:pt>
                <c:pt idx="16">
                  <c:v>Germania</c:v>
                </c:pt>
                <c:pt idx="17">
                  <c:v>Spania</c:v>
                </c:pt>
                <c:pt idx="18">
                  <c:v>Belgia (franceză)</c:v>
                </c:pt>
                <c:pt idx="19">
                  <c:v>Finlanda</c:v>
                </c:pt>
                <c:pt idx="20">
                  <c:v>Austria</c:v>
                </c:pt>
                <c:pt idx="21">
                  <c:v>Grecia</c:v>
                </c:pt>
                <c:pt idx="22">
                  <c:v>Irlanda</c:v>
                </c:pt>
                <c:pt idx="23">
                  <c:v>Olanda</c:v>
                </c:pt>
                <c:pt idx="24">
                  <c:v>Suedia</c:v>
                </c:pt>
                <c:pt idx="25">
                  <c:v>Belgia (flamandă)</c:v>
                </c:pt>
                <c:pt idx="26">
                  <c:v>Portugalia</c:v>
                </c:pt>
                <c:pt idx="27">
                  <c:v>Danemarca</c:v>
                </c:pt>
                <c:pt idx="28">
                  <c:v>Media HBSC</c:v>
                </c:pt>
              </c:strCache>
            </c:strRef>
          </c:cat>
          <c:val>
            <c:numRef>
              <c:f>'11'!$D$4:$D$32</c:f>
              <c:numCache>
                <c:formatCode>General</c:formatCode>
                <c:ptCount val="29"/>
                <c:pt idx="0">
                  <c:v>18</c:v>
                </c:pt>
                <c:pt idx="1">
                  <c:v>15</c:v>
                </c:pt>
                <c:pt idx="2">
                  <c:v>8</c:v>
                </c:pt>
                <c:pt idx="3">
                  <c:v>8</c:v>
                </c:pt>
                <c:pt idx="4">
                  <c:v>9</c:v>
                </c:pt>
                <c:pt idx="5">
                  <c:v>5</c:v>
                </c:pt>
                <c:pt idx="6">
                  <c:v>5</c:v>
                </c:pt>
                <c:pt idx="7">
                  <c:v>4</c:v>
                </c:pt>
                <c:pt idx="8">
                  <c:v>5</c:v>
                </c:pt>
                <c:pt idx="9">
                  <c:v>4</c:v>
                </c:pt>
                <c:pt idx="10">
                  <c:v>4</c:v>
                </c:pt>
                <c:pt idx="11">
                  <c:v>3</c:v>
                </c:pt>
                <c:pt idx="12">
                  <c:v>4</c:v>
                </c:pt>
                <c:pt idx="13">
                  <c:v>2</c:v>
                </c:pt>
                <c:pt idx="14">
                  <c:v>2</c:v>
                </c:pt>
                <c:pt idx="15">
                  <c:v>3</c:v>
                </c:pt>
                <c:pt idx="16">
                  <c:v>3</c:v>
                </c:pt>
                <c:pt idx="17">
                  <c:v>3</c:v>
                </c:pt>
                <c:pt idx="18">
                  <c:v>2</c:v>
                </c:pt>
                <c:pt idx="19">
                  <c:v>2</c:v>
                </c:pt>
                <c:pt idx="20">
                  <c:v>1</c:v>
                </c:pt>
                <c:pt idx="21">
                  <c:v>2</c:v>
                </c:pt>
                <c:pt idx="22">
                  <c:v>2</c:v>
                </c:pt>
                <c:pt idx="23">
                  <c:v>2</c:v>
                </c:pt>
                <c:pt idx="24">
                  <c:v>1</c:v>
                </c:pt>
                <c:pt idx="25">
                  <c:v>1</c:v>
                </c:pt>
                <c:pt idx="26">
                  <c:v>1</c:v>
                </c:pt>
                <c:pt idx="27">
                  <c:v>1</c:v>
                </c:pt>
                <c:pt idx="28">
                  <c:v>4</c:v>
                </c:pt>
              </c:numCache>
            </c:numRef>
          </c:val>
          <c:extLst>
            <c:ext xmlns:c16="http://schemas.microsoft.com/office/drawing/2014/chart" uri="{C3380CC4-5D6E-409C-BE32-E72D297353CC}">
              <c16:uniqueId val="{00000004-133B-41BB-B7A0-3C44EB4AAB3F}"/>
            </c:ext>
          </c:extLst>
        </c:ser>
        <c:ser>
          <c:idx val="1"/>
          <c:order val="1"/>
          <c:tx>
            <c:strRef>
              <c:f>'11'!$E$3</c:f>
              <c:strCache>
                <c:ptCount val="1"/>
                <c:pt idx="0">
                  <c:v>Băieți</c:v>
                </c:pt>
              </c:strCache>
            </c:strRef>
          </c:tx>
          <c:spPr>
            <a:solidFill>
              <a:schemeClr val="accent2"/>
            </a:solidFill>
            <a:ln>
              <a:noFill/>
            </a:ln>
            <a:effectLst/>
          </c:spPr>
          <c:invertIfNegative val="0"/>
          <c:dPt>
            <c:idx val="4"/>
            <c:invertIfNegative val="0"/>
            <c:bubble3D val="0"/>
            <c:spPr>
              <a:solidFill>
                <a:schemeClr val="accent5">
                  <a:lumMod val="60000"/>
                  <a:lumOff val="40000"/>
                </a:schemeClr>
              </a:solidFill>
              <a:ln>
                <a:noFill/>
              </a:ln>
              <a:effectLst/>
            </c:spPr>
            <c:extLst>
              <c:ext xmlns:c16="http://schemas.microsoft.com/office/drawing/2014/chart" uri="{C3380CC4-5D6E-409C-BE32-E72D297353CC}">
                <c16:uniqueId val="{00000006-133B-41BB-B7A0-3C44EB4AAB3F}"/>
              </c:ext>
            </c:extLst>
          </c:dPt>
          <c:dPt>
            <c:idx val="5"/>
            <c:invertIfNegative val="0"/>
            <c:bubble3D val="0"/>
            <c:extLst>
              <c:ext xmlns:c16="http://schemas.microsoft.com/office/drawing/2014/chart" uri="{C3380CC4-5D6E-409C-BE32-E72D297353CC}">
                <c16:uniqueId val="{00000007-133B-41BB-B7A0-3C44EB4AAB3F}"/>
              </c:ext>
            </c:extLst>
          </c:dPt>
          <c:dPt>
            <c:idx val="7"/>
            <c:invertIfNegative val="0"/>
            <c:bubble3D val="0"/>
            <c:extLst>
              <c:ext xmlns:c16="http://schemas.microsoft.com/office/drawing/2014/chart" uri="{C3380CC4-5D6E-409C-BE32-E72D297353CC}">
                <c16:uniqueId val="{00000008-133B-41BB-B7A0-3C44EB4AAB3F}"/>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'11'!$F$4:$F$32</c:f>
              <c:strCache>
                <c:ptCount val="29"/>
                <c:pt idx="0">
                  <c:v>Lituania</c:v>
                </c:pt>
                <c:pt idx="1">
                  <c:v>Bulgaria</c:v>
                </c:pt>
                <c:pt idx="2">
                  <c:v>Estonia</c:v>
                </c:pt>
                <c:pt idx="3">
                  <c:v>Letonia</c:v>
                </c:pt>
                <c:pt idx="4">
                  <c:v>România</c:v>
                </c:pt>
                <c:pt idx="5">
                  <c:v>Ungaria</c:v>
                </c:pt>
                <c:pt idx="6">
                  <c:v>Slovacia</c:v>
                </c:pt>
                <c:pt idx="7">
                  <c:v>Polonia</c:v>
                </c:pt>
                <c:pt idx="8">
                  <c:v>Franţa</c:v>
                </c:pt>
                <c:pt idx="9">
                  <c:v>Croaţia</c:v>
                </c:pt>
                <c:pt idx="10">
                  <c:v>Cehia</c:v>
                </c:pt>
                <c:pt idx="11">
                  <c:v>Cipru</c:v>
                </c:pt>
                <c:pt idx="12">
                  <c:v>Malta</c:v>
                </c:pt>
                <c:pt idx="13">
                  <c:v>Luxemburg</c:v>
                </c:pt>
                <c:pt idx="14">
                  <c:v>Slovenia</c:v>
                </c:pt>
                <c:pt idx="15">
                  <c:v>Italia</c:v>
                </c:pt>
                <c:pt idx="16">
                  <c:v>Germania</c:v>
                </c:pt>
                <c:pt idx="17">
                  <c:v>Spania</c:v>
                </c:pt>
                <c:pt idx="18">
                  <c:v>Belgia (franceză)</c:v>
                </c:pt>
                <c:pt idx="19">
                  <c:v>Finlanda</c:v>
                </c:pt>
                <c:pt idx="20">
                  <c:v>Austria</c:v>
                </c:pt>
                <c:pt idx="21">
                  <c:v>Grecia</c:v>
                </c:pt>
                <c:pt idx="22">
                  <c:v>Irlanda</c:v>
                </c:pt>
                <c:pt idx="23">
                  <c:v>Olanda</c:v>
                </c:pt>
                <c:pt idx="24">
                  <c:v>Suedia</c:v>
                </c:pt>
                <c:pt idx="25">
                  <c:v>Belgia (flamandă)</c:v>
                </c:pt>
                <c:pt idx="26">
                  <c:v>Portugalia</c:v>
                </c:pt>
                <c:pt idx="27">
                  <c:v>Danemarca</c:v>
                </c:pt>
                <c:pt idx="28">
                  <c:v>Media HBSC</c:v>
                </c:pt>
              </c:strCache>
            </c:strRef>
          </c:cat>
          <c:val>
            <c:numRef>
              <c:f>'11'!$E$4:$E$32</c:f>
              <c:numCache>
                <c:formatCode>General</c:formatCode>
                <c:ptCount val="29"/>
                <c:pt idx="0">
                  <c:v>21</c:v>
                </c:pt>
                <c:pt idx="1">
                  <c:v>16</c:v>
                </c:pt>
                <c:pt idx="2">
                  <c:v>12</c:v>
                </c:pt>
                <c:pt idx="3">
                  <c:v>10</c:v>
                </c:pt>
                <c:pt idx="4">
                  <c:v>9</c:v>
                </c:pt>
                <c:pt idx="5">
                  <c:v>10</c:v>
                </c:pt>
                <c:pt idx="6">
                  <c:v>9</c:v>
                </c:pt>
                <c:pt idx="7">
                  <c:v>10</c:v>
                </c:pt>
                <c:pt idx="8">
                  <c:v>7</c:v>
                </c:pt>
                <c:pt idx="9">
                  <c:v>6</c:v>
                </c:pt>
                <c:pt idx="10">
                  <c:v>6</c:v>
                </c:pt>
                <c:pt idx="11">
                  <c:v>6</c:v>
                </c:pt>
                <c:pt idx="12">
                  <c:v>4</c:v>
                </c:pt>
                <c:pt idx="13">
                  <c:v>5</c:v>
                </c:pt>
                <c:pt idx="14">
                  <c:v>5</c:v>
                </c:pt>
                <c:pt idx="15">
                  <c:v>4</c:v>
                </c:pt>
                <c:pt idx="16">
                  <c:v>4</c:v>
                </c:pt>
                <c:pt idx="17">
                  <c:v>4</c:v>
                </c:pt>
                <c:pt idx="18">
                  <c:v>4</c:v>
                </c:pt>
                <c:pt idx="19">
                  <c:v>4</c:v>
                </c:pt>
                <c:pt idx="20">
                  <c:v>3</c:v>
                </c:pt>
                <c:pt idx="21">
                  <c:v>3</c:v>
                </c:pt>
                <c:pt idx="22">
                  <c:v>3</c:v>
                </c:pt>
                <c:pt idx="23">
                  <c:v>2</c:v>
                </c:pt>
                <c:pt idx="24">
                  <c:v>2</c:v>
                </c:pt>
                <c:pt idx="25">
                  <c:v>2</c:v>
                </c:pt>
                <c:pt idx="26">
                  <c:v>2</c:v>
                </c:pt>
                <c:pt idx="27">
                  <c:v>1</c:v>
                </c:pt>
                <c:pt idx="28">
                  <c:v>6</c:v>
                </c:pt>
              </c:numCache>
            </c:numRef>
          </c:val>
          <c:extLst>
            <c:ext xmlns:c16="http://schemas.microsoft.com/office/drawing/2014/chart" uri="{C3380CC4-5D6E-409C-BE32-E72D297353CC}">
              <c16:uniqueId val="{00000009-133B-41BB-B7A0-3C44EB4AAB3F}"/>
            </c:ext>
          </c:extLst>
        </c:ser>
        <c:dLbls>
          <c:dLblPos val="outEnd"/>
          <c:showLegendKey val="0"/>
          <c:showVal val="1"/>
          <c:showCatName val="0"/>
          <c:showSerName val="0"/>
          <c:showPercent val="0"/>
          <c:showBubbleSize val="0"/>
        </c:dLbls>
        <c:gapWidth val="219"/>
        <c:overlap val="-27"/>
        <c:axId val="1080266863"/>
        <c:axId val="1080267823"/>
      </c:barChart>
      <c:catAx>
        <c:axId val="108026686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o-RO"/>
          </a:p>
        </c:txPr>
        <c:crossAx val="1080267823"/>
        <c:crosses val="autoZero"/>
        <c:auto val="1"/>
        <c:lblAlgn val="ctr"/>
        <c:lblOffset val="100"/>
        <c:noMultiLvlLbl val="0"/>
      </c:catAx>
      <c:valAx>
        <c:axId val="108026782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o-RO"/>
          </a:p>
        </c:txPr>
        <c:crossAx val="108026686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o-RO"/>
    </a:p>
  </c:txPr>
  <c:externalData r:id="rId4">
    <c:autoUpdate val="0"/>
  </c:externalData>
</c:chartSpace>
</file>

<file path=word/charts/chart3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'13'!$D$3</c:f>
              <c:strCache>
                <c:ptCount val="1"/>
                <c:pt idx="0">
                  <c:v>Fete</c:v>
                </c:pt>
              </c:strCache>
            </c:strRef>
          </c:tx>
          <c:spPr>
            <a:solidFill>
              <a:schemeClr val="accent1"/>
            </a:solidFill>
            <a:ln>
              <a:noFill/>
            </a:ln>
            <a:effectLst/>
          </c:spPr>
          <c:invertIfNegative val="0"/>
          <c:dPt>
            <c:idx val="3"/>
            <c:invertIfNegative val="0"/>
            <c:bubble3D val="0"/>
            <c:spPr>
              <a:solidFill>
                <a:schemeClr val="accent5">
                  <a:lumMod val="75000"/>
                </a:schemeClr>
              </a:solidFill>
              <a:ln>
                <a:noFill/>
              </a:ln>
              <a:effectLst/>
            </c:spPr>
            <c:extLst>
              <c:ext xmlns:c16="http://schemas.microsoft.com/office/drawing/2014/chart" uri="{C3380CC4-5D6E-409C-BE32-E72D297353CC}">
                <c16:uniqueId val="{00000001-BB46-4F99-B420-53D0ED11A032}"/>
              </c:ext>
            </c:extLst>
          </c:dPt>
          <c:dPt>
            <c:idx val="5"/>
            <c:invertIfNegative val="0"/>
            <c:bubble3D val="0"/>
            <c:extLst>
              <c:ext xmlns:c16="http://schemas.microsoft.com/office/drawing/2014/chart" uri="{C3380CC4-5D6E-409C-BE32-E72D297353CC}">
                <c16:uniqueId val="{00000002-BB46-4F99-B420-53D0ED11A032}"/>
              </c:ext>
            </c:extLst>
          </c:dPt>
          <c:dPt>
            <c:idx val="7"/>
            <c:invertIfNegative val="0"/>
            <c:bubble3D val="0"/>
            <c:extLst>
              <c:ext xmlns:c16="http://schemas.microsoft.com/office/drawing/2014/chart" uri="{C3380CC4-5D6E-409C-BE32-E72D297353CC}">
                <c16:uniqueId val="{00000003-BB46-4F99-B420-53D0ED11A032}"/>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'13'!$F$4:$F$32</c:f>
              <c:strCache>
                <c:ptCount val="29"/>
                <c:pt idx="0">
                  <c:v>Lituania</c:v>
                </c:pt>
                <c:pt idx="1">
                  <c:v>Estonia</c:v>
                </c:pt>
                <c:pt idx="2">
                  <c:v>Bulgaria</c:v>
                </c:pt>
                <c:pt idx="3">
                  <c:v>România</c:v>
                </c:pt>
                <c:pt idx="4">
                  <c:v>Letonia</c:v>
                </c:pt>
                <c:pt idx="5">
                  <c:v>Slovacia</c:v>
                </c:pt>
                <c:pt idx="6">
                  <c:v>Ungaria</c:v>
                </c:pt>
                <c:pt idx="7">
                  <c:v>Franţa</c:v>
                </c:pt>
                <c:pt idx="8">
                  <c:v>Croaţia</c:v>
                </c:pt>
                <c:pt idx="9">
                  <c:v>Polonia</c:v>
                </c:pt>
                <c:pt idx="10">
                  <c:v>Cehia</c:v>
                </c:pt>
                <c:pt idx="11">
                  <c:v>Suedia</c:v>
                </c:pt>
                <c:pt idx="12">
                  <c:v>Grecia</c:v>
                </c:pt>
                <c:pt idx="13">
                  <c:v>Luxemburg</c:v>
                </c:pt>
                <c:pt idx="14">
                  <c:v>Cipru</c:v>
                </c:pt>
                <c:pt idx="15">
                  <c:v>Germania</c:v>
                </c:pt>
                <c:pt idx="16">
                  <c:v>Spania</c:v>
                </c:pt>
                <c:pt idx="17">
                  <c:v>Finlanda</c:v>
                </c:pt>
                <c:pt idx="18">
                  <c:v>Belgia (franceză)</c:v>
                </c:pt>
                <c:pt idx="19">
                  <c:v>Italia</c:v>
                </c:pt>
                <c:pt idx="20">
                  <c:v>Malta</c:v>
                </c:pt>
                <c:pt idx="21">
                  <c:v>Slovenia</c:v>
                </c:pt>
                <c:pt idx="22">
                  <c:v>Austria</c:v>
                </c:pt>
                <c:pt idx="23">
                  <c:v>Belgia (flamandă)</c:v>
                </c:pt>
                <c:pt idx="24">
                  <c:v>Olanda</c:v>
                </c:pt>
                <c:pt idx="25">
                  <c:v>Irlanda</c:v>
                </c:pt>
                <c:pt idx="26">
                  <c:v>Danemarca</c:v>
                </c:pt>
                <c:pt idx="27">
                  <c:v>Portugalia</c:v>
                </c:pt>
                <c:pt idx="28">
                  <c:v>Media HBSC</c:v>
                </c:pt>
              </c:strCache>
            </c:strRef>
          </c:cat>
          <c:val>
            <c:numRef>
              <c:f>'13'!$D$4:$D$32</c:f>
              <c:numCache>
                <c:formatCode>General</c:formatCode>
                <c:ptCount val="29"/>
                <c:pt idx="0">
                  <c:v>41</c:v>
                </c:pt>
                <c:pt idx="1">
                  <c:v>32</c:v>
                </c:pt>
                <c:pt idx="2">
                  <c:v>33</c:v>
                </c:pt>
                <c:pt idx="3">
                  <c:v>31</c:v>
                </c:pt>
                <c:pt idx="4">
                  <c:v>28</c:v>
                </c:pt>
                <c:pt idx="5">
                  <c:v>23</c:v>
                </c:pt>
                <c:pt idx="6">
                  <c:v>25</c:v>
                </c:pt>
                <c:pt idx="7">
                  <c:v>17</c:v>
                </c:pt>
                <c:pt idx="8">
                  <c:v>21</c:v>
                </c:pt>
                <c:pt idx="9">
                  <c:v>18</c:v>
                </c:pt>
                <c:pt idx="10">
                  <c:v>18</c:v>
                </c:pt>
                <c:pt idx="11">
                  <c:v>18</c:v>
                </c:pt>
                <c:pt idx="12">
                  <c:v>17</c:v>
                </c:pt>
                <c:pt idx="13">
                  <c:v>18</c:v>
                </c:pt>
                <c:pt idx="14">
                  <c:v>15</c:v>
                </c:pt>
                <c:pt idx="15">
                  <c:v>15</c:v>
                </c:pt>
                <c:pt idx="16">
                  <c:v>14</c:v>
                </c:pt>
                <c:pt idx="17">
                  <c:v>12</c:v>
                </c:pt>
                <c:pt idx="18">
                  <c:v>15</c:v>
                </c:pt>
                <c:pt idx="19">
                  <c:v>13</c:v>
                </c:pt>
                <c:pt idx="20">
                  <c:v>16</c:v>
                </c:pt>
                <c:pt idx="21">
                  <c:v>12</c:v>
                </c:pt>
                <c:pt idx="22">
                  <c:v>10</c:v>
                </c:pt>
                <c:pt idx="23">
                  <c:v>9</c:v>
                </c:pt>
                <c:pt idx="24">
                  <c:v>7</c:v>
                </c:pt>
                <c:pt idx="25">
                  <c:v>11</c:v>
                </c:pt>
                <c:pt idx="26">
                  <c:v>8</c:v>
                </c:pt>
                <c:pt idx="27">
                  <c:v>5</c:v>
                </c:pt>
                <c:pt idx="28">
                  <c:v>16</c:v>
                </c:pt>
              </c:numCache>
            </c:numRef>
          </c:val>
          <c:extLst>
            <c:ext xmlns:c16="http://schemas.microsoft.com/office/drawing/2014/chart" uri="{C3380CC4-5D6E-409C-BE32-E72D297353CC}">
              <c16:uniqueId val="{00000004-BB46-4F99-B420-53D0ED11A032}"/>
            </c:ext>
          </c:extLst>
        </c:ser>
        <c:ser>
          <c:idx val="1"/>
          <c:order val="1"/>
          <c:tx>
            <c:strRef>
              <c:f>'13'!$E$3</c:f>
              <c:strCache>
                <c:ptCount val="1"/>
                <c:pt idx="0">
                  <c:v>Băieți</c:v>
                </c:pt>
              </c:strCache>
            </c:strRef>
          </c:tx>
          <c:spPr>
            <a:solidFill>
              <a:schemeClr val="accent2"/>
            </a:solidFill>
            <a:ln>
              <a:noFill/>
            </a:ln>
            <a:effectLst/>
          </c:spPr>
          <c:invertIfNegative val="0"/>
          <c:dPt>
            <c:idx val="3"/>
            <c:invertIfNegative val="0"/>
            <c:bubble3D val="0"/>
            <c:spPr>
              <a:solidFill>
                <a:schemeClr val="accent5">
                  <a:lumMod val="60000"/>
                  <a:lumOff val="40000"/>
                </a:schemeClr>
              </a:solidFill>
              <a:ln>
                <a:noFill/>
              </a:ln>
              <a:effectLst/>
            </c:spPr>
            <c:extLst>
              <c:ext xmlns:c16="http://schemas.microsoft.com/office/drawing/2014/chart" uri="{C3380CC4-5D6E-409C-BE32-E72D297353CC}">
                <c16:uniqueId val="{00000006-BB46-4F99-B420-53D0ED11A032}"/>
              </c:ext>
            </c:extLst>
          </c:dPt>
          <c:dPt>
            <c:idx val="5"/>
            <c:invertIfNegative val="0"/>
            <c:bubble3D val="0"/>
            <c:extLst>
              <c:ext xmlns:c16="http://schemas.microsoft.com/office/drawing/2014/chart" uri="{C3380CC4-5D6E-409C-BE32-E72D297353CC}">
                <c16:uniqueId val="{00000007-BB46-4F99-B420-53D0ED11A032}"/>
              </c:ext>
            </c:extLst>
          </c:dPt>
          <c:dPt>
            <c:idx val="7"/>
            <c:invertIfNegative val="0"/>
            <c:bubble3D val="0"/>
            <c:extLst>
              <c:ext xmlns:c16="http://schemas.microsoft.com/office/drawing/2014/chart" uri="{C3380CC4-5D6E-409C-BE32-E72D297353CC}">
                <c16:uniqueId val="{00000008-BB46-4F99-B420-53D0ED11A032}"/>
              </c:ext>
            </c:extLst>
          </c:dPt>
          <c:dLbls>
            <c:dLbl>
              <c:idx val="28"/>
              <c:layout>
                <c:manualLayout>
                  <c:x val="1.7368649587494574E-2"/>
                  <c:y val="4.3715846994535519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BB46-4F99-B420-53D0ED11A032}"/>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'13'!$F$4:$F$32</c:f>
              <c:strCache>
                <c:ptCount val="29"/>
                <c:pt idx="0">
                  <c:v>Lituania</c:v>
                </c:pt>
                <c:pt idx="1">
                  <c:v>Estonia</c:v>
                </c:pt>
                <c:pt idx="2">
                  <c:v>Bulgaria</c:v>
                </c:pt>
                <c:pt idx="3">
                  <c:v>România</c:v>
                </c:pt>
                <c:pt idx="4">
                  <c:v>Letonia</c:v>
                </c:pt>
                <c:pt idx="5">
                  <c:v>Slovacia</c:v>
                </c:pt>
                <c:pt idx="6">
                  <c:v>Ungaria</c:v>
                </c:pt>
                <c:pt idx="7">
                  <c:v>Franţa</c:v>
                </c:pt>
                <c:pt idx="8">
                  <c:v>Croaţia</c:v>
                </c:pt>
                <c:pt idx="9">
                  <c:v>Polonia</c:v>
                </c:pt>
                <c:pt idx="10">
                  <c:v>Cehia</c:v>
                </c:pt>
                <c:pt idx="11">
                  <c:v>Suedia</c:v>
                </c:pt>
                <c:pt idx="12">
                  <c:v>Grecia</c:v>
                </c:pt>
                <c:pt idx="13">
                  <c:v>Luxemburg</c:v>
                </c:pt>
                <c:pt idx="14">
                  <c:v>Cipru</c:v>
                </c:pt>
                <c:pt idx="15">
                  <c:v>Germania</c:v>
                </c:pt>
                <c:pt idx="16">
                  <c:v>Spania</c:v>
                </c:pt>
                <c:pt idx="17">
                  <c:v>Finlanda</c:v>
                </c:pt>
                <c:pt idx="18">
                  <c:v>Belgia (franceză)</c:v>
                </c:pt>
                <c:pt idx="19">
                  <c:v>Italia</c:v>
                </c:pt>
                <c:pt idx="20">
                  <c:v>Malta</c:v>
                </c:pt>
                <c:pt idx="21">
                  <c:v>Slovenia</c:v>
                </c:pt>
                <c:pt idx="22">
                  <c:v>Austria</c:v>
                </c:pt>
                <c:pt idx="23">
                  <c:v>Belgia (flamandă)</c:v>
                </c:pt>
                <c:pt idx="24">
                  <c:v>Olanda</c:v>
                </c:pt>
                <c:pt idx="25">
                  <c:v>Irlanda</c:v>
                </c:pt>
                <c:pt idx="26">
                  <c:v>Danemarca</c:v>
                </c:pt>
                <c:pt idx="27">
                  <c:v>Portugalia</c:v>
                </c:pt>
                <c:pt idx="28">
                  <c:v>Media HBSC</c:v>
                </c:pt>
              </c:strCache>
            </c:strRef>
          </c:cat>
          <c:val>
            <c:numRef>
              <c:f>'13'!$E$4:$E$32</c:f>
              <c:numCache>
                <c:formatCode>General</c:formatCode>
                <c:ptCount val="29"/>
                <c:pt idx="0">
                  <c:v>36</c:v>
                </c:pt>
                <c:pt idx="1">
                  <c:v>30</c:v>
                </c:pt>
                <c:pt idx="2">
                  <c:v>22</c:v>
                </c:pt>
                <c:pt idx="3">
                  <c:v>23</c:v>
                </c:pt>
                <c:pt idx="4">
                  <c:v>21</c:v>
                </c:pt>
                <c:pt idx="5">
                  <c:v>25</c:v>
                </c:pt>
                <c:pt idx="6">
                  <c:v>21</c:v>
                </c:pt>
                <c:pt idx="7">
                  <c:v>21</c:v>
                </c:pt>
                <c:pt idx="8">
                  <c:v>17</c:v>
                </c:pt>
                <c:pt idx="9">
                  <c:v>19</c:v>
                </c:pt>
                <c:pt idx="10">
                  <c:v>18</c:v>
                </c:pt>
                <c:pt idx="11">
                  <c:v>15</c:v>
                </c:pt>
                <c:pt idx="12">
                  <c:v>15</c:v>
                </c:pt>
                <c:pt idx="13">
                  <c:v>14</c:v>
                </c:pt>
                <c:pt idx="14">
                  <c:v>17</c:v>
                </c:pt>
                <c:pt idx="15">
                  <c:v>16</c:v>
                </c:pt>
                <c:pt idx="16">
                  <c:v>17</c:v>
                </c:pt>
                <c:pt idx="17">
                  <c:v>19</c:v>
                </c:pt>
                <c:pt idx="18">
                  <c:v>13</c:v>
                </c:pt>
                <c:pt idx="19">
                  <c:v>14</c:v>
                </c:pt>
                <c:pt idx="20">
                  <c:v>9</c:v>
                </c:pt>
                <c:pt idx="21">
                  <c:v>11</c:v>
                </c:pt>
                <c:pt idx="22">
                  <c:v>10</c:v>
                </c:pt>
                <c:pt idx="23">
                  <c:v>10</c:v>
                </c:pt>
                <c:pt idx="24">
                  <c:v>11</c:v>
                </c:pt>
                <c:pt idx="25">
                  <c:v>7</c:v>
                </c:pt>
                <c:pt idx="26">
                  <c:v>8</c:v>
                </c:pt>
                <c:pt idx="27">
                  <c:v>7</c:v>
                </c:pt>
                <c:pt idx="28">
                  <c:v>16</c:v>
                </c:pt>
              </c:numCache>
            </c:numRef>
          </c:val>
          <c:extLst>
            <c:ext xmlns:c16="http://schemas.microsoft.com/office/drawing/2014/chart" uri="{C3380CC4-5D6E-409C-BE32-E72D297353CC}">
              <c16:uniqueId val="{0000000A-BB46-4F99-B420-53D0ED11A032}"/>
            </c:ext>
          </c:extLst>
        </c:ser>
        <c:dLbls>
          <c:dLblPos val="outEnd"/>
          <c:showLegendKey val="0"/>
          <c:showVal val="1"/>
          <c:showCatName val="0"/>
          <c:showSerName val="0"/>
          <c:showPercent val="0"/>
          <c:showBubbleSize val="0"/>
        </c:dLbls>
        <c:gapWidth val="219"/>
        <c:overlap val="-27"/>
        <c:axId val="1080266863"/>
        <c:axId val="1080267823"/>
      </c:barChart>
      <c:catAx>
        <c:axId val="108026686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o-RO"/>
          </a:p>
        </c:txPr>
        <c:crossAx val="1080267823"/>
        <c:crosses val="autoZero"/>
        <c:auto val="1"/>
        <c:lblAlgn val="ctr"/>
        <c:lblOffset val="100"/>
        <c:noMultiLvlLbl val="0"/>
      </c:catAx>
      <c:valAx>
        <c:axId val="108026782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o-RO"/>
          </a:p>
        </c:txPr>
        <c:crossAx val="108026686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o-RO"/>
    </a:p>
  </c:txPr>
  <c:externalData r:id="rId4">
    <c:autoUpdate val="0"/>
  </c:externalData>
</c:chartSpace>
</file>

<file path=word/charts/chart3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Pt>
            <c:idx val="29"/>
            <c:invertIfNegative val="0"/>
            <c:bubble3D val="0"/>
            <c:spPr>
              <a:solidFill>
                <a:srgbClr val="C00000"/>
              </a:soli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1-F690-45F3-B572-5D4899B8B08A}"/>
              </c:ext>
            </c:extLst>
          </c:dPt>
          <c:dPt>
            <c:idx val="37"/>
            <c:invertIfNegative val="0"/>
            <c:bubble3D val="0"/>
            <c:spPr>
              <a:solidFill>
                <a:srgbClr val="FF0000"/>
              </a:soli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3-F690-45F3-B572-5D4899B8B08A}"/>
              </c:ext>
            </c:extLst>
          </c:dPt>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ro-R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Countries_2024_All!$A$2:$A$39</c:f>
              <c:strCache>
                <c:ptCount val="38"/>
                <c:pt idx="0">
                  <c:v>Austria</c:v>
                </c:pt>
                <c:pt idx="1">
                  <c:v>Bulgaria</c:v>
                </c:pt>
                <c:pt idx="2">
                  <c:v>Cehia</c:v>
                </c:pt>
                <c:pt idx="3">
                  <c:v>Cipru</c:v>
                </c:pt>
                <c:pt idx="4">
                  <c:v>Croaţia</c:v>
                </c:pt>
                <c:pt idx="5">
                  <c:v>Danemarca</c:v>
                </c:pt>
                <c:pt idx="6">
                  <c:v>Estonia</c:v>
                </c:pt>
                <c:pt idx="7">
                  <c:v>Feroe</c:v>
                </c:pt>
                <c:pt idx="8">
                  <c:v>Finlanda</c:v>
                </c:pt>
                <c:pt idx="9">
                  <c:v>Franţa</c:v>
                </c:pt>
                <c:pt idx="10">
                  <c:v>Georgia</c:v>
                </c:pt>
                <c:pt idx="11">
                  <c:v>Germania</c:v>
                </c:pt>
                <c:pt idx="12">
                  <c:v>Grecia</c:v>
                </c:pt>
                <c:pt idx="13">
                  <c:v>Irlanda</c:v>
                </c:pt>
                <c:pt idx="14">
                  <c:v>Islanda</c:v>
                </c:pt>
                <c:pt idx="15">
                  <c:v>Italia</c:v>
                </c:pt>
                <c:pt idx="16">
                  <c:v>Kosovo</c:v>
                </c:pt>
                <c:pt idx="17">
                  <c:v>Letonia</c:v>
                </c:pt>
                <c:pt idx="18">
                  <c:v>Liechtenstein</c:v>
                </c:pt>
                <c:pt idx="19">
                  <c:v>Lituania</c:v>
                </c:pt>
                <c:pt idx="20">
                  <c:v>Macedonia de Nord</c:v>
                </c:pt>
                <c:pt idx="21">
                  <c:v>Malta</c:v>
                </c:pt>
                <c:pt idx="22">
                  <c:v>Moldova</c:v>
                </c:pt>
                <c:pt idx="23">
                  <c:v>Monaco</c:v>
                </c:pt>
                <c:pt idx="24">
                  <c:v>Muntenegru</c:v>
                </c:pt>
                <c:pt idx="25">
                  <c:v>Norvegia</c:v>
                </c:pt>
                <c:pt idx="26">
                  <c:v>Țările de Jos</c:v>
                </c:pt>
                <c:pt idx="27">
                  <c:v>Polonia</c:v>
                </c:pt>
                <c:pt idx="28">
                  <c:v>Portugalia</c:v>
                </c:pt>
                <c:pt idx="29">
                  <c:v>România</c:v>
                </c:pt>
                <c:pt idx="30">
                  <c:v>Serbia</c:v>
                </c:pt>
                <c:pt idx="31">
                  <c:v>Slovacia</c:v>
                </c:pt>
                <c:pt idx="32">
                  <c:v>Slovenia</c:v>
                </c:pt>
                <c:pt idx="33">
                  <c:v>Spania</c:v>
                </c:pt>
                <c:pt idx="34">
                  <c:v>Suedia</c:v>
                </c:pt>
                <c:pt idx="35">
                  <c:v>Ucraina</c:v>
                </c:pt>
                <c:pt idx="36">
                  <c:v>Ungaria</c:v>
                </c:pt>
                <c:pt idx="37">
                  <c:v>Media ESPAD</c:v>
                </c:pt>
              </c:strCache>
            </c:strRef>
          </c:cat>
          <c:val>
            <c:numRef>
              <c:f>Countries_2024_All!$D$2:$D$39</c:f>
              <c:numCache>
                <c:formatCode>General</c:formatCode>
                <c:ptCount val="38"/>
                <c:pt idx="0">
                  <c:v>2.38</c:v>
                </c:pt>
                <c:pt idx="1">
                  <c:v>8.73</c:v>
                </c:pt>
                <c:pt idx="2">
                  <c:v>4.26</c:v>
                </c:pt>
                <c:pt idx="3">
                  <c:v>4.79</c:v>
                </c:pt>
                <c:pt idx="4">
                  <c:v>5.36</c:v>
                </c:pt>
                <c:pt idx="5">
                  <c:v>1.45</c:v>
                </c:pt>
                <c:pt idx="6">
                  <c:v>5.0199999999999996</c:v>
                </c:pt>
                <c:pt idx="7">
                  <c:v>1.19</c:v>
                </c:pt>
                <c:pt idx="8">
                  <c:v>3.42</c:v>
                </c:pt>
                <c:pt idx="9">
                  <c:v>1.42</c:v>
                </c:pt>
                <c:pt idx="10">
                  <c:v>4.3099999999999996</c:v>
                </c:pt>
                <c:pt idx="11">
                  <c:v>2.63</c:v>
                </c:pt>
                <c:pt idx="12">
                  <c:v>3.55</c:v>
                </c:pt>
                <c:pt idx="13">
                  <c:v>2.99</c:v>
                </c:pt>
                <c:pt idx="14">
                  <c:v>2.5</c:v>
                </c:pt>
                <c:pt idx="15">
                  <c:v>3.82</c:v>
                </c:pt>
                <c:pt idx="16">
                  <c:v>6.61</c:v>
                </c:pt>
                <c:pt idx="17">
                  <c:v>5.92</c:v>
                </c:pt>
                <c:pt idx="18">
                  <c:v>1.2</c:v>
                </c:pt>
                <c:pt idx="19">
                  <c:v>5.18</c:v>
                </c:pt>
                <c:pt idx="20">
                  <c:v>3.61</c:v>
                </c:pt>
                <c:pt idx="21">
                  <c:v>1.64</c:v>
                </c:pt>
                <c:pt idx="22">
                  <c:v>2.29</c:v>
                </c:pt>
                <c:pt idx="23">
                  <c:v>3.55</c:v>
                </c:pt>
                <c:pt idx="24">
                  <c:v>2.11</c:v>
                </c:pt>
                <c:pt idx="25">
                  <c:v>1.96</c:v>
                </c:pt>
                <c:pt idx="26">
                  <c:v>1.89</c:v>
                </c:pt>
                <c:pt idx="27">
                  <c:v>3.72</c:v>
                </c:pt>
                <c:pt idx="28">
                  <c:v>1.72</c:v>
                </c:pt>
                <c:pt idx="29">
                  <c:v>5.4</c:v>
                </c:pt>
                <c:pt idx="30">
                  <c:v>3.05</c:v>
                </c:pt>
                <c:pt idx="31">
                  <c:v>6.61</c:v>
                </c:pt>
                <c:pt idx="32">
                  <c:v>2.97</c:v>
                </c:pt>
                <c:pt idx="33">
                  <c:v>1.9</c:v>
                </c:pt>
                <c:pt idx="34">
                  <c:v>1.63</c:v>
                </c:pt>
                <c:pt idx="35">
                  <c:v>6.2</c:v>
                </c:pt>
                <c:pt idx="36">
                  <c:v>5.68</c:v>
                </c:pt>
                <c:pt idx="37">
                  <c:v>3.64</c:v>
                </c:pt>
              </c:numCache>
            </c:numRef>
          </c:val>
          <c:extLst>
            <c:ext xmlns:c16="http://schemas.microsoft.com/office/drawing/2014/chart" uri="{C3380CC4-5D6E-409C-BE32-E72D297353CC}">
              <c16:uniqueId val="{00000004-F690-45F3-B572-5D4899B8B08A}"/>
            </c:ext>
          </c:extLst>
        </c:ser>
        <c:dLbls>
          <c:showLegendKey val="0"/>
          <c:showVal val="0"/>
          <c:showCatName val="0"/>
          <c:showSerName val="0"/>
          <c:showPercent val="0"/>
          <c:showBubbleSize val="0"/>
        </c:dLbls>
        <c:gapWidth val="100"/>
        <c:overlap val="-24"/>
        <c:axId val="1083165248"/>
        <c:axId val="1083149888"/>
      </c:barChart>
      <c:catAx>
        <c:axId val="1083165248"/>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83149888"/>
        <c:crosses val="autoZero"/>
        <c:auto val="1"/>
        <c:lblAlgn val="l"/>
        <c:lblOffset val="100"/>
        <c:noMultiLvlLbl val="0"/>
      </c:catAx>
      <c:valAx>
        <c:axId val="108314988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83165248"/>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3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4.9136810447024525E-2"/>
          <c:y val="0.16484444444444446"/>
          <c:w val="0.91805709699292859"/>
          <c:h val="0.63038495188101484"/>
        </c:manualLayout>
      </c:layout>
      <c:lineChart>
        <c:grouping val="standard"/>
        <c:varyColors val="0"/>
        <c:ser>
          <c:idx val="0"/>
          <c:order val="0"/>
          <c:tx>
            <c:v>Băieți (RO)</c:v>
          </c:tx>
          <c:spPr>
            <a:ln w="28575" cap="rnd">
              <a:solidFill>
                <a:schemeClr val="tx2"/>
              </a:solidFill>
              <a:round/>
            </a:ln>
            <a:effectLst/>
          </c:spPr>
          <c:marker>
            <c:symbol val="none"/>
          </c:marker>
          <c:dLbls>
            <c:dLbl>
              <c:idx val="5"/>
              <c:layout>
                <c:manualLayout>
                  <c:x val="-7.0298769771528994E-3"/>
                  <c:y val="-5.777777777777785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354C-4845-8AEE-82B7CEDB98D2}"/>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'Boys_Girls _line'!$C$1:$I$1</c:f>
              <c:numCache>
                <c:formatCode>General</c:formatCode>
                <c:ptCount val="7"/>
                <c:pt idx="0">
                  <c:v>1999</c:v>
                </c:pt>
                <c:pt idx="1">
                  <c:v>2003</c:v>
                </c:pt>
                <c:pt idx="2">
                  <c:v>2007</c:v>
                </c:pt>
                <c:pt idx="3">
                  <c:v>2011</c:v>
                </c:pt>
                <c:pt idx="4">
                  <c:v>2015</c:v>
                </c:pt>
                <c:pt idx="5">
                  <c:v>2019</c:v>
                </c:pt>
                <c:pt idx="6">
                  <c:v>2024</c:v>
                </c:pt>
              </c:numCache>
            </c:numRef>
          </c:cat>
          <c:val>
            <c:numRef>
              <c:f>'Boys_Girls _line'!$C$7:$I$7</c:f>
              <c:numCache>
                <c:formatCode>General</c:formatCode>
                <c:ptCount val="7"/>
                <c:pt idx="0">
                  <c:v>6.26</c:v>
                </c:pt>
                <c:pt idx="1">
                  <c:v>9.2799999999999994</c:v>
                </c:pt>
                <c:pt idx="2">
                  <c:v>5.74</c:v>
                </c:pt>
                <c:pt idx="3">
                  <c:v>5.29</c:v>
                </c:pt>
                <c:pt idx="4">
                  <c:v>7.02</c:v>
                </c:pt>
                <c:pt idx="5">
                  <c:v>5.23</c:v>
                </c:pt>
                <c:pt idx="6">
                  <c:v>4.59</c:v>
                </c:pt>
              </c:numCache>
            </c:numRef>
          </c:val>
          <c:smooth val="0"/>
          <c:extLst>
            <c:ext xmlns:c16="http://schemas.microsoft.com/office/drawing/2014/chart" uri="{C3380CC4-5D6E-409C-BE32-E72D297353CC}">
              <c16:uniqueId val="{00000001-354C-4845-8AEE-82B7CEDB98D2}"/>
            </c:ext>
          </c:extLst>
        </c:ser>
        <c:ser>
          <c:idx val="2"/>
          <c:order val="1"/>
          <c:tx>
            <c:v>Fete (RO)</c:v>
          </c:tx>
          <c:spPr>
            <a:ln w="28575" cap="rnd">
              <a:solidFill>
                <a:schemeClr val="accent2"/>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o-R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Girls!$C$7:$I$7</c:f>
              <c:numCache>
                <c:formatCode>General</c:formatCode>
                <c:ptCount val="7"/>
                <c:pt idx="0">
                  <c:v>2.31</c:v>
                </c:pt>
                <c:pt idx="1">
                  <c:v>3.15</c:v>
                </c:pt>
                <c:pt idx="2">
                  <c:v>2.17</c:v>
                </c:pt>
                <c:pt idx="3">
                  <c:v>2.65</c:v>
                </c:pt>
                <c:pt idx="4">
                  <c:v>3.84</c:v>
                </c:pt>
                <c:pt idx="5">
                  <c:v>4.83</c:v>
                </c:pt>
                <c:pt idx="6">
                  <c:v>6.17</c:v>
                </c:pt>
              </c:numCache>
            </c:numRef>
          </c:val>
          <c:smooth val="0"/>
          <c:extLst>
            <c:ext xmlns:c16="http://schemas.microsoft.com/office/drawing/2014/chart" uri="{C3380CC4-5D6E-409C-BE32-E72D297353CC}">
              <c16:uniqueId val="{00000002-354C-4845-8AEE-82B7CEDB98D2}"/>
            </c:ext>
          </c:extLst>
        </c:ser>
        <c:ser>
          <c:idx val="1"/>
          <c:order val="2"/>
          <c:tx>
            <c:v>Băieți (media ESPAD)</c:v>
          </c:tx>
          <c:spPr>
            <a:ln w="28575" cap="rnd">
              <a:solidFill>
                <a:schemeClr val="accent4">
                  <a:lumMod val="40000"/>
                  <a:lumOff val="60000"/>
                </a:schemeClr>
              </a:solidFill>
              <a:round/>
            </a:ln>
            <a:effectLst/>
          </c:spPr>
          <c:marker>
            <c:symbol val="none"/>
          </c:marker>
          <c:dLbls>
            <c:dLbl>
              <c:idx val="0"/>
              <c:layout>
                <c:manualLayout>
                  <c:x val="-3.5149384885764502E-2"/>
                  <c:y val="-4.444444444444446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354C-4845-8AEE-82B7CEDB98D2}"/>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'Boys_Girls _line'!$C$1:$I$1</c:f>
              <c:numCache>
                <c:formatCode>General</c:formatCode>
                <c:ptCount val="7"/>
                <c:pt idx="0">
                  <c:v>1999</c:v>
                </c:pt>
                <c:pt idx="1">
                  <c:v>2003</c:v>
                </c:pt>
                <c:pt idx="2">
                  <c:v>2007</c:v>
                </c:pt>
                <c:pt idx="3">
                  <c:v>2011</c:v>
                </c:pt>
                <c:pt idx="4">
                  <c:v>2015</c:v>
                </c:pt>
                <c:pt idx="5">
                  <c:v>2019</c:v>
                </c:pt>
                <c:pt idx="6">
                  <c:v>2024</c:v>
                </c:pt>
              </c:numCache>
            </c:numRef>
          </c:cat>
          <c:val>
            <c:numRef>
              <c:f>'Boys_Girls _line'!$C$29:$I$29</c:f>
              <c:numCache>
                <c:formatCode>General</c:formatCode>
                <c:ptCount val="7"/>
                <c:pt idx="0">
                  <c:v>10.55</c:v>
                </c:pt>
                <c:pt idx="1">
                  <c:v>11.37</c:v>
                </c:pt>
                <c:pt idx="2">
                  <c:v>7.51</c:v>
                </c:pt>
                <c:pt idx="3">
                  <c:v>7.66</c:v>
                </c:pt>
                <c:pt idx="4">
                  <c:v>5.03</c:v>
                </c:pt>
                <c:pt idx="5">
                  <c:v>3.45</c:v>
                </c:pt>
                <c:pt idx="6">
                  <c:v>3.58</c:v>
                </c:pt>
              </c:numCache>
            </c:numRef>
          </c:val>
          <c:smooth val="0"/>
          <c:extLst>
            <c:ext xmlns:c16="http://schemas.microsoft.com/office/drawing/2014/chart" uri="{C3380CC4-5D6E-409C-BE32-E72D297353CC}">
              <c16:uniqueId val="{00000004-354C-4845-8AEE-82B7CEDB98D2}"/>
            </c:ext>
          </c:extLst>
        </c:ser>
        <c:ser>
          <c:idx val="3"/>
          <c:order val="3"/>
          <c:tx>
            <c:v>Fete (media ESPAD)</c:v>
          </c:tx>
          <c:spPr>
            <a:ln w="28575" cap="rnd">
              <a:solidFill>
                <a:schemeClr val="accent2">
                  <a:lumMod val="40000"/>
                  <a:lumOff val="60000"/>
                </a:schemeClr>
              </a:solidFill>
              <a:round/>
            </a:ln>
            <a:effectLst/>
          </c:spPr>
          <c:marker>
            <c:symbol val="none"/>
          </c:marker>
          <c:dLbls>
            <c:dLbl>
              <c:idx val="6"/>
              <c:layout>
                <c:manualLayout>
                  <c:x val="-3.9488966318234613E-2"/>
                  <c:y val="3.218390804597701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354C-4845-8AEE-82B7CEDB98D2}"/>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o-R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Girls!$C$29:$I$29</c:f>
              <c:numCache>
                <c:formatCode>General</c:formatCode>
                <c:ptCount val="7"/>
                <c:pt idx="0">
                  <c:v>8.18</c:v>
                </c:pt>
                <c:pt idx="1">
                  <c:v>9.49</c:v>
                </c:pt>
                <c:pt idx="2">
                  <c:v>6.32</c:v>
                </c:pt>
                <c:pt idx="3">
                  <c:v>6.22</c:v>
                </c:pt>
                <c:pt idx="4">
                  <c:v>3.73</c:v>
                </c:pt>
                <c:pt idx="5">
                  <c:v>2.5</c:v>
                </c:pt>
                <c:pt idx="6">
                  <c:v>3.61</c:v>
                </c:pt>
              </c:numCache>
            </c:numRef>
          </c:val>
          <c:smooth val="0"/>
          <c:extLst>
            <c:ext xmlns:c16="http://schemas.microsoft.com/office/drawing/2014/chart" uri="{C3380CC4-5D6E-409C-BE32-E72D297353CC}">
              <c16:uniqueId val="{00000006-354C-4845-8AEE-82B7CEDB98D2}"/>
            </c:ext>
          </c:extLst>
        </c:ser>
        <c:dLbls>
          <c:showLegendKey val="0"/>
          <c:showVal val="0"/>
          <c:showCatName val="0"/>
          <c:showSerName val="0"/>
          <c:showPercent val="0"/>
          <c:showBubbleSize val="0"/>
        </c:dLbls>
        <c:smooth val="0"/>
        <c:axId val="481932592"/>
        <c:axId val="481917232"/>
      </c:lineChart>
      <c:catAx>
        <c:axId val="4819325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81917232"/>
        <c:crosses val="autoZero"/>
        <c:auto val="1"/>
        <c:lblAlgn val="ctr"/>
        <c:lblOffset val="100"/>
        <c:noMultiLvlLbl val="0"/>
      </c:catAx>
      <c:valAx>
        <c:axId val="48191723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8193259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3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Pt>
            <c:idx val="29"/>
            <c:invertIfNegative val="0"/>
            <c:bubble3D val="0"/>
            <c:spPr>
              <a:solidFill>
                <a:srgbClr val="C00000"/>
              </a:soli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1-7D67-4DD7-BD70-57FB1BC4E687}"/>
              </c:ext>
            </c:extLst>
          </c:dPt>
          <c:dPt>
            <c:idx val="37"/>
            <c:invertIfNegative val="0"/>
            <c:bubble3D val="0"/>
            <c:spPr>
              <a:solidFill>
                <a:srgbClr val="FF0000"/>
              </a:soli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3-7D67-4DD7-BD70-57FB1BC4E687}"/>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o-R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Countries_2024_All!$A$2:$A$39</c:f>
              <c:strCache>
                <c:ptCount val="38"/>
                <c:pt idx="0">
                  <c:v>Austria</c:v>
                </c:pt>
                <c:pt idx="1">
                  <c:v>Bulgaria</c:v>
                </c:pt>
                <c:pt idx="2">
                  <c:v>Cehia</c:v>
                </c:pt>
                <c:pt idx="3">
                  <c:v>Cipru</c:v>
                </c:pt>
                <c:pt idx="4">
                  <c:v>Croaţia</c:v>
                </c:pt>
                <c:pt idx="5">
                  <c:v>Danemarca</c:v>
                </c:pt>
                <c:pt idx="6">
                  <c:v>Estonia</c:v>
                </c:pt>
                <c:pt idx="7">
                  <c:v>Feroe</c:v>
                </c:pt>
                <c:pt idx="8">
                  <c:v>Finlanda</c:v>
                </c:pt>
                <c:pt idx="9">
                  <c:v>Franţa</c:v>
                </c:pt>
                <c:pt idx="10">
                  <c:v>Georgia</c:v>
                </c:pt>
                <c:pt idx="11">
                  <c:v>Germania</c:v>
                </c:pt>
                <c:pt idx="12">
                  <c:v>Grecia</c:v>
                </c:pt>
                <c:pt idx="13">
                  <c:v>Irlanda</c:v>
                </c:pt>
                <c:pt idx="14">
                  <c:v>Islanda</c:v>
                </c:pt>
                <c:pt idx="15">
                  <c:v>Italia</c:v>
                </c:pt>
                <c:pt idx="16">
                  <c:v>Kosovo</c:v>
                </c:pt>
                <c:pt idx="17">
                  <c:v>Letonia</c:v>
                </c:pt>
                <c:pt idx="18">
                  <c:v>Liechtenstein</c:v>
                </c:pt>
                <c:pt idx="19">
                  <c:v>Lituania</c:v>
                </c:pt>
                <c:pt idx="20">
                  <c:v>Macedonia de Nord</c:v>
                </c:pt>
                <c:pt idx="21">
                  <c:v>Malta</c:v>
                </c:pt>
                <c:pt idx="22">
                  <c:v>Moldova</c:v>
                </c:pt>
                <c:pt idx="23">
                  <c:v>Monaco</c:v>
                </c:pt>
                <c:pt idx="24">
                  <c:v>Muntenegru</c:v>
                </c:pt>
                <c:pt idx="25">
                  <c:v>Norvegia</c:v>
                </c:pt>
                <c:pt idx="26">
                  <c:v>Țările de Jos</c:v>
                </c:pt>
                <c:pt idx="27">
                  <c:v>Polonia</c:v>
                </c:pt>
                <c:pt idx="28">
                  <c:v>Portugalia</c:v>
                </c:pt>
                <c:pt idx="29">
                  <c:v>România</c:v>
                </c:pt>
                <c:pt idx="30">
                  <c:v>Serbia</c:v>
                </c:pt>
                <c:pt idx="31">
                  <c:v>Slovacia</c:v>
                </c:pt>
                <c:pt idx="32">
                  <c:v>Slovenia</c:v>
                </c:pt>
                <c:pt idx="33">
                  <c:v>Spania</c:v>
                </c:pt>
                <c:pt idx="34">
                  <c:v>Suedia</c:v>
                </c:pt>
                <c:pt idx="35">
                  <c:v>Ucraina</c:v>
                </c:pt>
                <c:pt idx="36">
                  <c:v>Ungaria</c:v>
                </c:pt>
                <c:pt idx="37">
                  <c:v>Media ESPAD</c:v>
                </c:pt>
              </c:strCache>
            </c:strRef>
          </c:cat>
          <c:val>
            <c:numRef>
              <c:f>Countries_2024_All!$C$2:$C$39</c:f>
              <c:numCache>
                <c:formatCode>General</c:formatCode>
                <c:ptCount val="38"/>
                <c:pt idx="0">
                  <c:v>8.51</c:v>
                </c:pt>
                <c:pt idx="1">
                  <c:v>19.89</c:v>
                </c:pt>
                <c:pt idx="2">
                  <c:v>5.55</c:v>
                </c:pt>
                <c:pt idx="3">
                  <c:v>11.49</c:v>
                </c:pt>
                <c:pt idx="4">
                  <c:v>19.64</c:v>
                </c:pt>
                <c:pt idx="5">
                  <c:v>2.96</c:v>
                </c:pt>
                <c:pt idx="6">
                  <c:v>3.58</c:v>
                </c:pt>
                <c:pt idx="7">
                  <c:v>3.58</c:v>
                </c:pt>
                <c:pt idx="8">
                  <c:v>4.03</c:v>
                </c:pt>
                <c:pt idx="9">
                  <c:v>3.05</c:v>
                </c:pt>
                <c:pt idx="10">
                  <c:v>8.41</c:v>
                </c:pt>
                <c:pt idx="11">
                  <c:v>7.5</c:v>
                </c:pt>
                <c:pt idx="12">
                  <c:v>14.49</c:v>
                </c:pt>
                <c:pt idx="13">
                  <c:v>2.08</c:v>
                </c:pt>
                <c:pt idx="14">
                  <c:v>0.83</c:v>
                </c:pt>
                <c:pt idx="15">
                  <c:v>11.58</c:v>
                </c:pt>
                <c:pt idx="16">
                  <c:v>14.03</c:v>
                </c:pt>
                <c:pt idx="17">
                  <c:v>4.3600000000000003</c:v>
                </c:pt>
                <c:pt idx="18">
                  <c:v>7.19</c:v>
                </c:pt>
                <c:pt idx="19">
                  <c:v>3.32</c:v>
                </c:pt>
                <c:pt idx="20">
                  <c:v>12.41</c:v>
                </c:pt>
                <c:pt idx="21">
                  <c:v>3.06</c:v>
                </c:pt>
                <c:pt idx="22">
                  <c:v>5.0599999999999996</c:v>
                </c:pt>
                <c:pt idx="23">
                  <c:v>1.87</c:v>
                </c:pt>
                <c:pt idx="24">
                  <c:v>9.2200000000000006</c:v>
                </c:pt>
                <c:pt idx="25">
                  <c:v>2.4500000000000002</c:v>
                </c:pt>
                <c:pt idx="26">
                  <c:v>5.87</c:v>
                </c:pt>
                <c:pt idx="27">
                  <c:v>7.21</c:v>
                </c:pt>
                <c:pt idx="28">
                  <c:v>4.91</c:v>
                </c:pt>
                <c:pt idx="29">
                  <c:v>15.9</c:v>
                </c:pt>
                <c:pt idx="30">
                  <c:v>13.08</c:v>
                </c:pt>
                <c:pt idx="31">
                  <c:v>12.96</c:v>
                </c:pt>
                <c:pt idx="32">
                  <c:v>9.27</c:v>
                </c:pt>
                <c:pt idx="33">
                  <c:v>5.48</c:v>
                </c:pt>
                <c:pt idx="34">
                  <c:v>1.89</c:v>
                </c:pt>
                <c:pt idx="35">
                  <c:v>5.59</c:v>
                </c:pt>
                <c:pt idx="36">
                  <c:v>19.11</c:v>
                </c:pt>
                <c:pt idx="37">
                  <c:v>7.85</c:v>
                </c:pt>
              </c:numCache>
            </c:numRef>
          </c:val>
          <c:extLst>
            <c:ext xmlns:c16="http://schemas.microsoft.com/office/drawing/2014/chart" uri="{C3380CC4-5D6E-409C-BE32-E72D297353CC}">
              <c16:uniqueId val="{00000004-7D67-4DD7-BD70-57FB1BC4E687}"/>
            </c:ext>
          </c:extLst>
        </c:ser>
        <c:dLbls>
          <c:showLegendKey val="0"/>
          <c:showVal val="0"/>
          <c:showCatName val="0"/>
          <c:showSerName val="0"/>
          <c:showPercent val="0"/>
          <c:showBubbleSize val="0"/>
        </c:dLbls>
        <c:gapWidth val="100"/>
        <c:overlap val="-24"/>
        <c:axId val="1083165248"/>
        <c:axId val="1083149888"/>
      </c:barChart>
      <c:catAx>
        <c:axId val="1083165248"/>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83149888"/>
        <c:crosses val="autoZero"/>
        <c:auto val="1"/>
        <c:lblAlgn val="ctr"/>
        <c:lblOffset val="100"/>
        <c:noMultiLvlLbl val="0"/>
      </c:catAx>
      <c:valAx>
        <c:axId val="108314988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83165248"/>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o-RO"/>
              <a:t>%</a:t>
            </a:r>
          </a:p>
        </c:rich>
      </c:tx>
      <c:layout>
        <c:manualLayout>
          <c:xMode val="edge"/>
          <c:yMode val="edge"/>
          <c:x val="0.68054155730533683"/>
          <c:y val="6.0185185185185182E-2"/>
        </c:manualLayout>
      </c:layout>
      <c:overlay val="1"/>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o-RO"/>
        </a:p>
      </c:txPr>
    </c:title>
    <c:autoTitleDeleted val="0"/>
    <c:plotArea>
      <c:layout/>
      <c:barChart>
        <c:barDir val="col"/>
        <c:grouping val="clustered"/>
        <c:varyColors val="0"/>
        <c:ser>
          <c:idx val="0"/>
          <c:order val="0"/>
          <c:tx>
            <c:strRef>
              <c:f>Sheet1!$F$2</c:f>
              <c:strCache>
                <c:ptCount val="1"/>
                <c:pt idx="0">
                  <c:v>Urban</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o-R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Sheet1!$B$3:$B$5</c:f>
              <c:strCache>
                <c:ptCount val="3"/>
                <c:pt idx="0">
                  <c:v>Superior</c:v>
                </c:pt>
                <c:pt idx="1">
                  <c:v>Mediu</c:v>
                </c:pt>
                <c:pt idx="2">
                  <c:v>Scăzut</c:v>
                </c:pt>
              </c:strCache>
            </c:strRef>
          </c:cat>
          <c:val>
            <c:numRef>
              <c:f>Sheet1!$F$3:$F$5</c:f>
              <c:numCache>
                <c:formatCode>General</c:formatCode>
                <c:ptCount val="3"/>
                <c:pt idx="0">
                  <c:v>29.4</c:v>
                </c:pt>
                <c:pt idx="1">
                  <c:v>31.2</c:v>
                </c:pt>
                <c:pt idx="2">
                  <c:v>20.7</c:v>
                </c:pt>
              </c:numCache>
            </c:numRef>
          </c:val>
          <c:extLst>
            <c:ext xmlns:c16="http://schemas.microsoft.com/office/drawing/2014/chart" uri="{C3380CC4-5D6E-409C-BE32-E72D297353CC}">
              <c16:uniqueId val="{00000000-64CE-43BD-8728-028BACDFFEF0}"/>
            </c:ext>
          </c:extLst>
        </c:ser>
        <c:ser>
          <c:idx val="1"/>
          <c:order val="1"/>
          <c:tx>
            <c:strRef>
              <c:f>Sheet1!$G$2</c:f>
              <c:strCache>
                <c:ptCount val="1"/>
                <c:pt idx="0">
                  <c:v>Rural</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o-R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Sheet1!$B$3:$B$5</c:f>
              <c:strCache>
                <c:ptCount val="3"/>
                <c:pt idx="0">
                  <c:v>Superior</c:v>
                </c:pt>
                <c:pt idx="1">
                  <c:v>Mediu</c:v>
                </c:pt>
                <c:pt idx="2">
                  <c:v>Scăzut</c:v>
                </c:pt>
              </c:strCache>
            </c:strRef>
          </c:cat>
          <c:val>
            <c:numRef>
              <c:f>Sheet1!$G$3:$G$5</c:f>
              <c:numCache>
                <c:formatCode>General</c:formatCode>
                <c:ptCount val="3"/>
                <c:pt idx="0">
                  <c:v>27.9</c:v>
                </c:pt>
                <c:pt idx="1">
                  <c:v>29.1</c:v>
                </c:pt>
                <c:pt idx="2">
                  <c:v>18.3</c:v>
                </c:pt>
              </c:numCache>
            </c:numRef>
          </c:val>
          <c:extLst>
            <c:ext xmlns:c16="http://schemas.microsoft.com/office/drawing/2014/chart" uri="{C3380CC4-5D6E-409C-BE32-E72D297353CC}">
              <c16:uniqueId val="{00000001-64CE-43BD-8728-028BACDFFEF0}"/>
            </c:ext>
          </c:extLst>
        </c:ser>
        <c:dLbls>
          <c:showLegendKey val="0"/>
          <c:showVal val="0"/>
          <c:showCatName val="0"/>
          <c:showSerName val="0"/>
          <c:showPercent val="0"/>
          <c:showBubbleSize val="0"/>
        </c:dLbls>
        <c:gapWidth val="219"/>
        <c:overlap val="-27"/>
        <c:axId val="241271584"/>
        <c:axId val="241284544"/>
      </c:barChart>
      <c:catAx>
        <c:axId val="2412715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o-RO"/>
          </a:p>
        </c:txPr>
        <c:crossAx val="241284544"/>
        <c:crosses val="autoZero"/>
        <c:auto val="1"/>
        <c:lblAlgn val="ctr"/>
        <c:lblOffset val="100"/>
        <c:noMultiLvlLbl val="0"/>
      </c:catAx>
      <c:valAx>
        <c:axId val="24128454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o-RO"/>
          </a:p>
        </c:txPr>
        <c:crossAx val="24127158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o-RO"/>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o-RO"/>
    </a:p>
  </c:txPr>
  <c:externalData r:id="rId4">
    <c:autoUpdate val="0"/>
  </c:externalData>
</c:chartSpace>
</file>

<file path=word/charts/chart4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7.5446346554552651E-2"/>
          <c:y val="0.16484444444444443"/>
          <c:w val="0.89875930475275168"/>
          <c:h val="0.63038495188101484"/>
        </c:manualLayout>
      </c:layout>
      <c:lineChart>
        <c:grouping val="standard"/>
        <c:varyColors val="0"/>
        <c:ser>
          <c:idx val="0"/>
          <c:order val="0"/>
          <c:tx>
            <c:v>Băieți (RO)</c:v>
          </c:tx>
          <c:spPr>
            <a:ln w="28575" cap="rnd">
              <a:solidFill>
                <a:schemeClr val="tx2"/>
              </a:solidFill>
              <a:round/>
            </a:ln>
            <a:effectLst/>
          </c:spPr>
          <c:marker>
            <c:symbol val="none"/>
          </c:marker>
          <c:dLbls>
            <c:dLbl>
              <c:idx val="0"/>
              <c:layout>
                <c:manualLayout>
                  <c:x val="-2.1104467112205438E-2"/>
                  <c:y val="0.0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6EC6-449D-8762-A43DB571D016}"/>
                </c:ext>
              </c:extLst>
            </c:dLbl>
            <c:dLbl>
              <c:idx val="3"/>
              <c:layout>
                <c:manualLayout>
                  <c:x val="-3.5174111853675694E-2"/>
                  <c:y val="-7.111111111111115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6EC6-449D-8762-A43DB571D016}"/>
                </c:ext>
              </c:extLst>
            </c:dLbl>
            <c:dLbl>
              <c:idx val="4"/>
              <c:layout>
                <c:manualLayout>
                  <c:x val="-2.579434869269551E-2"/>
                  <c:y val="-4.444444444444448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6EC6-449D-8762-A43DB571D016}"/>
                </c:ext>
              </c:extLst>
            </c:dLbl>
            <c:dLbl>
              <c:idx val="5"/>
              <c:layout>
                <c:manualLayout>
                  <c:x val="-4.455387501465588E-2"/>
                  <c:y val="-7.111111111111115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6EC6-449D-8762-A43DB571D016}"/>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'Boys_Girls _line'!$C$1:$I$1</c:f>
              <c:numCache>
                <c:formatCode>General</c:formatCode>
                <c:ptCount val="7"/>
                <c:pt idx="0">
                  <c:v>1999</c:v>
                </c:pt>
                <c:pt idx="1">
                  <c:v>2003</c:v>
                </c:pt>
                <c:pt idx="2">
                  <c:v>2007</c:v>
                </c:pt>
                <c:pt idx="3">
                  <c:v>2011</c:v>
                </c:pt>
                <c:pt idx="4">
                  <c:v>2015</c:v>
                </c:pt>
                <c:pt idx="5">
                  <c:v>2019</c:v>
                </c:pt>
                <c:pt idx="6">
                  <c:v>2024</c:v>
                </c:pt>
              </c:numCache>
            </c:numRef>
          </c:cat>
          <c:val>
            <c:numRef>
              <c:f>'Boys_Girls _line'!$C$5:$I$5</c:f>
              <c:numCache>
                <c:formatCode>General</c:formatCode>
                <c:ptCount val="7"/>
                <c:pt idx="0">
                  <c:v>19.38</c:v>
                </c:pt>
                <c:pt idx="1">
                  <c:v>22.38</c:v>
                </c:pt>
                <c:pt idx="2">
                  <c:v>18.329999999999998</c:v>
                </c:pt>
                <c:pt idx="3">
                  <c:v>19.2</c:v>
                </c:pt>
                <c:pt idx="4">
                  <c:v>21.28</c:v>
                </c:pt>
                <c:pt idx="5">
                  <c:v>18.47</c:v>
                </c:pt>
                <c:pt idx="6">
                  <c:v>13.94</c:v>
                </c:pt>
              </c:numCache>
            </c:numRef>
          </c:val>
          <c:smooth val="0"/>
          <c:extLst>
            <c:ext xmlns:c16="http://schemas.microsoft.com/office/drawing/2014/chart" uri="{C3380CC4-5D6E-409C-BE32-E72D297353CC}">
              <c16:uniqueId val="{00000004-6EC6-449D-8762-A43DB571D016}"/>
            </c:ext>
          </c:extLst>
        </c:ser>
        <c:ser>
          <c:idx val="2"/>
          <c:order val="1"/>
          <c:tx>
            <c:v>Fete (RO)</c:v>
          </c:tx>
          <c:spPr>
            <a:ln w="28575" cap="rnd">
              <a:solidFill>
                <a:schemeClr val="accent2"/>
              </a:solidFill>
              <a:round/>
            </a:ln>
            <a:effectLst/>
          </c:spPr>
          <c:marker>
            <c:symbol val="none"/>
          </c:marker>
          <c:dLbls>
            <c:dLbl>
              <c:idx val="1"/>
              <c:layout>
                <c:manualLayout>
                  <c:x val="-4.9243756595145974E-2"/>
                  <c:y val="-3.555555555555555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6EC6-449D-8762-A43DB571D016}"/>
                </c:ext>
              </c:extLst>
            </c:dLbl>
            <c:dLbl>
              <c:idx val="2"/>
              <c:layout>
                <c:manualLayout>
                  <c:x val="0"/>
                  <c:y val="2.666666666666658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6EC6-449D-8762-A43DB571D016}"/>
                </c:ext>
              </c:extLst>
            </c:dLbl>
            <c:dLbl>
              <c:idx val="4"/>
              <c:layout>
                <c:manualLayout>
                  <c:x val="-3.2829171063430647E-2"/>
                  <c:y val="5.333333333333333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6EC6-449D-8762-A43DB571D016}"/>
                </c:ext>
              </c:extLst>
            </c:dLbl>
            <c:dLbl>
              <c:idx val="5"/>
              <c:layout>
                <c:manualLayout>
                  <c:x val="-4.6898815804900837E-2"/>
                  <c:y val="7.555555555555555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6EC6-449D-8762-A43DB571D016}"/>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o-R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Girls!$C$5:$I$5</c:f>
              <c:numCache>
                <c:formatCode>General</c:formatCode>
                <c:ptCount val="7"/>
                <c:pt idx="0">
                  <c:v>9.7899999999999991</c:v>
                </c:pt>
                <c:pt idx="1">
                  <c:v>14.66</c:v>
                </c:pt>
                <c:pt idx="2">
                  <c:v>15.76</c:v>
                </c:pt>
                <c:pt idx="3">
                  <c:v>17.809999999999999</c:v>
                </c:pt>
                <c:pt idx="4">
                  <c:v>18.34</c:v>
                </c:pt>
                <c:pt idx="5">
                  <c:v>18.37</c:v>
                </c:pt>
                <c:pt idx="6">
                  <c:v>17.7</c:v>
                </c:pt>
              </c:numCache>
            </c:numRef>
          </c:val>
          <c:smooth val="0"/>
          <c:extLst>
            <c:ext xmlns:c16="http://schemas.microsoft.com/office/drawing/2014/chart" uri="{C3380CC4-5D6E-409C-BE32-E72D297353CC}">
              <c16:uniqueId val="{00000009-6EC6-449D-8762-A43DB571D016}"/>
            </c:ext>
          </c:extLst>
        </c:ser>
        <c:ser>
          <c:idx val="1"/>
          <c:order val="2"/>
          <c:tx>
            <c:v>Băieți (media ESPAD)</c:v>
          </c:tx>
          <c:spPr>
            <a:ln w="28575" cap="rnd">
              <a:solidFill>
                <a:schemeClr val="accent4">
                  <a:lumMod val="40000"/>
                  <a:lumOff val="60000"/>
                </a:schemeClr>
              </a:solidFill>
              <a:round/>
            </a:ln>
            <a:effectLst/>
          </c:spPr>
          <c:marker>
            <c:symbol val="none"/>
          </c:marker>
          <c:dLbls>
            <c:dLbl>
              <c:idx val="0"/>
              <c:layout>
                <c:manualLayout>
                  <c:x val="-2.8139289482940557E-2"/>
                  <c:y val="-3.555555555555555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6EC6-449D-8762-A43DB571D016}"/>
                </c:ext>
              </c:extLst>
            </c:dLbl>
            <c:dLbl>
              <c:idx val="2"/>
              <c:layout>
                <c:manualLayout>
                  <c:x val="-7.0348223707351429E-2"/>
                  <c:y val="4.444444444444444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6EC6-449D-8762-A43DB571D016}"/>
                </c:ext>
              </c:extLst>
            </c:dLbl>
            <c:dLbl>
              <c:idx val="3"/>
              <c:layout>
                <c:manualLayout>
                  <c:x val="1.875952632196037E-2"/>
                  <c:y val="-4.444444444444526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6EC6-449D-8762-A43DB571D016}"/>
                </c:ext>
              </c:extLst>
            </c:dLbl>
            <c:dLbl>
              <c:idx val="5"/>
              <c:layout>
                <c:manualLayout>
                  <c:x val="-2.110446711220533E-2"/>
                  <c:y val="4.888888888888872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6EC6-449D-8762-A43DB571D016}"/>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'Boys_Girls _line'!$C$1:$I$1</c:f>
              <c:numCache>
                <c:formatCode>General</c:formatCode>
                <c:ptCount val="7"/>
                <c:pt idx="0">
                  <c:v>1999</c:v>
                </c:pt>
                <c:pt idx="1">
                  <c:v>2003</c:v>
                </c:pt>
                <c:pt idx="2">
                  <c:v>2007</c:v>
                </c:pt>
                <c:pt idx="3">
                  <c:v>2011</c:v>
                </c:pt>
                <c:pt idx="4">
                  <c:v>2015</c:v>
                </c:pt>
                <c:pt idx="5">
                  <c:v>2019</c:v>
                </c:pt>
                <c:pt idx="6">
                  <c:v>2024</c:v>
                </c:pt>
              </c:numCache>
            </c:numRef>
          </c:cat>
          <c:val>
            <c:numRef>
              <c:f>'Boys_Girls _line'!$C$27:$I$27</c:f>
              <c:numCache>
                <c:formatCode>General</c:formatCode>
                <c:ptCount val="7"/>
                <c:pt idx="0">
                  <c:v>27.37</c:v>
                </c:pt>
                <c:pt idx="1">
                  <c:v>24.34</c:v>
                </c:pt>
                <c:pt idx="2">
                  <c:v>18.690000000000001</c:v>
                </c:pt>
                <c:pt idx="3">
                  <c:v>18.98</c:v>
                </c:pt>
                <c:pt idx="4">
                  <c:v>13.48</c:v>
                </c:pt>
                <c:pt idx="5">
                  <c:v>10.4</c:v>
                </c:pt>
                <c:pt idx="6">
                  <c:v>8.11</c:v>
                </c:pt>
              </c:numCache>
            </c:numRef>
          </c:val>
          <c:smooth val="0"/>
          <c:extLst>
            <c:ext xmlns:c16="http://schemas.microsoft.com/office/drawing/2014/chart" uri="{C3380CC4-5D6E-409C-BE32-E72D297353CC}">
              <c16:uniqueId val="{0000000E-6EC6-449D-8762-A43DB571D016}"/>
            </c:ext>
          </c:extLst>
        </c:ser>
        <c:ser>
          <c:idx val="3"/>
          <c:order val="3"/>
          <c:tx>
            <c:v>Fete (media ESPAD)</c:v>
          </c:tx>
          <c:spPr>
            <a:ln w="28575" cap="rnd">
              <a:solidFill>
                <a:schemeClr val="accent2">
                  <a:lumMod val="40000"/>
                  <a:lumOff val="60000"/>
                </a:schemeClr>
              </a:solidFill>
              <a:round/>
            </a:ln>
            <a:effectLst/>
          </c:spPr>
          <c:marker>
            <c:symbol val="none"/>
          </c:marker>
          <c:dLbls>
            <c:dLbl>
              <c:idx val="0"/>
              <c:layout>
                <c:manualLayout>
                  <c:x val="-3.2829171063430647E-2"/>
                  <c:y val="-4.888888888888889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6EC6-449D-8762-A43DB571D016}"/>
                </c:ext>
              </c:extLst>
            </c:dLbl>
            <c:dLbl>
              <c:idx val="1"/>
              <c:layout>
                <c:manualLayout>
                  <c:x val="-2.3449407902450505E-2"/>
                  <c:y val="5.333333333333333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6EC6-449D-8762-A43DB571D016}"/>
                </c:ext>
              </c:extLst>
            </c:dLbl>
            <c:dLbl>
              <c:idx val="2"/>
              <c:layout>
                <c:manualLayout>
                  <c:x val="-2.1104467112205417E-2"/>
                  <c:y val="-6.666666666666666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6EC6-449D-8762-A43DB571D016}"/>
                </c:ext>
              </c:extLst>
            </c:dLbl>
            <c:dLbl>
              <c:idx val="3"/>
              <c:layout>
                <c:manualLayout>
                  <c:x val="-2.3449407902450464E-2"/>
                  <c:y val="6.22222222222222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6EC6-449D-8762-A43DB571D016}"/>
                </c:ext>
              </c:extLst>
            </c:dLbl>
            <c:dLbl>
              <c:idx val="4"/>
              <c:layout>
                <c:manualLayout>
                  <c:x val="-9.3797631609801851E-3"/>
                  <c:y val="6.666666666666658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3-6EC6-449D-8762-A43DB571D016}"/>
                </c:ext>
              </c:extLst>
            </c:dLbl>
            <c:dLbl>
              <c:idx val="5"/>
              <c:layout>
                <c:manualLayout>
                  <c:x val="-2.3449407902450464E-2"/>
                  <c:y val="-4.888888888888896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4-6EC6-449D-8762-A43DB571D016}"/>
                </c:ext>
              </c:extLst>
            </c:dLbl>
            <c:dLbl>
              <c:idx val="6"/>
              <c:layout>
                <c:manualLayout>
                  <c:x val="0"/>
                  <c:y val="4.444444444444444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5-6EC6-449D-8762-A43DB571D016}"/>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o-R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Girls!$C$27:$I$27</c:f>
              <c:numCache>
                <c:formatCode>General</c:formatCode>
                <c:ptCount val="7"/>
                <c:pt idx="0">
                  <c:v>21.68</c:v>
                </c:pt>
                <c:pt idx="1">
                  <c:v>21.64</c:v>
                </c:pt>
                <c:pt idx="2">
                  <c:v>18.18</c:v>
                </c:pt>
                <c:pt idx="3">
                  <c:v>16.989999999999998</c:v>
                </c:pt>
                <c:pt idx="4">
                  <c:v>12.32</c:v>
                </c:pt>
                <c:pt idx="5">
                  <c:v>10.050000000000001</c:v>
                </c:pt>
                <c:pt idx="6">
                  <c:v>7.55</c:v>
                </c:pt>
              </c:numCache>
            </c:numRef>
          </c:val>
          <c:smooth val="0"/>
          <c:extLst>
            <c:ext xmlns:c16="http://schemas.microsoft.com/office/drawing/2014/chart" uri="{C3380CC4-5D6E-409C-BE32-E72D297353CC}">
              <c16:uniqueId val="{00000016-6EC6-449D-8762-A43DB571D016}"/>
            </c:ext>
          </c:extLst>
        </c:ser>
        <c:dLbls>
          <c:showLegendKey val="0"/>
          <c:showVal val="0"/>
          <c:showCatName val="0"/>
          <c:showSerName val="0"/>
          <c:showPercent val="0"/>
          <c:showBubbleSize val="0"/>
        </c:dLbls>
        <c:smooth val="0"/>
        <c:axId val="481932592"/>
        <c:axId val="481917232"/>
      </c:lineChart>
      <c:catAx>
        <c:axId val="4819325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81917232"/>
        <c:crosses val="autoZero"/>
        <c:auto val="1"/>
        <c:lblAlgn val="ctr"/>
        <c:lblOffset val="100"/>
        <c:noMultiLvlLbl val="0"/>
      </c:catAx>
      <c:valAx>
        <c:axId val="481917232"/>
        <c:scaling>
          <c:orientation val="minMax"/>
          <c:min val="5"/>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a:t>
                </a:r>
              </a:p>
            </c:rich>
          </c:tx>
          <c:layout>
            <c:manualLayout>
              <c:xMode val="edge"/>
              <c:yMode val="edge"/>
              <c:x val="2.8139289482940557E-2"/>
              <c:y val="5.52591426071741E-2"/>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8193259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4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Pt>
            <c:idx val="29"/>
            <c:invertIfNegative val="0"/>
            <c:bubble3D val="0"/>
            <c:spPr>
              <a:solidFill>
                <a:srgbClr val="C00000"/>
              </a:soli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1-4B0E-4138-9774-928EE11D9DF2}"/>
              </c:ext>
            </c:extLst>
          </c:dPt>
          <c:dPt>
            <c:idx val="37"/>
            <c:invertIfNegative val="0"/>
            <c:bubble3D val="0"/>
            <c:spPr>
              <a:solidFill>
                <a:srgbClr val="FF0000"/>
              </a:soli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3-4B0E-4138-9774-928EE11D9DF2}"/>
              </c:ext>
            </c:extLst>
          </c:dPt>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ro-R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Countries_2024_All!$A$2:$A$39</c:f>
              <c:strCache>
                <c:ptCount val="38"/>
                <c:pt idx="0">
                  <c:v>Austria</c:v>
                </c:pt>
                <c:pt idx="1">
                  <c:v>Bulgaria</c:v>
                </c:pt>
                <c:pt idx="2">
                  <c:v>Cehia</c:v>
                </c:pt>
                <c:pt idx="3">
                  <c:v>Cipru</c:v>
                </c:pt>
                <c:pt idx="4">
                  <c:v>Croaţia</c:v>
                </c:pt>
                <c:pt idx="5">
                  <c:v>Danemarca</c:v>
                </c:pt>
                <c:pt idx="6">
                  <c:v>Estonia</c:v>
                </c:pt>
                <c:pt idx="7">
                  <c:v>Feroe</c:v>
                </c:pt>
                <c:pt idx="8">
                  <c:v>Finlanda</c:v>
                </c:pt>
                <c:pt idx="9">
                  <c:v>Franţa</c:v>
                </c:pt>
                <c:pt idx="10">
                  <c:v>Georgia</c:v>
                </c:pt>
                <c:pt idx="11">
                  <c:v>Germania</c:v>
                </c:pt>
                <c:pt idx="12">
                  <c:v>Grecia</c:v>
                </c:pt>
                <c:pt idx="13">
                  <c:v>Irlanda</c:v>
                </c:pt>
                <c:pt idx="14">
                  <c:v>Islanda</c:v>
                </c:pt>
                <c:pt idx="15">
                  <c:v>Italia</c:v>
                </c:pt>
                <c:pt idx="16">
                  <c:v>Kosovo</c:v>
                </c:pt>
                <c:pt idx="17">
                  <c:v>Letonia</c:v>
                </c:pt>
                <c:pt idx="18">
                  <c:v>Liechtenstein</c:v>
                </c:pt>
                <c:pt idx="19">
                  <c:v>Lituania</c:v>
                </c:pt>
                <c:pt idx="20">
                  <c:v>Macedonia de Nord</c:v>
                </c:pt>
                <c:pt idx="21">
                  <c:v>Malta</c:v>
                </c:pt>
                <c:pt idx="22">
                  <c:v>Moldova</c:v>
                </c:pt>
                <c:pt idx="23">
                  <c:v>Monaco</c:v>
                </c:pt>
                <c:pt idx="24">
                  <c:v>Muntenegru</c:v>
                </c:pt>
                <c:pt idx="25">
                  <c:v>Norvegia</c:v>
                </c:pt>
                <c:pt idx="26">
                  <c:v>Țările de Jos</c:v>
                </c:pt>
                <c:pt idx="27">
                  <c:v>Polonia</c:v>
                </c:pt>
                <c:pt idx="28">
                  <c:v>Portugalia</c:v>
                </c:pt>
                <c:pt idx="29">
                  <c:v>România</c:v>
                </c:pt>
                <c:pt idx="30">
                  <c:v>Serbia</c:v>
                </c:pt>
                <c:pt idx="31">
                  <c:v>Slovacia</c:v>
                </c:pt>
                <c:pt idx="32">
                  <c:v>Slovenia</c:v>
                </c:pt>
                <c:pt idx="33">
                  <c:v>Spania</c:v>
                </c:pt>
                <c:pt idx="34">
                  <c:v>Suedia</c:v>
                </c:pt>
                <c:pt idx="35">
                  <c:v>Ucraina</c:v>
                </c:pt>
                <c:pt idx="36">
                  <c:v>Ungaria</c:v>
                </c:pt>
                <c:pt idx="37">
                  <c:v>Media ESPAD</c:v>
                </c:pt>
              </c:strCache>
            </c:strRef>
          </c:cat>
          <c:val>
            <c:numRef>
              <c:f>Countries_2024_All!$E$2:$E$39</c:f>
              <c:numCache>
                <c:formatCode>General</c:formatCode>
                <c:ptCount val="38"/>
                <c:pt idx="0">
                  <c:v>40.880000000000003</c:v>
                </c:pt>
                <c:pt idx="1">
                  <c:v>39.15</c:v>
                </c:pt>
                <c:pt idx="2">
                  <c:v>34.78</c:v>
                </c:pt>
                <c:pt idx="3">
                  <c:v>23.65</c:v>
                </c:pt>
                <c:pt idx="4">
                  <c:v>43.48</c:v>
                </c:pt>
                <c:pt idx="5">
                  <c:v>30.98</c:v>
                </c:pt>
                <c:pt idx="6">
                  <c:v>33.83</c:v>
                </c:pt>
                <c:pt idx="7">
                  <c:v>37.61</c:v>
                </c:pt>
                <c:pt idx="8">
                  <c:v>30.86</c:v>
                </c:pt>
                <c:pt idx="9">
                  <c:v>19.899999999999999</c:v>
                </c:pt>
                <c:pt idx="10">
                  <c:v>29.24</c:v>
                </c:pt>
                <c:pt idx="11">
                  <c:v>36.520000000000003</c:v>
                </c:pt>
                <c:pt idx="12">
                  <c:v>35.22</c:v>
                </c:pt>
                <c:pt idx="13">
                  <c:v>23.74</c:v>
                </c:pt>
                <c:pt idx="14">
                  <c:v>13.16</c:v>
                </c:pt>
                <c:pt idx="15">
                  <c:v>39.44</c:v>
                </c:pt>
                <c:pt idx="16">
                  <c:v>41.43</c:v>
                </c:pt>
                <c:pt idx="17">
                  <c:v>30.38</c:v>
                </c:pt>
                <c:pt idx="18">
                  <c:v>40.72</c:v>
                </c:pt>
                <c:pt idx="19">
                  <c:v>33.26</c:v>
                </c:pt>
                <c:pt idx="20">
                  <c:v>32.93</c:v>
                </c:pt>
                <c:pt idx="21">
                  <c:v>16.079999999999998</c:v>
                </c:pt>
                <c:pt idx="22">
                  <c:v>23.54</c:v>
                </c:pt>
                <c:pt idx="23">
                  <c:v>26</c:v>
                </c:pt>
                <c:pt idx="24">
                  <c:v>24.41</c:v>
                </c:pt>
                <c:pt idx="25">
                  <c:v>25.46</c:v>
                </c:pt>
                <c:pt idx="26">
                  <c:v>25.89</c:v>
                </c:pt>
                <c:pt idx="27">
                  <c:v>36.54</c:v>
                </c:pt>
                <c:pt idx="28">
                  <c:v>21.04</c:v>
                </c:pt>
                <c:pt idx="29">
                  <c:v>41.03</c:v>
                </c:pt>
                <c:pt idx="30">
                  <c:v>32.479999999999997</c:v>
                </c:pt>
                <c:pt idx="31">
                  <c:v>46.1</c:v>
                </c:pt>
                <c:pt idx="32">
                  <c:v>33.21</c:v>
                </c:pt>
                <c:pt idx="33">
                  <c:v>27.42</c:v>
                </c:pt>
                <c:pt idx="34">
                  <c:v>22.81</c:v>
                </c:pt>
                <c:pt idx="35">
                  <c:v>27.36</c:v>
                </c:pt>
                <c:pt idx="36">
                  <c:v>50.51</c:v>
                </c:pt>
                <c:pt idx="37">
                  <c:v>31.52</c:v>
                </c:pt>
              </c:numCache>
            </c:numRef>
          </c:val>
          <c:extLst>
            <c:ext xmlns:c16="http://schemas.microsoft.com/office/drawing/2014/chart" uri="{C3380CC4-5D6E-409C-BE32-E72D297353CC}">
              <c16:uniqueId val="{00000004-4B0E-4138-9774-928EE11D9DF2}"/>
            </c:ext>
          </c:extLst>
        </c:ser>
        <c:dLbls>
          <c:showLegendKey val="0"/>
          <c:showVal val="0"/>
          <c:showCatName val="0"/>
          <c:showSerName val="0"/>
          <c:showPercent val="0"/>
          <c:showBubbleSize val="0"/>
        </c:dLbls>
        <c:gapWidth val="100"/>
        <c:overlap val="-24"/>
        <c:axId val="1083165248"/>
        <c:axId val="1083149888"/>
      </c:barChart>
      <c:catAx>
        <c:axId val="1083165248"/>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83149888"/>
        <c:crosses val="autoZero"/>
        <c:auto val="1"/>
        <c:lblAlgn val="ctr"/>
        <c:lblOffset val="100"/>
        <c:noMultiLvlLbl val="0"/>
      </c:catAx>
      <c:valAx>
        <c:axId val="108314988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83165248"/>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4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v>Băieți (RO)</c:v>
          </c:tx>
          <c:spPr>
            <a:ln w="28575" cap="rnd">
              <a:solidFill>
                <a:schemeClr val="tx2"/>
              </a:solidFill>
              <a:round/>
            </a:ln>
            <a:effectLst/>
          </c:spPr>
          <c:marker>
            <c:symbol val="none"/>
          </c:marker>
          <c:dLbls>
            <c:dLbl>
              <c:idx val="0"/>
              <c:layout>
                <c:manualLayout>
                  <c:x val="-8.2244799225931295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284D-4E7E-84EA-3A39824CB31C}"/>
                </c:ext>
              </c:extLst>
            </c:dLbl>
            <c:dLbl>
              <c:idx val="1"/>
              <c:layout>
                <c:manualLayout>
                  <c:x val="-3.1446540880503186E-2"/>
                  <c:y val="-0.0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284D-4E7E-84EA-3A39824CB31C}"/>
                </c:ext>
              </c:extLst>
            </c:dLbl>
            <c:dLbl>
              <c:idx val="2"/>
              <c:layout>
                <c:manualLayout>
                  <c:x val="-5.8055152394775038E-2"/>
                  <c:y val="3.999999999999991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284D-4E7E-84EA-3A39824CB31C}"/>
                </c:ext>
              </c:extLst>
            </c:dLbl>
            <c:dLbl>
              <c:idx val="3"/>
              <c:layout>
                <c:manualLayout>
                  <c:x val="-3.6284470246734486E-2"/>
                  <c:y val="6.22222222222222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284D-4E7E-84EA-3A39824CB31C}"/>
                </c:ext>
              </c:extLst>
            </c:dLbl>
            <c:dLbl>
              <c:idx val="4"/>
              <c:layout>
                <c:manualLayout>
                  <c:x val="-2.9027576197387606E-2"/>
                  <c:y val="-4.888888888888889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284D-4E7E-84EA-3A39824CB31C}"/>
                </c:ext>
              </c:extLst>
            </c:dLbl>
            <c:dLbl>
              <c:idx val="5"/>
              <c:layout>
                <c:manualLayout>
                  <c:x val="1.4513788098693759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284D-4E7E-84EA-3A39824CB31C}"/>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'Boys_Girls _line'!$C$1:$I$1</c:f>
              <c:numCache>
                <c:formatCode>General</c:formatCode>
                <c:ptCount val="7"/>
                <c:pt idx="0">
                  <c:v>1999</c:v>
                </c:pt>
                <c:pt idx="1">
                  <c:v>2003</c:v>
                </c:pt>
                <c:pt idx="2">
                  <c:v>2007</c:v>
                </c:pt>
                <c:pt idx="3">
                  <c:v>2011</c:v>
                </c:pt>
                <c:pt idx="4">
                  <c:v>2015</c:v>
                </c:pt>
                <c:pt idx="5">
                  <c:v>2019</c:v>
                </c:pt>
                <c:pt idx="6">
                  <c:v>2024</c:v>
                </c:pt>
              </c:numCache>
            </c:numRef>
          </c:cat>
          <c:val>
            <c:numRef>
              <c:f>Boys!$C$13:$I$13</c:f>
              <c:numCache>
                <c:formatCode>General</c:formatCode>
                <c:ptCount val="7"/>
                <c:pt idx="0">
                  <c:v>66.52</c:v>
                </c:pt>
                <c:pt idx="1">
                  <c:v>70.739999999999995</c:v>
                </c:pt>
                <c:pt idx="2">
                  <c:v>57.78</c:v>
                </c:pt>
                <c:pt idx="3">
                  <c:v>51.76</c:v>
                </c:pt>
                <c:pt idx="4">
                  <c:v>52.84</c:v>
                </c:pt>
                <c:pt idx="5">
                  <c:v>49.36</c:v>
                </c:pt>
                <c:pt idx="6">
                  <c:v>36.04</c:v>
                </c:pt>
              </c:numCache>
            </c:numRef>
          </c:val>
          <c:smooth val="0"/>
          <c:extLst>
            <c:ext xmlns:c16="http://schemas.microsoft.com/office/drawing/2014/chart" uri="{C3380CC4-5D6E-409C-BE32-E72D297353CC}">
              <c16:uniqueId val="{00000006-284D-4E7E-84EA-3A39824CB31C}"/>
            </c:ext>
          </c:extLst>
        </c:ser>
        <c:ser>
          <c:idx val="2"/>
          <c:order val="1"/>
          <c:tx>
            <c:v>Fete (RO)</c:v>
          </c:tx>
          <c:spPr>
            <a:ln w="28575" cap="rnd">
              <a:solidFill>
                <a:schemeClr val="accent2"/>
              </a:solidFill>
              <a:round/>
            </a:ln>
            <a:effectLst/>
          </c:spPr>
          <c:marker>
            <c:symbol val="none"/>
          </c:marker>
          <c:dLbls>
            <c:dLbl>
              <c:idx val="3"/>
              <c:layout>
                <c:manualLayout>
                  <c:x val="1.2094823415578044E-2"/>
                  <c:y val="2.222222222222222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284D-4E7E-84EA-3A39824CB31C}"/>
                </c:ext>
              </c:extLst>
            </c:dLbl>
            <c:dLbl>
              <c:idx val="5"/>
              <c:layout>
                <c:manualLayout>
                  <c:x val="-2.1770682148040638E-2"/>
                  <c:y val="-4.888888888888896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284D-4E7E-84EA-3A39824CB31C}"/>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o-R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Girls!$C$13:$I$13</c:f>
              <c:numCache>
                <c:formatCode>General</c:formatCode>
                <c:ptCount val="7"/>
                <c:pt idx="0">
                  <c:v>51.31</c:v>
                </c:pt>
                <c:pt idx="1">
                  <c:v>58.28</c:v>
                </c:pt>
                <c:pt idx="2">
                  <c:v>50.32</c:v>
                </c:pt>
                <c:pt idx="3">
                  <c:v>52.14</c:v>
                </c:pt>
                <c:pt idx="4">
                  <c:v>50.5</c:v>
                </c:pt>
                <c:pt idx="5">
                  <c:v>49.63</c:v>
                </c:pt>
                <c:pt idx="6">
                  <c:v>45.64</c:v>
                </c:pt>
              </c:numCache>
            </c:numRef>
          </c:val>
          <c:smooth val="0"/>
          <c:extLst>
            <c:ext xmlns:c16="http://schemas.microsoft.com/office/drawing/2014/chart" uri="{C3380CC4-5D6E-409C-BE32-E72D297353CC}">
              <c16:uniqueId val="{00000009-284D-4E7E-84EA-3A39824CB31C}"/>
            </c:ext>
          </c:extLst>
        </c:ser>
        <c:ser>
          <c:idx val="1"/>
          <c:order val="2"/>
          <c:tx>
            <c:v>Băieți (media ESPAD)</c:v>
          </c:tx>
          <c:spPr>
            <a:ln w="28575" cap="rnd">
              <a:solidFill>
                <a:schemeClr val="accent4">
                  <a:lumMod val="40000"/>
                  <a:lumOff val="60000"/>
                </a:schemeClr>
              </a:solidFill>
              <a:round/>
            </a:ln>
            <a:effectLst/>
          </c:spPr>
          <c:marker>
            <c:symbol val="none"/>
          </c:marker>
          <c:dLbls>
            <c:dLbl>
              <c:idx val="0"/>
              <c:layout>
                <c:manualLayout>
                  <c:x val="-4.354136429608129E-2"/>
                  <c:y val="-3.111111111111108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284D-4E7E-84EA-3A39824CB31C}"/>
                </c:ext>
              </c:extLst>
            </c:dLbl>
            <c:dLbl>
              <c:idx val="2"/>
              <c:layout>
                <c:manualLayout>
                  <c:x val="-2.4189646831156309E-2"/>
                  <c:y val="-7.111111111111111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284D-4E7E-84EA-3A39824CB31C}"/>
                </c:ext>
              </c:extLst>
            </c:dLbl>
            <c:dLbl>
              <c:idx val="3"/>
              <c:layout>
                <c:manualLayout>
                  <c:x val="-2.1770682148040638E-2"/>
                  <c:y val="-4.444444444444448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284D-4E7E-84EA-3A39824CB31C}"/>
                </c:ext>
              </c:extLst>
            </c:dLbl>
            <c:dLbl>
              <c:idx val="5"/>
              <c:layout>
                <c:manualLayout>
                  <c:x val="-2.4189646831156354E-2"/>
                  <c:y val="-1.333333333333325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284D-4E7E-84EA-3A39824CB31C}"/>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'Boys_Girls _line'!$C$1:$I$1</c:f>
              <c:numCache>
                <c:formatCode>General</c:formatCode>
                <c:ptCount val="7"/>
                <c:pt idx="0">
                  <c:v>1999</c:v>
                </c:pt>
                <c:pt idx="1">
                  <c:v>2003</c:v>
                </c:pt>
                <c:pt idx="2">
                  <c:v>2007</c:v>
                </c:pt>
                <c:pt idx="3">
                  <c:v>2011</c:v>
                </c:pt>
                <c:pt idx="4">
                  <c:v>2015</c:v>
                </c:pt>
                <c:pt idx="5">
                  <c:v>2019</c:v>
                </c:pt>
                <c:pt idx="6">
                  <c:v>2024</c:v>
                </c:pt>
              </c:numCache>
            </c:numRef>
          </c:cat>
          <c:val>
            <c:numRef>
              <c:f>Boys!$C$35:$I$35</c:f>
              <c:numCache>
                <c:formatCode>General</c:formatCode>
                <c:ptCount val="7"/>
                <c:pt idx="0">
                  <c:v>69.239999999999995</c:v>
                </c:pt>
                <c:pt idx="1">
                  <c:v>68.33</c:v>
                </c:pt>
                <c:pt idx="2">
                  <c:v>58.85</c:v>
                </c:pt>
                <c:pt idx="3">
                  <c:v>57.12</c:v>
                </c:pt>
                <c:pt idx="4">
                  <c:v>48.09</c:v>
                </c:pt>
                <c:pt idx="5">
                  <c:v>42.56</c:v>
                </c:pt>
                <c:pt idx="6">
                  <c:v>30.25</c:v>
                </c:pt>
              </c:numCache>
            </c:numRef>
          </c:val>
          <c:smooth val="0"/>
          <c:extLst>
            <c:ext xmlns:c16="http://schemas.microsoft.com/office/drawing/2014/chart" uri="{C3380CC4-5D6E-409C-BE32-E72D297353CC}">
              <c16:uniqueId val="{0000000E-284D-4E7E-84EA-3A39824CB31C}"/>
            </c:ext>
          </c:extLst>
        </c:ser>
        <c:ser>
          <c:idx val="3"/>
          <c:order val="3"/>
          <c:tx>
            <c:v>Fete (media ESPAD)</c:v>
          </c:tx>
          <c:spPr>
            <a:ln w="28575" cap="rnd">
              <a:solidFill>
                <a:schemeClr val="accent2">
                  <a:lumMod val="40000"/>
                  <a:lumOff val="60000"/>
                </a:schemeClr>
              </a:solidFill>
              <a:round/>
            </a:ln>
            <a:effectLst/>
          </c:spPr>
          <c:marker>
            <c:symbol val="none"/>
          </c:marker>
          <c:dLbls>
            <c:dLbl>
              <c:idx val="0"/>
              <c:layout>
                <c:manualLayout>
                  <c:x val="-2.6608611514271893E-2"/>
                  <c:y val="5.333333333333329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284D-4E7E-84EA-3A39824CB31C}"/>
                </c:ext>
              </c:extLst>
            </c:dLbl>
            <c:dLbl>
              <c:idx val="1"/>
              <c:layout>
                <c:manualLayout>
                  <c:x val="-4.5960328979196906E-2"/>
                  <c:y val="0.0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284D-4E7E-84EA-3A39824CB31C}"/>
                </c:ext>
              </c:extLst>
            </c:dLbl>
            <c:dLbl>
              <c:idx val="2"/>
              <c:layout>
                <c:manualLayout>
                  <c:x val="1.2094823415578132E-2"/>
                  <c:y val="-3.555555555555555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284D-4E7E-84EA-3A39824CB31C}"/>
                </c:ext>
              </c:extLst>
            </c:dLbl>
            <c:dLbl>
              <c:idx val="4"/>
              <c:layout>
                <c:manualLayout>
                  <c:x val="-2.4189646831156354E-2"/>
                  <c:y val="5.333333333333333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284D-4E7E-84EA-3A39824CB31C}"/>
                </c:ext>
              </c:extLst>
            </c:dLbl>
            <c:dLbl>
              <c:idx val="5"/>
              <c:layout>
                <c:manualLayout>
                  <c:x val="-3.6284470246734306E-2"/>
                  <c:y val="5.777777777777769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3-284D-4E7E-84EA-3A39824CB31C}"/>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o-R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Girls!$C$35:$I$35</c:f>
              <c:numCache>
                <c:formatCode>General</c:formatCode>
                <c:ptCount val="7"/>
                <c:pt idx="0">
                  <c:v>66.03</c:v>
                </c:pt>
                <c:pt idx="1">
                  <c:v>65.430000000000007</c:v>
                </c:pt>
                <c:pt idx="2">
                  <c:v>58.12</c:v>
                </c:pt>
                <c:pt idx="3">
                  <c:v>54.87</c:v>
                </c:pt>
                <c:pt idx="4">
                  <c:v>46.73</c:v>
                </c:pt>
                <c:pt idx="5">
                  <c:v>40.97</c:v>
                </c:pt>
                <c:pt idx="6">
                  <c:v>32.76</c:v>
                </c:pt>
              </c:numCache>
            </c:numRef>
          </c:val>
          <c:smooth val="0"/>
          <c:extLst>
            <c:ext xmlns:c16="http://schemas.microsoft.com/office/drawing/2014/chart" uri="{C3380CC4-5D6E-409C-BE32-E72D297353CC}">
              <c16:uniqueId val="{00000014-284D-4E7E-84EA-3A39824CB31C}"/>
            </c:ext>
          </c:extLst>
        </c:ser>
        <c:dLbls>
          <c:showLegendKey val="0"/>
          <c:showVal val="0"/>
          <c:showCatName val="0"/>
          <c:showSerName val="0"/>
          <c:showPercent val="0"/>
          <c:showBubbleSize val="0"/>
        </c:dLbls>
        <c:smooth val="0"/>
        <c:axId val="481932592"/>
        <c:axId val="481917232"/>
      </c:lineChart>
      <c:catAx>
        <c:axId val="4819325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81917232"/>
        <c:crosses val="autoZero"/>
        <c:auto val="1"/>
        <c:lblAlgn val="ctr"/>
        <c:lblOffset val="100"/>
        <c:noMultiLvlLbl val="0"/>
      </c:catAx>
      <c:valAx>
        <c:axId val="481917232"/>
        <c:scaling>
          <c:orientation val="minMax"/>
          <c:min val="3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8193259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4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Pt>
            <c:idx val="29"/>
            <c:invertIfNegative val="0"/>
            <c:bubble3D val="0"/>
            <c:spPr>
              <a:solidFill>
                <a:srgbClr val="C00000"/>
              </a:soli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1-324A-421F-B162-5C49ED56993E}"/>
              </c:ext>
            </c:extLst>
          </c:dPt>
          <c:dPt>
            <c:idx val="37"/>
            <c:invertIfNegative val="0"/>
            <c:bubble3D val="0"/>
            <c:spPr>
              <a:solidFill>
                <a:srgbClr val="FF0000"/>
              </a:soli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3-324A-421F-B162-5C49ED56993E}"/>
              </c:ext>
            </c:extLst>
          </c:dPt>
          <c:dLbls>
            <c:spPr>
              <a:noFill/>
              <a:ln>
                <a:noFill/>
              </a:ln>
              <a:effectLst/>
            </c:spPr>
            <c:txPr>
              <a:bodyPr rot="0" spcFirstLastPara="1" vertOverflow="ellipsis" vert="horz" wrap="square" lIns="38100" tIns="19050" rIns="38100" bIns="19050" anchor="ctr" anchorCtr="1">
                <a:spAutoFit/>
              </a:bodyPr>
              <a:lstStyle/>
              <a:p>
                <a:pPr>
                  <a:defRPr sz="600" b="0" i="0" u="none" strike="noStrike" kern="1200" baseline="0">
                    <a:solidFill>
                      <a:schemeClr val="tx1">
                        <a:lumMod val="75000"/>
                        <a:lumOff val="25000"/>
                      </a:schemeClr>
                    </a:solidFill>
                    <a:latin typeface="+mn-lt"/>
                    <a:ea typeface="+mn-ea"/>
                    <a:cs typeface="+mn-cs"/>
                  </a:defRPr>
                </a:pPr>
                <a:endParaRPr lang="ro-R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Countries_2024_All!$A$2:$A$39</c:f>
              <c:strCache>
                <c:ptCount val="38"/>
                <c:pt idx="0">
                  <c:v>Austria</c:v>
                </c:pt>
                <c:pt idx="1">
                  <c:v>Bulgaria</c:v>
                </c:pt>
                <c:pt idx="2">
                  <c:v>Cehia</c:v>
                </c:pt>
                <c:pt idx="3">
                  <c:v>Cipru</c:v>
                </c:pt>
                <c:pt idx="4">
                  <c:v>Croaţia</c:v>
                </c:pt>
                <c:pt idx="5">
                  <c:v>Danemarca</c:v>
                </c:pt>
                <c:pt idx="6">
                  <c:v>Estonia</c:v>
                </c:pt>
                <c:pt idx="7">
                  <c:v>Feroe</c:v>
                </c:pt>
                <c:pt idx="8">
                  <c:v>Finlanda</c:v>
                </c:pt>
                <c:pt idx="9">
                  <c:v>Franţa</c:v>
                </c:pt>
                <c:pt idx="10">
                  <c:v>Georgia</c:v>
                </c:pt>
                <c:pt idx="11">
                  <c:v>Germania</c:v>
                </c:pt>
                <c:pt idx="12">
                  <c:v>Grecia</c:v>
                </c:pt>
                <c:pt idx="13">
                  <c:v>Irlanda</c:v>
                </c:pt>
                <c:pt idx="14">
                  <c:v>Islanda</c:v>
                </c:pt>
                <c:pt idx="15">
                  <c:v>Italia</c:v>
                </c:pt>
                <c:pt idx="16">
                  <c:v>Kosovo</c:v>
                </c:pt>
                <c:pt idx="17">
                  <c:v>Letonia</c:v>
                </c:pt>
                <c:pt idx="18">
                  <c:v>Liechtenstein</c:v>
                </c:pt>
                <c:pt idx="19">
                  <c:v>Lituania</c:v>
                </c:pt>
                <c:pt idx="20">
                  <c:v>Macedonia de Nord</c:v>
                </c:pt>
                <c:pt idx="21">
                  <c:v>Malta</c:v>
                </c:pt>
                <c:pt idx="22">
                  <c:v>Moldova</c:v>
                </c:pt>
                <c:pt idx="23">
                  <c:v>Monaco</c:v>
                </c:pt>
                <c:pt idx="24">
                  <c:v>Muntenegru</c:v>
                </c:pt>
                <c:pt idx="25">
                  <c:v>Norvegia</c:v>
                </c:pt>
                <c:pt idx="26">
                  <c:v>Țările de Jos</c:v>
                </c:pt>
                <c:pt idx="27">
                  <c:v>Polonia</c:v>
                </c:pt>
                <c:pt idx="28">
                  <c:v>Portugalia</c:v>
                </c:pt>
                <c:pt idx="29">
                  <c:v>România</c:v>
                </c:pt>
                <c:pt idx="30">
                  <c:v>Serbia</c:v>
                </c:pt>
                <c:pt idx="31">
                  <c:v>Slovacia</c:v>
                </c:pt>
                <c:pt idx="32">
                  <c:v>Slovenia</c:v>
                </c:pt>
                <c:pt idx="33">
                  <c:v>Spania</c:v>
                </c:pt>
                <c:pt idx="34">
                  <c:v>Suedia</c:v>
                </c:pt>
                <c:pt idx="35">
                  <c:v>Ucraina</c:v>
                </c:pt>
                <c:pt idx="36">
                  <c:v>Ungaria</c:v>
                </c:pt>
                <c:pt idx="37">
                  <c:v>Media ESPAD</c:v>
                </c:pt>
              </c:strCache>
            </c:strRef>
          </c:cat>
          <c:val>
            <c:numRef>
              <c:f>Countries_2024_All!$B$2:$B$39</c:f>
              <c:numCache>
                <c:formatCode>General</c:formatCode>
                <c:ptCount val="38"/>
                <c:pt idx="0">
                  <c:v>22.21</c:v>
                </c:pt>
                <c:pt idx="1">
                  <c:v>29.27</c:v>
                </c:pt>
                <c:pt idx="2">
                  <c:v>20.71</c:v>
                </c:pt>
                <c:pt idx="3">
                  <c:v>15.54</c:v>
                </c:pt>
                <c:pt idx="4">
                  <c:v>32.130000000000003</c:v>
                </c:pt>
                <c:pt idx="5">
                  <c:v>13.48</c:v>
                </c:pt>
                <c:pt idx="6">
                  <c:v>12.69</c:v>
                </c:pt>
                <c:pt idx="7">
                  <c:v>13.43</c:v>
                </c:pt>
                <c:pt idx="8">
                  <c:v>12.23</c:v>
                </c:pt>
                <c:pt idx="9">
                  <c:v>9.64</c:v>
                </c:pt>
                <c:pt idx="10">
                  <c:v>13.69</c:v>
                </c:pt>
                <c:pt idx="11">
                  <c:v>19.489999999999998</c:v>
                </c:pt>
                <c:pt idx="12">
                  <c:v>24.49</c:v>
                </c:pt>
                <c:pt idx="13">
                  <c:v>8.99</c:v>
                </c:pt>
                <c:pt idx="14">
                  <c:v>4.17</c:v>
                </c:pt>
                <c:pt idx="15">
                  <c:v>23.57</c:v>
                </c:pt>
                <c:pt idx="16">
                  <c:v>27.6</c:v>
                </c:pt>
                <c:pt idx="17">
                  <c:v>13.56</c:v>
                </c:pt>
                <c:pt idx="18">
                  <c:v>22.75</c:v>
                </c:pt>
                <c:pt idx="19">
                  <c:v>14.25</c:v>
                </c:pt>
                <c:pt idx="20">
                  <c:v>23.54</c:v>
                </c:pt>
                <c:pt idx="21">
                  <c:v>9.2799999999999994</c:v>
                </c:pt>
                <c:pt idx="22">
                  <c:v>9.6199999999999992</c:v>
                </c:pt>
                <c:pt idx="23">
                  <c:v>10.07</c:v>
                </c:pt>
                <c:pt idx="24">
                  <c:v>13.61</c:v>
                </c:pt>
                <c:pt idx="25">
                  <c:v>12.98</c:v>
                </c:pt>
                <c:pt idx="26">
                  <c:v>15.12</c:v>
                </c:pt>
                <c:pt idx="27">
                  <c:v>19.670000000000002</c:v>
                </c:pt>
                <c:pt idx="28">
                  <c:v>10.050000000000001</c:v>
                </c:pt>
                <c:pt idx="29">
                  <c:v>25.84</c:v>
                </c:pt>
                <c:pt idx="30">
                  <c:v>24.53</c:v>
                </c:pt>
                <c:pt idx="31">
                  <c:v>29.16</c:v>
                </c:pt>
                <c:pt idx="32">
                  <c:v>24.27</c:v>
                </c:pt>
                <c:pt idx="33">
                  <c:v>12.53</c:v>
                </c:pt>
                <c:pt idx="34">
                  <c:v>8.2100000000000009</c:v>
                </c:pt>
                <c:pt idx="35">
                  <c:v>14.09</c:v>
                </c:pt>
                <c:pt idx="36">
                  <c:v>32.200000000000003</c:v>
                </c:pt>
                <c:pt idx="37">
                  <c:v>17.579999999999998</c:v>
                </c:pt>
              </c:numCache>
            </c:numRef>
          </c:val>
          <c:extLst>
            <c:ext xmlns:c16="http://schemas.microsoft.com/office/drawing/2014/chart" uri="{C3380CC4-5D6E-409C-BE32-E72D297353CC}">
              <c16:uniqueId val="{00000004-324A-421F-B162-5C49ED56993E}"/>
            </c:ext>
          </c:extLst>
        </c:ser>
        <c:dLbls>
          <c:showLegendKey val="0"/>
          <c:showVal val="0"/>
          <c:showCatName val="0"/>
          <c:showSerName val="0"/>
          <c:showPercent val="0"/>
          <c:showBubbleSize val="0"/>
        </c:dLbls>
        <c:gapWidth val="100"/>
        <c:overlap val="-24"/>
        <c:axId val="1083165248"/>
        <c:axId val="1083149888"/>
      </c:barChart>
      <c:catAx>
        <c:axId val="1083165248"/>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83149888"/>
        <c:crosses val="autoZero"/>
        <c:auto val="1"/>
        <c:lblAlgn val="ctr"/>
        <c:lblOffset val="100"/>
        <c:noMultiLvlLbl val="0"/>
      </c:catAx>
      <c:valAx>
        <c:axId val="108314988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83165248"/>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4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5.6057316130113631E-2"/>
          <c:y val="0.16484444444444443"/>
          <c:w val="0.91733407235561448"/>
          <c:h val="0.63038495188101484"/>
        </c:manualLayout>
      </c:layout>
      <c:lineChart>
        <c:grouping val="standard"/>
        <c:varyColors val="0"/>
        <c:ser>
          <c:idx val="0"/>
          <c:order val="0"/>
          <c:tx>
            <c:v>Băieți (RO)</c:v>
          </c:tx>
          <c:spPr>
            <a:ln w="28575" cap="rnd">
              <a:solidFill>
                <a:schemeClr val="tx2"/>
              </a:solidFill>
              <a:round/>
            </a:ln>
            <a:effectLst/>
          </c:spPr>
          <c:marker>
            <c:symbol val="none"/>
          </c:marker>
          <c:dLbls>
            <c:dLbl>
              <c:idx val="0"/>
              <c:layout>
                <c:manualLayout>
                  <c:x val="-3.6284470246734417E-2"/>
                  <c:y val="3.11111111111111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619E-4145-A2F5-62DCFB757644}"/>
                </c:ext>
              </c:extLst>
            </c:dLbl>
            <c:dLbl>
              <c:idx val="3"/>
              <c:layout>
                <c:manualLayout>
                  <c:x val="-5.0798258345428247E-2"/>
                  <c:y val="7.999999999999991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619E-4145-A2F5-62DCFB757644}"/>
                </c:ext>
              </c:extLst>
            </c:dLbl>
            <c:dLbl>
              <c:idx val="4"/>
              <c:layout>
                <c:manualLayout>
                  <c:x val="-3.8703434929850115E-2"/>
                  <c:y val="-4.888888888888893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619E-4145-A2F5-62DCFB757644}"/>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'Boys_Girls _line'!$C$1:$I$1</c:f>
              <c:numCache>
                <c:formatCode>General</c:formatCode>
                <c:ptCount val="7"/>
                <c:pt idx="0">
                  <c:v>1999</c:v>
                </c:pt>
                <c:pt idx="1">
                  <c:v>2003</c:v>
                </c:pt>
                <c:pt idx="2">
                  <c:v>2007</c:v>
                </c:pt>
                <c:pt idx="3">
                  <c:v>2011</c:v>
                </c:pt>
                <c:pt idx="4">
                  <c:v>2015</c:v>
                </c:pt>
                <c:pt idx="5">
                  <c:v>2019</c:v>
                </c:pt>
                <c:pt idx="6">
                  <c:v>2024</c:v>
                </c:pt>
              </c:numCache>
            </c:numRef>
          </c:cat>
          <c:val>
            <c:numRef>
              <c:f>'Boys_Girls _line'!$C$4:$I$4</c:f>
              <c:numCache>
                <c:formatCode>General</c:formatCode>
                <c:ptCount val="7"/>
                <c:pt idx="0">
                  <c:v>30.88</c:v>
                </c:pt>
                <c:pt idx="1">
                  <c:v>32.01</c:v>
                </c:pt>
                <c:pt idx="2">
                  <c:v>26.25</c:v>
                </c:pt>
                <c:pt idx="3">
                  <c:v>28.9</c:v>
                </c:pt>
                <c:pt idx="4">
                  <c:v>30.6</c:v>
                </c:pt>
                <c:pt idx="5">
                  <c:v>30.04</c:v>
                </c:pt>
                <c:pt idx="6">
                  <c:v>21.62</c:v>
                </c:pt>
              </c:numCache>
            </c:numRef>
          </c:val>
          <c:smooth val="0"/>
          <c:extLst>
            <c:ext xmlns:c16="http://schemas.microsoft.com/office/drawing/2014/chart" uri="{C3380CC4-5D6E-409C-BE32-E72D297353CC}">
              <c16:uniqueId val="{00000003-619E-4145-A2F5-62DCFB757644}"/>
            </c:ext>
          </c:extLst>
        </c:ser>
        <c:ser>
          <c:idx val="2"/>
          <c:order val="1"/>
          <c:tx>
            <c:v>Fete (RO)</c:v>
          </c:tx>
          <c:spPr>
            <a:ln w="28575" cap="rnd">
              <a:solidFill>
                <a:schemeClr val="accent2"/>
              </a:solidFill>
              <a:round/>
            </a:ln>
            <a:effectLst/>
          </c:spPr>
          <c:marker>
            <c:symbol val="none"/>
          </c:marker>
          <c:dLbls>
            <c:dLbl>
              <c:idx val="1"/>
              <c:layout>
                <c:manualLayout>
                  <c:x val="-5.8055152394775038E-2"/>
                  <c:y val="-4.000000000000008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619E-4145-A2F5-62DCFB757644}"/>
                </c:ext>
              </c:extLst>
            </c:dLbl>
            <c:dLbl>
              <c:idx val="2"/>
              <c:layout>
                <c:manualLayout>
                  <c:x val="-4.3541364296081277E-2"/>
                  <c:y val="3.555555555555555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619E-4145-A2F5-62DCFB757644}"/>
                </c:ext>
              </c:extLst>
            </c:dLbl>
            <c:dLbl>
              <c:idx val="3"/>
              <c:layout>
                <c:manualLayout>
                  <c:x val="0"/>
                  <c:y val="-0.0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619E-4145-A2F5-62DCFB757644}"/>
                </c:ext>
              </c:extLst>
            </c:dLbl>
            <c:dLbl>
              <c:idx val="4"/>
              <c:layout>
                <c:manualLayout>
                  <c:x val="-2.660861151427198E-2"/>
                  <c:y val="5.333333333333333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619E-4145-A2F5-62DCFB757644}"/>
                </c:ext>
              </c:extLst>
            </c:dLbl>
            <c:dLbl>
              <c:idx val="5"/>
              <c:layout>
                <c:manualLayout>
                  <c:x val="-1.9351717464925099E-2"/>
                  <c:y val="-4.444444444444448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619E-4145-A2F5-62DCFB757644}"/>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Girls!$C$4:$I$4</c:f>
              <c:numCache>
                <c:formatCode>General</c:formatCode>
                <c:ptCount val="7"/>
                <c:pt idx="0">
                  <c:v>19.86</c:v>
                </c:pt>
                <c:pt idx="1">
                  <c:v>25.46</c:v>
                </c:pt>
                <c:pt idx="2">
                  <c:v>23.37</c:v>
                </c:pt>
                <c:pt idx="3">
                  <c:v>29.62</c:v>
                </c:pt>
                <c:pt idx="4">
                  <c:v>29.53</c:v>
                </c:pt>
                <c:pt idx="5">
                  <c:v>32.35</c:v>
                </c:pt>
                <c:pt idx="6">
                  <c:v>29.77</c:v>
                </c:pt>
              </c:numCache>
            </c:numRef>
          </c:val>
          <c:smooth val="0"/>
          <c:extLst>
            <c:ext xmlns:c16="http://schemas.microsoft.com/office/drawing/2014/chart" uri="{C3380CC4-5D6E-409C-BE32-E72D297353CC}">
              <c16:uniqueId val="{00000009-619E-4145-A2F5-62DCFB757644}"/>
            </c:ext>
          </c:extLst>
        </c:ser>
        <c:ser>
          <c:idx val="1"/>
          <c:order val="2"/>
          <c:tx>
            <c:v>Băieți (media ESPAD)</c:v>
          </c:tx>
          <c:spPr>
            <a:ln w="28575" cap="rnd">
              <a:solidFill>
                <a:schemeClr val="accent4">
                  <a:lumMod val="40000"/>
                  <a:lumOff val="60000"/>
                </a:schemeClr>
              </a:solidFill>
              <a:round/>
            </a:ln>
            <a:effectLst/>
          </c:spPr>
          <c:marker>
            <c:symbol val="none"/>
          </c:marker>
          <c:dLbls>
            <c:dLbl>
              <c:idx val="0"/>
              <c:layout>
                <c:manualLayout>
                  <c:x val="-2.9027576197387519E-2"/>
                  <c:y val="-3.11111111111111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619E-4145-A2F5-62DCFB757644}"/>
                </c:ext>
              </c:extLst>
            </c:dLbl>
            <c:dLbl>
              <c:idx val="1"/>
              <c:layout>
                <c:manualLayout>
                  <c:x val="-2.1770682148040683E-2"/>
                  <c:y val="-0.0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619E-4145-A2F5-62DCFB757644}"/>
                </c:ext>
              </c:extLst>
            </c:dLbl>
            <c:dLbl>
              <c:idx val="3"/>
              <c:layout>
                <c:manualLayout>
                  <c:x val="-7.0149975810353163E-2"/>
                  <c:y val="-9.333333333333337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619E-4145-A2F5-62DCFB757644}"/>
                </c:ext>
              </c:extLst>
            </c:dLbl>
            <c:dLbl>
              <c:idx val="4"/>
              <c:layout>
                <c:manualLayout>
                  <c:x val="-2.9027576197387606E-2"/>
                  <c:y val="6.666666666666658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619E-4145-A2F5-62DCFB757644}"/>
                </c:ext>
              </c:extLst>
            </c:dLbl>
            <c:dLbl>
              <c:idx val="5"/>
              <c:layout>
                <c:manualLayout>
                  <c:x val="-1.4513788098693671E-2"/>
                  <c:y val="4.888888888888880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619E-4145-A2F5-62DCFB757644}"/>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'Boys_Girls _line'!$C$1:$I$1</c:f>
              <c:numCache>
                <c:formatCode>General</c:formatCode>
                <c:ptCount val="7"/>
                <c:pt idx="0">
                  <c:v>1999</c:v>
                </c:pt>
                <c:pt idx="1">
                  <c:v>2003</c:v>
                </c:pt>
                <c:pt idx="2">
                  <c:v>2007</c:v>
                </c:pt>
                <c:pt idx="3">
                  <c:v>2011</c:v>
                </c:pt>
                <c:pt idx="4">
                  <c:v>2015</c:v>
                </c:pt>
                <c:pt idx="5">
                  <c:v>2019</c:v>
                </c:pt>
                <c:pt idx="6">
                  <c:v>2024</c:v>
                </c:pt>
              </c:numCache>
            </c:numRef>
          </c:cat>
          <c:val>
            <c:numRef>
              <c:f>'Boys_Girls _line'!$C$26:$I$26</c:f>
              <c:numCache>
                <c:formatCode>General</c:formatCode>
                <c:ptCount val="7"/>
                <c:pt idx="0">
                  <c:v>36.53</c:v>
                </c:pt>
                <c:pt idx="1">
                  <c:v>34.94</c:v>
                </c:pt>
                <c:pt idx="2">
                  <c:v>28.1</c:v>
                </c:pt>
                <c:pt idx="3">
                  <c:v>29.58</c:v>
                </c:pt>
                <c:pt idx="4">
                  <c:v>21.86</c:v>
                </c:pt>
                <c:pt idx="5">
                  <c:v>19.690000000000001</c:v>
                </c:pt>
                <c:pt idx="6">
                  <c:v>16.78</c:v>
                </c:pt>
              </c:numCache>
            </c:numRef>
          </c:val>
          <c:smooth val="0"/>
          <c:extLst>
            <c:ext xmlns:c16="http://schemas.microsoft.com/office/drawing/2014/chart" uri="{C3380CC4-5D6E-409C-BE32-E72D297353CC}">
              <c16:uniqueId val="{0000000F-619E-4145-A2F5-62DCFB757644}"/>
            </c:ext>
          </c:extLst>
        </c:ser>
        <c:ser>
          <c:idx val="3"/>
          <c:order val="3"/>
          <c:tx>
            <c:v>Fete (media ESPAD)</c:v>
          </c:tx>
          <c:spPr>
            <a:ln w="28575" cap="rnd">
              <a:solidFill>
                <a:schemeClr val="accent2">
                  <a:lumMod val="60000"/>
                  <a:lumOff val="40000"/>
                </a:schemeClr>
              </a:solidFill>
              <a:round/>
            </a:ln>
            <a:effectLst/>
          </c:spPr>
          <c:marker>
            <c:symbol val="none"/>
          </c:marker>
          <c:dLbls>
            <c:dLbl>
              <c:idx val="0"/>
              <c:layout>
                <c:manualLayout>
                  <c:x val="-4.5960328979196927E-2"/>
                  <c:y val="0.0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619E-4145-A2F5-62DCFB757644}"/>
                </c:ext>
              </c:extLst>
            </c:dLbl>
            <c:dLbl>
              <c:idx val="2"/>
              <c:layout>
                <c:manualLayout>
                  <c:x val="0"/>
                  <c:y val="-3.11111111111111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619E-4145-A2F5-62DCFB757644}"/>
                </c:ext>
              </c:extLst>
            </c:dLbl>
            <c:dLbl>
              <c:idx val="3"/>
              <c:layout>
                <c:manualLayout>
                  <c:x val="1.9351717464925013E-2"/>
                  <c:y val="0.0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619E-4145-A2F5-62DCFB757644}"/>
                </c:ext>
              </c:extLst>
            </c:dLbl>
            <c:dLbl>
              <c:idx val="4"/>
              <c:layout>
                <c:manualLayout>
                  <c:x val="-2.418964683115715E-3"/>
                  <c:y val="-3.555555555555555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3-619E-4145-A2F5-62DCFB757644}"/>
                </c:ext>
              </c:extLst>
            </c:dLbl>
            <c:dLbl>
              <c:idx val="5"/>
              <c:layout>
                <c:manualLayout>
                  <c:x val="0"/>
                  <c:y val="-4.000000000000008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4-619E-4145-A2F5-62DCFB757644}"/>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o-R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Girls!$C$26:$I$26</c:f>
              <c:numCache>
                <c:formatCode>General</c:formatCode>
                <c:ptCount val="7"/>
                <c:pt idx="0">
                  <c:v>35.67</c:v>
                </c:pt>
                <c:pt idx="1">
                  <c:v>34.08</c:v>
                </c:pt>
                <c:pt idx="2">
                  <c:v>29.43</c:v>
                </c:pt>
                <c:pt idx="3">
                  <c:v>29.47</c:v>
                </c:pt>
                <c:pt idx="4">
                  <c:v>22.93</c:v>
                </c:pt>
                <c:pt idx="5">
                  <c:v>20.14</c:v>
                </c:pt>
                <c:pt idx="6">
                  <c:v>18.3</c:v>
                </c:pt>
              </c:numCache>
            </c:numRef>
          </c:val>
          <c:smooth val="0"/>
          <c:extLst>
            <c:ext xmlns:c16="http://schemas.microsoft.com/office/drawing/2014/chart" uri="{C3380CC4-5D6E-409C-BE32-E72D297353CC}">
              <c16:uniqueId val="{00000015-619E-4145-A2F5-62DCFB757644}"/>
            </c:ext>
          </c:extLst>
        </c:ser>
        <c:dLbls>
          <c:showLegendKey val="0"/>
          <c:showVal val="0"/>
          <c:showCatName val="0"/>
          <c:showSerName val="0"/>
          <c:showPercent val="0"/>
          <c:showBubbleSize val="0"/>
        </c:dLbls>
        <c:smooth val="0"/>
        <c:axId val="481932592"/>
        <c:axId val="481917232"/>
      </c:lineChart>
      <c:catAx>
        <c:axId val="4819325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81917232"/>
        <c:crosses val="autoZero"/>
        <c:auto val="1"/>
        <c:lblAlgn val="ctr"/>
        <c:lblOffset val="100"/>
        <c:noMultiLvlLbl val="0"/>
      </c:catAx>
      <c:valAx>
        <c:axId val="481917232"/>
        <c:scaling>
          <c:orientation val="minMax"/>
          <c:min val="15"/>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a:t>
                </a:r>
              </a:p>
            </c:rich>
          </c:tx>
          <c:layout>
            <c:manualLayout>
              <c:xMode val="edge"/>
              <c:yMode val="edge"/>
              <c:x val="4.8379293662312532E-3"/>
              <c:y val="6.8592475940507436E-2"/>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8193259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4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Pt>
            <c:idx val="29"/>
            <c:invertIfNegative val="0"/>
            <c:bubble3D val="0"/>
            <c:spPr>
              <a:solidFill>
                <a:srgbClr val="C00000"/>
              </a:soli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1-6FC0-4A6B-A948-8DCBE5CDFB70}"/>
              </c:ext>
            </c:extLst>
          </c:dPt>
          <c:dPt>
            <c:idx val="37"/>
            <c:invertIfNegative val="0"/>
            <c:bubble3D val="0"/>
            <c:spPr>
              <a:solidFill>
                <a:srgbClr val="FF0000"/>
              </a:soli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3-6FC0-4A6B-A948-8DCBE5CDFB70}"/>
              </c:ext>
            </c:extLst>
          </c:dPt>
          <c:dLbls>
            <c:dLbl>
              <c:idx val="37"/>
              <c:layout>
                <c:manualLayout>
                  <c:x val="1.3026487190620929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6FC0-4A6B-A948-8DCBE5CDFB70}"/>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ro-R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Countries_2024_All!$A$2:$A$39</c:f>
              <c:strCache>
                <c:ptCount val="38"/>
                <c:pt idx="0">
                  <c:v>Austria</c:v>
                </c:pt>
                <c:pt idx="1">
                  <c:v>Bulgaria</c:v>
                </c:pt>
                <c:pt idx="2">
                  <c:v>Cehia</c:v>
                </c:pt>
                <c:pt idx="3">
                  <c:v>Cipru</c:v>
                </c:pt>
                <c:pt idx="4">
                  <c:v>Croaţia</c:v>
                </c:pt>
                <c:pt idx="5">
                  <c:v>Danemarca</c:v>
                </c:pt>
                <c:pt idx="6">
                  <c:v>Estonia</c:v>
                </c:pt>
                <c:pt idx="7">
                  <c:v>Feroe</c:v>
                </c:pt>
                <c:pt idx="8">
                  <c:v>Finlanda</c:v>
                </c:pt>
                <c:pt idx="9">
                  <c:v>Franţa</c:v>
                </c:pt>
                <c:pt idx="10">
                  <c:v>Georgia</c:v>
                </c:pt>
                <c:pt idx="11">
                  <c:v>Germania</c:v>
                </c:pt>
                <c:pt idx="12">
                  <c:v>Grecia</c:v>
                </c:pt>
                <c:pt idx="13">
                  <c:v>Irlanda</c:v>
                </c:pt>
                <c:pt idx="14">
                  <c:v>Islanda</c:v>
                </c:pt>
                <c:pt idx="15">
                  <c:v>Italia</c:v>
                </c:pt>
                <c:pt idx="16">
                  <c:v>Kosovo</c:v>
                </c:pt>
                <c:pt idx="17">
                  <c:v>Letonia</c:v>
                </c:pt>
                <c:pt idx="18">
                  <c:v>Liechtenstein</c:v>
                </c:pt>
                <c:pt idx="19">
                  <c:v>Lituania</c:v>
                </c:pt>
                <c:pt idx="20">
                  <c:v>Macedonia de Nord</c:v>
                </c:pt>
                <c:pt idx="21">
                  <c:v>Malta</c:v>
                </c:pt>
                <c:pt idx="22">
                  <c:v>Moldova</c:v>
                </c:pt>
                <c:pt idx="23">
                  <c:v>Monaco</c:v>
                </c:pt>
                <c:pt idx="24">
                  <c:v>Muntenegru</c:v>
                </c:pt>
                <c:pt idx="25">
                  <c:v>Norvegia</c:v>
                </c:pt>
                <c:pt idx="26">
                  <c:v>Țările de Jos</c:v>
                </c:pt>
                <c:pt idx="27">
                  <c:v>Polonia</c:v>
                </c:pt>
                <c:pt idx="28">
                  <c:v>Portugalia</c:v>
                </c:pt>
                <c:pt idx="29">
                  <c:v>România</c:v>
                </c:pt>
                <c:pt idx="30">
                  <c:v>Serbia</c:v>
                </c:pt>
                <c:pt idx="31">
                  <c:v>Slovacia</c:v>
                </c:pt>
                <c:pt idx="32">
                  <c:v>Slovenia</c:v>
                </c:pt>
                <c:pt idx="33">
                  <c:v>Spania</c:v>
                </c:pt>
                <c:pt idx="34">
                  <c:v>Suedia</c:v>
                </c:pt>
                <c:pt idx="35">
                  <c:v>Ucraina</c:v>
                </c:pt>
                <c:pt idx="36">
                  <c:v>Ungaria</c:v>
                </c:pt>
                <c:pt idx="37">
                  <c:v>Media ESPAD</c:v>
                </c:pt>
              </c:strCache>
            </c:strRef>
          </c:cat>
          <c:val>
            <c:numRef>
              <c:f>Countries_2024_All!$H$2:$H$39</c:f>
              <c:numCache>
                <c:formatCode>General</c:formatCode>
                <c:ptCount val="38"/>
                <c:pt idx="0">
                  <c:v>3.74</c:v>
                </c:pt>
                <c:pt idx="1">
                  <c:v>10.91</c:v>
                </c:pt>
                <c:pt idx="2">
                  <c:v>7.16</c:v>
                </c:pt>
                <c:pt idx="3">
                  <c:v>7.95</c:v>
                </c:pt>
                <c:pt idx="4">
                  <c:v>6.83</c:v>
                </c:pt>
                <c:pt idx="5">
                  <c:v>3.1</c:v>
                </c:pt>
                <c:pt idx="6">
                  <c:v>9.91</c:v>
                </c:pt>
                <c:pt idx="7">
                  <c:v>1.19</c:v>
                </c:pt>
                <c:pt idx="8">
                  <c:v>5.58</c:v>
                </c:pt>
                <c:pt idx="9">
                  <c:v>2.46</c:v>
                </c:pt>
                <c:pt idx="10">
                  <c:v>6.33</c:v>
                </c:pt>
                <c:pt idx="11">
                  <c:v>3.9</c:v>
                </c:pt>
                <c:pt idx="12">
                  <c:v>6.44</c:v>
                </c:pt>
                <c:pt idx="13">
                  <c:v>5.21</c:v>
                </c:pt>
                <c:pt idx="14">
                  <c:v>6.37</c:v>
                </c:pt>
                <c:pt idx="15">
                  <c:v>5.1100000000000003</c:v>
                </c:pt>
                <c:pt idx="16">
                  <c:v>9.01</c:v>
                </c:pt>
                <c:pt idx="17">
                  <c:v>10.52</c:v>
                </c:pt>
                <c:pt idx="18">
                  <c:v>2.41</c:v>
                </c:pt>
                <c:pt idx="19">
                  <c:v>10.73</c:v>
                </c:pt>
                <c:pt idx="20">
                  <c:v>4.9400000000000004</c:v>
                </c:pt>
                <c:pt idx="21">
                  <c:v>4.3499999999999996</c:v>
                </c:pt>
                <c:pt idx="22">
                  <c:v>4.2</c:v>
                </c:pt>
                <c:pt idx="23">
                  <c:v>5.16</c:v>
                </c:pt>
                <c:pt idx="24">
                  <c:v>2.82</c:v>
                </c:pt>
                <c:pt idx="25">
                  <c:v>3.34</c:v>
                </c:pt>
                <c:pt idx="26">
                  <c:v>3.83</c:v>
                </c:pt>
                <c:pt idx="27">
                  <c:v>5.97</c:v>
                </c:pt>
                <c:pt idx="28">
                  <c:v>2.59</c:v>
                </c:pt>
                <c:pt idx="29">
                  <c:v>7.71</c:v>
                </c:pt>
                <c:pt idx="30">
                  <c:v>4.09</c:v>
                </c:pt>
                <c:pt idx="31">
                  <c:v>9.1999999999999993</c:v>
                </c:pt>
                <c:pt idx="32">
                  <c:v>5.13</c:v>
                </c:pt>
                <c:pt idx="33">
                  <c:v>3.33</c:v>
                </c:pt>
                <c:pt idx="34">
                  <c:v>4.87</c:v>
                </c:pt>
                <c:pt idx="35">
                  <c:v>10.81</c:v>
                </c:pt>
                <c:pt idx="36">
                  <c:v>8.98</c:v>
                </c:pt>
                <c:pt idx="37">
                  <c:v>5.97</c:v>
                </c:pt>
              </c:numCache>
            </c:numRef>
          </c:val>
          <c:extLst>
            <c:ext xmlns:c16="http://schemas.microsoft.com/office/drawing/2014/chart" uri="{C3380CC4-5D6E-409C-BE32-E72D297353CC}">
              <c16:uniqueId val="{00000004-6FC0-4A6B-A948-8DCBE5CDFB70}"/>
            </c:ext>
          </c:extLst>
        </c:ser>
        <c:dLbls>
          <c:showLegendKey val="0"/>
          <c:showVal val="0"/>
          <c:showCatName val="0"/>
          <c:showSerName val="0"/>
          <c:showPercent val="0"/>
          <c:showBubbleSize val="0"/>
        </c:dLbls>
        <c:gapWidth val="100"/>
        <c:overlap val="-24"/>
        <c:axId val="1083165248"/>
        <c:axId val="1083149888"/>
      </c:barChart>
      <c:catAx>
        <c:axId val="1083165248"/>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83149888"/>
        <c:crosses val="autoZero"/>
        <c:auto val="1"/>
        <c:lblAlgn val="ctr"/>
        <c:lblOffset val="100"/>
        <c:noMultiLvlLbl val="0"/>
      </c:catAx>
      <c:valAx>
        <c:axId val="108314988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83165248"/>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4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v>Băieți (RO)</c:v>
          </c:tx>
          <c:spPr>
            <a:ln w="28575" cap="rnd">
              <a:solidFill>
                <a:schemeClr val="tx2"/>
              </a:solidFill>
              <a:round/>
            </a:ln>
            <a:effectLst/>
          </c:spPr>
          <c:marker>
            <c:symbol val="none"/>
          </c:marker>
          <c:dLbls>
            <c:dLbl>
              <c:idx val="0"/>
              <c:layout>
                <c:manualLayout>
                  <c:x val="-6.053268765133181E-2"/>
                  <c:y val="-4.444444444444444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3316-449D-8C6D-CFC3EA4A236A}"/>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'Boys_Girls _line'!$H$1:$I$1</c:f>
              <c:numCache>
                <c:formatCode>General</c:formatCode>
                <c:ptCount val="2"/>
                <c:pt idx="0">
                  <c:v>2019</c:v>
                </c:pt>
                <c:pt idx="1">
                  <c:v>2024</c:v>
                </c:pt>
              </c:numCache>
              <c:extLst/>
            </c:numRef>
          </c:cat>
          <c:val>
            <c:numRef>
              <c:f>'Boys_Girls _line'!$H$20:$I$20</c:f>
              <c:numCache>
                <c:formatCode>General</c:formatCode>
                <c:ptCount val="2"/>
                <c:pt idx="0">
                  <c:v>6.41</c:v>
                </c:pt>
                <c:pt idx="1">
                  <c:v>6.57</c:v>
                </c:pt>
              </c:numCache>
              <c:extLst/>
            </c:numRef>
          </c:val>
          <c:smooth val="0"/>
          <c:extLst>
            <c:ext xmlns:c16="http://schemas.microsoft.com/office/drawing/2014/chart" uri="{C3380CC4-5D6E-409C-BE32-E72D297353CC}">
              <c16:uniqueId val="{00000001-3316-449D-8C6D-CFC3EA4A236A}"/>
            </c:ext>
          </c:extLst>
        </c:ser>
        <c:ser>
          <c:idx val="2"/>
          <c:order val="1"/>
          <c:tx>
            <c:v>Fete (RO)</c:v>
          </c:tx>
          <c:spPr>
            <a:ln w="28575" cap="rnd">
              <a:solidFill>
                <a:schemeClr val="accent2"/>
              </a:solidFill>
              <a:round/>
            </a:ln>
            <a:effectLst/>
          </c:spPr>
          <c:marker>
            <c:symbol val="none"/>
          </c:marker>
          <c:dLbls>
            <c:dLbl>
              <c:idx val="0"/>
              <c:layout>
                <c:manualLayout>
                  <c:x val="-3.8740920096852392E-2"/>
                  <c:y val="-2.666666666666674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3316-449D-8C6D-CFC3EA4A236A}"/>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o-R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Lit>
              <c:ptCount val="2"/>
              <c:pt idx="0">
                <c:v>2019</c:v>
              </c:pt>
              <c:pt idx="1">
                <c:v>2024</c:v>
              </c:pt>
              <c:extLst>
                <c:ext xmlns:c15="http://schemas.microsoft.com/office/drawing/2012/chart" uri="{02D57815-91ED-43cb-92C2-25804820EDAC}">
                  <c15:autoCat val="1"/>
                </c:ext>
              </c:extLst>
            </c:strLit>
          </c:cat>
          <c:val>
            <c:numRef>
              <c:f>Girls!$H$20:$I$20</c:f>
              <c:numCache>
                <c:formatCode>General</c:formatCode>
                <c:ptCount val="2"/>
                <c:pt idx="0">
                  <c:v>5.22</c:v>
                </c:pt>
                <c:pt idx="1">
                  <c:v>8.76</c:v>
                </c:pt>
              </c:numCache>
              <c:extLst/>
            </c:numRef>
          </c:val>
          <c:smooth val="0"/>
          <c:extLst>
            <c:ext xmlns:c16="http://schemas.microsoft.com/office/drawing/2014/chart" uri="{C3380CC4-5D6E-409C-BE32-E72D297353CC}">
              <c16:uniqueId val="{00000003-3316-449D-8C6D-CFC3EA4A236A}"/>
            </c:ext>
          </c:extLst>
        </c:ser>
        <c:ser>
          <c:idx val="1"/>
          <c:order val="2"/>
          <c:tx>
            <c:v>Băieți (media ESPAD)</c:v>
          </c:tx>
          <c:spPr>
            <a:ln w="28575" cap="rnd">
              <a:solidFill>
                <a:schemeClr val="accent4">
                  <a:lumMod val="40000"/>
                  <a:lumOff val="60000"/>
                </a:schemeClr>
              </a:solidFill>
              <a:round/>
            </a:ln>
            <a:effectLst/>
          </c:spPr>
          <c:marker>
            <c:symbol val="none"/>
          </c:marker>
          <c:dPt>
            <c:idx val="0"/>
            <c:marker>
              <c:symbol val="none"/>
            </c:marker>
            <c:bubble3D val="0"/>
            <c:spPr>
              <a:ln w="28575" cap="rnd">
                <a:solidFill>
                  <a:schemeClr val="accent4">
                    <a:lumMod val="40000"/>
                    <a:lumOff val="60000"/>
                  </a:schemeClr>
                </a:solidFill>
                <a:round/>
              </a:ln>
              <a:effectLst/>
            </c:spPr>
            <c:extLst>
              <c:ext xmlns:c16="http://schemas.microsoft.com/office/drawing/2014/chart" uri="{C3380CC4-5D6E-409C-BE32-E72D297353CC}">
                <c16:uniqueId val="{00000005-3316-449D-8C6D-CFC3EA4A236A}"/>
              </c:ext>
            </c:extLst>
          </c:dPt>
          <c:dPt>
            <c:idx val="1"/>
            <c:marker>
              <c:symbol val="none"/>
            </c:marker>
            <c:bubble3D val="0"/>
            <c:spPr>
              <a:ln w="28575" cap="rnd">
                <a:solidFill>
                  <a:schemeClr val="accent4">
                    <a:lumMod val="40000"/>
                    <a:lumOff val="60000"/>
                  </a:schemeClr>
                </a:solidFill>
                <a:round/>
              </a:ln>
              <a:effectLst/>
            </c:spPr>
            <c:extLst>
              <c:ext xmlns:c16="http://schemas.microsoft.com/office/drawing/2014/chart" uri="{C3380CC4-5D6E-409C-BE32-E72D297353CC}">
                <c16:uniqueId val="{00000007-3316-449D-8C6D-CFC3EA4A236A}"/>
              </c:ext>
            </c:extLst>
          </c:dPt>
          <c:dLbls>
            <c:dLbl>
              <c:idx val="0"/>
              <c:layout>
                <c:manualLayout>
                  <c:x val="-2.9055690072639227E-2"/>
                  <c:y val="0.0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3316-449D-8C6D-CFC3EA4A236A}"/>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'Boys_Girls _line'!$H$1:$I$1</c:f>
              <c:numCache>
                <c:formatCode>General</c:formatCode>
                <c:ptCount val="2"/>
                <c:pt idx="0">
                  <c:v>2019</c:v>
                </c:pt>
                <c:pt idx="1">
                  <c:v>2024</c:v>
                </c:pt>
              </c:numCache>
              <c:extLst/>
            </c:numRef>
          </c:cat>
          <c:val>
            <c:numRef>
              <c:f>'Boys_Girls _line'!$H$42:$I$42</c:f>
              <c:numCache>
                <c:formatCode>General</c:formatCode>
                <c:ptCount val="2"/>
                <c:pt idx="0">
                  <c:v>4.88</c:v>
                </c:pt>
                <c:pt idx="1">
                  <c:v>5.71</c:v>
                </c:pt>
              </c:numCache>
              <c:extLst/>
            </c:numRef>
          </c:val>
          <c:smooth val="0"/>
          <c:extLst>
            <c:ext xmlns:c16="http://schemas.microsoft.com/office/drawing/2014/chart" uri="{C3380CC4-5D6E-409C-BE32-E72D297353CC}">
              <c16:uniqueId val="{00000008-3316-449D-8C6D-CFC3EA4A236A}"/>
            </c:ext>
          </c:extLst>
        </c:ser>
        <c:ser>
          <c:idx val="3"/>
          <c:order val="3"/>
          <c:tx>
            <c:v>Fete (media ESPAD)</c:v>
          </c:tx>
          <c:spPr>
            <a:ln w="28575" cap="rnd">
              <a:solidFill>
                <a:schemeClr val="accent2">
                  <a:lumMod val="40000"/>
                  <a:lumOff val="60000"/>
                </a:schemeClr>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o-R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Lit>
              <c:ptCount val="2"/>
              <c:pt idx="0">
                <c:v>2019</c:v>
              </c:pt>
              <c:pt idx="1">
                <c:v>2024</c:v>
              </c:pt>
              <c:extLst>
                <c:ext xmlns:c15="http://schemas.microsoft.com/office/drawing/2012/chart" uri="{02D57815-91ED-43cb-92C2-25804820EDAC}">
                  <c15:autoCat val="1"/>
                </c:ext>
              </c:extLst>
            </c:strLit>
          </c:cat>
          <c:val>
            <c:numRef>
              <c:f>Girls!$H$42:$I$42</c:f>
              <c:numCache>
                <c:formatCode>General</c:formatCode>
                <c:ptCount val="2"/>
                <c:pt idx="0">
                  <c:v>2.98</c:v>
                </c:pt>
                <c:pt idx="1">
                  <c:v>6.14</c:v>
                </c:pt>
              </c:numCache>
              <c:extLst/>
            </c:numRef>
          </c:val>
          <c:smooth val="0"/>
          <c:extLst>
            <c:ext xmlns:c16="http://schemas.microsoft.com/office/drawing/2014/chart" uri="{C3380CC4-5D6E-409C-BE32-E72D297353CC}">
              <c16:uniqueId val="{00000009-3316-449D-8C6D-CFC3EA4A236A}"/>
            </c:ext>
          </c:extLst>
        </c:ser>
        <c:dLbls>
          <c:showLegendKey val="0"/>
          <c:showVal val="0"/>
          <c:showCatName val="0"/>
          <c:showSerName val="0"/>
          <c:showPercent val="0"/>
          <c:showBubbleSize val="0"/>
        </c:dLbls>
        <c:smooth val="0"/>
        <c:axId val="481932592"/>
        <c:axId val="481917232"/>
      </c:lineChart>
      <c:catAx>
        <c:axId val="4819325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81917232"/>
        <c:crosses val="autoZero"/>
        <c:auto val="1"/>
        <c:lblAlgn val="ctr"/>
        <c:lblOffset val="100"/>
        <c:noMultiLvlLbl val="0"/>
      </c:catAx>
      <c:valAx>
        <c:axId val="48191723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8193259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4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Pt>
            <c:idx val="29"/>
            <c:invertIfNegative val="0"/>
            <c:bubble3D val="0"/>
            <c:spPr>
              <a:solidFill>
                <a:srgbClr val="C00000"/>
              </a:soli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1-C09D-457E-A1A1-84E6EEEC5D73}"/>
              </c:ext>
            </c:extLst>
          </c:dPt>
          <c:dPt>
            <c:idx val="37"/>
            <c:invertIfNegative val="0"/>
            <c:bubble3D val="0"/>
            <c:spPr>
              <a:solidFill>
                <a:srgbClr val="FF0000"/>
              </a:soli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3-C09D-457E-A1A1-84E6EEEC5D73}"/>
              </c:ext>
            </c:extLst>
          </c:dPt>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ro-R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Countries_2024_All!$A$2:$A$39</c:f>
              <c:strCache>
                <c:ptCount val="38"/>
                <c:pt idx="0">
                  <c:v>Austria</c:v>
                </c:pt>
                <c:pt idx="1">
                  <c:v>Bulgaria</c:v>
                </c:pt>
                <c:pt idx="2">
                  <c:v>Cehia</c:v>
                </c:pt>
                <c:pt idx="3">
                  <c:v>Cipru</c:v>
                </c:pt>
                <c:pt idx="4">
                  <c:v>Croaţia</c:v>
                </c:pt>
                <c:pt idx="5">
                  <c:v>Danemarca</c:v>
                </c:pt>
                <c:pt idx="6">
                  <c:v>Estonia</c:v>
                </c:pt>
                <c:pt idx="7">
                  <c:v>Feroe</c:v>
                </c:pt>
                <c:pt idx="8">
                  <c:v>Finlanda</c:v>
                </c:pt>
                <c:pt idx="9">
                  <c:v>Franţa</c:v>
                </c:pt>
                <c:pt idx="10">
                  <c:v>Georgia</c:v>
                </c:pt>
                <c:pt idx="11">
                  <c:v>Germania</c:v>
                </c:pt>
                <c:pt idx="12">
                  <c:v>Grecia</c:v>
                </c:pt>
                <c:pt idx="13">
                  <c:v>Irlanda</c:v>
                </c:pt>
                <c:pt idx="14">
                  <c:v>Islanda</c:v>
                </c:pt>
                <c:pt idx="15">
                  <c:v>Italia</c:v>
                </c:pt>
                <c:pt idx="16">
                  <c:v>Kosovo</c:v>
                </c:pt>
                <c:pt idx="17">
                  <c:v>Letonia</c:v>
                </c:pt>
                <c:pt idx="18">
                  <c:v>Liechtenstein</c:v>
                </c:pt>
                <c:pt idx="19">
                  <c:v>Lituania</c:v>
                </c:pt>
                <c:pt idx="20">
                  <c:v>Macedonia de Nord</c:v>
                </c:pt>
                <c:pt idx="21">
                  <c:v>Malta</c:v>
                </c:pt>
                <c:pt idx="22">
                  <c:v>Moldova</c:v>
                </c:pt>
                <c:pt idx="23">
                  <c:v>Monaco</c:v>
                </c:pt>
                <c:pt idx="24">
                  <c:v>Muntenegru</c:v>
                </c:pt>
                <c:pt idx="25">
                  <c:v>Norvegia</c:v>
                </c:pt>
                <c:pt idx="26">
                  <c:v>Țările de Jos</c:v>
                </c:pt>
                <c:pt idx="27">
                  <c:v>Polonia</c:v>
                </c:pt>
                <c:pt idx="28">
                  <c:v>Portugalia</c:v>
                </c:pt>
                <c:pt idx="29">
                  <c:v>România</c:v>
                </c:pt>
                <c:pt idx="30">
                  <c:v>Serbia</c:v>
                </c:pt>
                <c:pt idx="31">
                  <c:v>Slovacia</c:v>
                </c:pt>
                <c:pt idx="32">
                  <c:v>Slovenia</c:v>
                </c:pt>
                <c:pt idx="33">
                  <c:v>Spania</c:v>
                </c:pt>
                <c:pt idx="34">
                  <c:v>Suedia</c:v>
                </c:pt>
                <c:pt idx="35">
                  <c:v>Ucraina</c:v>
                </c:pt>
                <c:pt idx="36">
                  <c:v>Ungaria</c:v>
                </c:pt>
                <c:pt idx="37">
                  <c:v>Media ESPAD</c:v>
                </c:pt>
              </c:strCache>
            </c:strRef>
          </c:cat>
          <c:val>
            <c:numRef>
              <c:f>Countries_2024_All!$G$2:$G$39</c:f>
              <c:numCache>
                <c:formatCode>General</c:formatCode>
                <c:ptCount val="38"/>
                <c:pt idx="0">
                  <c:v>13.64</c:v>
                </c:pt>
                <c:pt idx="1">
                  <c:v>25.08</c:v>
                </c:pt>
                <c:pt idx="2">
                  <c:v>16.739999999999998</c:v>
                </c:pt>
                <c:pt idx="3">
                  <c:v>15.13</c:v>
                </c:pt>
                <c:pt idx="4">
                  <c:v>24.43</c:v>
                </c:pt>
                <c:pt idx="5">
                  <c:v>8.75</c:v>
                </c:pt>
                <c:pt idx="6">
                  <c:v>12.73</c:v>
                </c:pt>
                <c:pt idx="7">
                  <c:v>5.04</c:v>
                </c:pt>
                <c:pt idx="8">
                  <c:v>11.69</c:v>
                </c:pt>
                <c:pt idx="9">
                  <c:v>7.12</c:v>
                </c:pt>
                <c:pt idx="10">
                  <c:v>9.51</c:v>
                </c:pt>
                <c:pt idx="11">
                  <c:v>13.98</c:v>
                </c:pt>
                <c:pt idx="12">
                  <c:v>18.53</c:v>
                </c:pt>
                <c:pt idx="13">
                  <c:v>7.5</c:v>
                </c:pt>
                <c:pt idx="14">
                  <c:v>5.48</c:v>
                </c:pt>
                <c:pt idx="15">
                  <c:v>15.4</c:v>
                </c:pt>
                <c:pt idx="16">
                  <c:v>17.420000000000002</c:v>
                </c:pt>
                <c:pt idx="17">
                  <c:v>11.78</c:v>
                </c:pt>
                <c:pt idx="18">
                  <c:v>16.170000000000002</c:v>
                </c:pt>
                <c:pt idx="19">
                  <c:v>11.3</c:v>
                </c:pt>
                <c:pt idx="20">
                  <c:v>13.6</c:v>
                </c:pt>
                <c:pt idx="21">
                  <c:v>6.18</c:v>
                </c:pt>
                <c:pt idx="22">
                  <c:v>9.2200000000000006</c:v>
                </c:pt>
                <c:pt idx="23">
                  <c:v>11.48</c:v>
                </c:pt>
                <c:pt idx="24">
                  <c:v>13.37</c:v>
                </c:pt>
                <c:pt idx="25">
                  <c:v>2.97</c:v>
                </c:pt>
                <c:pt idx="26">
                  <c:v>11.17</c:v>
                </c:pt>
                <c:pt idx="27">
                  <c:v>21.59</c:v>
                </c:pt>
                <c:pt idx="28">
                  <c:v>6.32</c:v>
                </c:pt>
                <c:pt idx="29">
                  <c:v>19.96</c:v>
                </c:pt>
                <c:pt idx="30">
                  <c:v>22.38</c:v>
                </c:pt>
                <c:pt idx="31">
                  <c:v>18.54</c:v>
                </c:pt>
                <c:pt idx="32">
                  <c:v>18.43</c:v>
                </c:pt>
                <c:pt idx="33">
                  <c:v>9.34</c:v>
                </c:pt>
                <c:pt idx="34">
                  <c:v>5.96</c:v>
                </c:pt>
                <c:pt idx="35">
                  <c:v>13.84</c:v>
                </c:pt>
                <c:pt idx="36">
                  <c:v>25.22</c:v>
                </c:pt>
                <c:pt idx="37">
                  <c:v>13.6</c:v>
                </c:pt>
              </c:numCache>
            </c:numRef>
          </c:val>
          <c:extLst>
            <c:ext xmlns:c16="http://schemas.microsoft.com/office/drawing/2014/chart" uri="{C3380CC4-5D6E-409C-BE32-E72D297353CC}">
              <c16:uniqueId val="{00000004-C09D-457E-A1A1-84E6EEEC5D73}"/>
            </c:ext>
          </c:extLst>
        </c:ser>
        <c:dLbls>
          <c:showLegendKey val="0"/>
          <c:showVal val="0"/>
          <c:showCatName val="0"/>
          <c:showSerName val="0"/>
          <c:showPercent val="0"/>
          <c:showBubbleSize val="0"/>
        </c:dLbls>
        <c:gapWidth val="100"/>
        <c:overlap val="-24"/>
        <c:axId val="1083165248"/>
        <c:axId val="1083149888"/>
      </c:barChart>
      <c:catAx>
        <c:axId val="1083165248"/>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83149888"/>
        <c:crosses val="autoZero"/>
        <c:auto val="1"/>
        <c:lblAlgn val="ctr"/>
        <c:lblOffset val="100"/>
        <c:noMultiLvlLbl val="0"/>
      </c:catAx>
      <c:valAx>
        <c:axId val="108314988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83165248"/>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4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v>Băieți (RO)</c:v>
          </c:tx>
          <c:spPr>
            <a:ln w="28575" cap="rnd">
              <a:solidFill>
                <a:schemeClr val="tx2"/>
              </a:solidFill>
              <a:round/>
            </a:ln>
            <a:effectLst/>
          </c:spPr>
          <c:marker>
            <c:symbol val="none"/>
          </c:marker>
          <c:dLbls>
            <c:dLbl>
              <c:idx val="0"/>
              <c:layout>
                <c:manualLayout>
                  <c:x val="-4.2179261862917442E-2"/>
                  <c:y val="-5.777777777777777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7F50-45CE-8674-08685E9C122E}"/>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'Boys_Girls _line'!$H$1:$I$1</c:f>
              <c:numCache>
                <c:formatCode>General</c:formatCode>
                <c:ptCount val="2"/>
                <c:pt idx="0">
                  <c:v>2019</c:v>
                </c:pt>
                <c:pt idx="1">
                  <c:v>2024</c:v>
                </c:pt>
              </c:numCache>
              <c:extLst/>
            </c:numRef>
          </c:cat>
          <c:val>
            <c:numRef>
              <c:f>'Boys_Girls _line'!$H$19:$I$19</c:f>
              <c:numCache>
                <c:formatCode>General</c:formatCode>
                <c:ptCount val="2"/>
                <c:pt idx="0">
                  <c:v>19.809999999999999</c:v>
                </c:pt>
                <c:pt idx="1">
                  <c:v>16.64</c:v>
                </c:pt>
              </c:numCache>
              <c:extLst/>
            </c:numRef>
          </c:val>
          <c:smooth val="0"/>
          <c:extLst>
            <c:ext xmlns:c16="http://schemas.microsoft.com/office/drawing/2014/chart" uri="{C3380CC4-5D6E-409C-BE32-E72D297353CC}">
              <c16:uniqueId val="{00000001-7F50-45CE-8674-08685E9C122E}"/>
            </c:ext>
          </c:extLst>
        </c:ser>
        <c:ser>
          <c:idx val="2"/>
          <c:order val="1"/>
          <c:tx>
            <c:v>Fete (RO)</c:v>
          </c:tx>
          <c:spPr>
            <a:ln w="28575" cap="rnd">
              <a:solidFill>
                <a:schemeClr val="accent2"/>
              </a:solidFill>
              <a:round/>
            </a:ln>
            <a:effectLst/>
          </c:spPr>
          <c:marker>
            <c:symbol val="none"/>
          </c:marker>
          <c:dLbls>
            <c:dLbl>
              <c:idx val="0"/>
              <c:layout>
                <c:manualLayout>
                  <c:x val="-3.5149384885764502E-2"/>
                  <c:y val="5.333333333333333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7F50-45CE-8674-08685E9C122E}"/>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o-R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Lit>
              <c:ptCount val="2"/>
              <c:pt idx="0">
                <c:v>2019</c:v>
              </c:pt>
              <c:pt idx="1">
                <c:v>2024</c:v>
              </c:pt>
              <c:extLst>
                <c:ext xmlns:c15="http://schemas.microsoft.com/office/drawing/2012/chart" uri="{02D57815-91ED-43cb-92C2-25804820EDAC}">
                  <c15:autoCat val="1"/>
                </c:ext>
              </c:extLst>
            </c:strLit>
          </c:cat>
          <c:val>
            <c:numRef>
              <c:f>Girls!$H$19:$I$19</c:f>
              <c:numCache>
                <c:formatCode>General</c:formatCode>
                <c:ptCount val="2"/>
                <c:pt idx="0">
                  <c:v>18.98</c:v>
                </c:pt>
                <c:pt idx="1">
                  <c:v>23.06</c:v>
                </c:pt>
              </c:numCache>
              <c:extLst/>
            </c:numRef>
          </c:val>
          <c:smooth val="0"/>
          <c:extLst>
            <c:ext xmlns:c16="http://schemas.microsoft.com/office/drawing/2014/chart" uri="{C3380CC4-5D6E-409C-BE32-E72D297353CC}">
              <c16:uniqueId val="{00000003-7F50-45CE-8674-08685E9C122E}"/>
            </c:ext>
          </c:extLst>
        </c:ser>
        <c:ser>
          <c:idx val="1"/>
          <c:order val="2"/>
          <c:tx>
            <c:v>Băieți (media ESPAD)</c:v>
          </c:tx>
          <c:spPr>
            <a:ln w="28575" cap="rnd">
              <a:solidFill>
                <a:schemeClr val="accent4">
                  <a:lumMod val="40000"/>
                  <a:lumOff val="60000"/>
                </a:schemeClr>
              </a:solidFill>
              <a:round/>
            </a:ln>
            <a:effectLst/>
          </c:spPr>
          <c:marker>
            <c:symbol val="none"/>
          </c:marker>
          <c:dLbls>
            <c:dLbl>
              <c:idx val="0"/>
              <c:layout>
                <c:manualLayout>
                  <c:x val="-7.7328646748681895E-2"/>
                  <c:y val="-2.666666666666666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7F50-45CE-8674-08685E9C122E}"/>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'Boys_Girls _line'!$H$1:$I$1</c:f>
              <c:numCache>
                <c:formatCode>General</c:formatCode>
                <c:ptCount val="2"/>
                <c:pt idx="0">
                  <c:v>2019</c:v>
                </c:pt>
                <c:pt idx="1">
                  <c:v>2024</c:v>
                </c:pt>
              </c:numCache>
              <c:extLst/>
            </c:numRef>
          </c:cat>
          <c:val>
            <c:numRef>
              <c:f>'Boys_Girls _line'!$H$41:$I$41</c:f>
              <c:numCache>
                <c:formatCode>General</c:formatCode>
                <c:ptCount val="2"/>
                <c:pt idx="0">
                  <c:v>12.82</c:v>
                </c:pt>
                <c:pt idx="1">
                  <c:v>12.37</c:v>
                </c:pt>
              </c:numCache>
              <c:extLst/>
            </c:numRef>
          </c:val>
          <c:smooth val="0"/>
          <c:extLst>
            <c:ext xmlns:c16="http://schemas.microsoft.com/office/drawing/2014/chart" uri="{C3380CC4-5D6E-409C-BE32-E72D297353CC}">
              <c16:uniqueId val="{00000005-7F50-45CE-8674-08685E9C122E}"/>
            </c:ext>
          </c:extLst>
        </c:ser>
        <c:ser>
          <c:idx val="3"/>
          <c:order val="3"/>
          <c:tx>
            <c:v>Fete (media ESPAD)</c:v>
          </c:tx>
          <c:spPr>
            <a:ln w="28575" cap="rnd">
              <a:solidFill>
                <a:schemeClr val="accent2">
                  <a:lumMod val="40000"/>
                  <a:lumOff val="60000"/>
                </a:schemeClr>
              </a:solidFill>
              <a:round/>
            </a:ln>
            <a:effectLst/>
          </c:spPr>
          <c:marker>
            <c:symbol val="none"/>
          </c:marker>
          <c:dLbls>
            <c:dLbl>
              <c:idx val="0"/>
              <c:layout>
                <c:manualLayout>
                  <c:x val="-7.0298769771529004E-2"/>
                  <c:y val="3.999999999999991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7F50-45CE-8674-08685E9C122E}"/>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o-R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Lit>
              <c:ptCount val="2"/>
              <c:pt idx="0">
                <c:v>2019</c:v>
              </c:pt>
              <c:pt idx="1">
                <c:v>2024</c:v>
              </c:pt>
              <c:extLst>
                <c:ext xmlns:c15="http://schemas.microsoft.com/office/drawing/2012/chart" uri="{02D57815-91ED-43cb-92C2-25804820EDAC}">
                  <c15:autoCat val="1"/>
                </c:ext>
              </c:extLst>
            </c:strLit>
          </c:cat>
          <c:val>
            <c:numRef>
              <c:f>Girls!$H$41:$I$41</c:f>
              <c:numCache>
                <c:formatCode>General</c:formatCode>
                <c:ptCount val="2"/>
                <c:pt idx="0">
                  <c:v>11.24</c:v>
                </c:pt>
                <c:pt idx="1">
                  <c:v>14.78</c:v>
                </c:pt>
              </c:numCache>
              <c:extLst/>
            </c:numRef>
          </c:val>
          <c:smooth val="0"/>
          <c:extLst>
            <c:ext xmlns:c16="http://schemas.microsoft.com/office/drawing/2014/chart" uri="{C3380CC4-5D6E-409C-BE32-E72D297353CC}">
              <c16:uniqueId val="{00000007-7F50-45CE-8674-08685E9C122E}"/>
            </c:ext>
          </c:extLst>
        </c:ser>
        <c:dLbls>
          <c:showLegendKey val="0"/>
          <c:showVal val="0"/>
          <c:showCatName val="0"/>
          <c:showSerName val="0"/>
          <c:showPercent val="0"/>
          <c:showBubbleSize val="0"/>
        </c:dLbls>
        <c:smooth val="0"/>
        <c:axId val="481932592"/>
        <c:axId val="481917232"/>
      </c:lineChart>
      <c:catAx>
        <c:axId val="4819325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81917232"/>
        <c:crosses val="autoZero"/>
        <c:auto val="1"/>
        <c:lblAlgn val="ctr"/>
        <c:lblOffset val="100"/>
        <c:noMultiLvlLbl val="0"/>
      </c:catAx>
      <c:valAx>
        <c:axId val="48191723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8193259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4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Pt>
            <c:idx val="29"/>
            <c:invertIfNegative val="0"/>
            <c:bubble3D val="0"/>
            <c:spPr>
              <a:solidFill>
                <a:srgbClr val="C00000"/>
              </a:soli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1-12AE-4F11-A362-2FBBB2033E6F}"/>
              </c:ext>
            </c:extLst>
          </c:dPt>
          <c:dPt>
            <c:idx val="37"/>
            <c:invertIfNegative val="0"/>
            <c:bubble3D val="0"/>
            <c:spPr>
              <a:solidFill>
                <a:srgbClr val="FF0000"/>
              </a:solidFill>
              <a:ln>
                <a:solidFill>
                  <a:srgbClr val="7030A0"/>
                </a:solid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3-12AE-4F11-A362-2FBBB2033E6F}"/>
              </c:ext>
            </c:extLst>
          </c:dPt>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ro-R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Countries_2024_All!$A$2:$A$39</c:f>
              <c:strCache>
                <c:ptCount val="38"/>
                <c:pt idx="0">
                  <c:v>Austria</c:v>
                </c:pt>
                <c:pt idx="1">
                  <c:v>Bulgaria</c:v>
                </c:pt>
                <c:pt idx="2">
                  <c:v>Cehia</c:v>
                </c:pt>
                <c:pt idx="3">
                  <c:v>Cipru</c:v>
                </c:pt>
                <c:pt idx="4">
                  <c:v>Croaţia</c:v>
                </c:pt>
                <c:pt idx="5">
                  <c:v>Danemarca</c:v>
                </c:pt>
                <c:pt idx="6">
                  <c:v>Estonia</c:v>
                </c:pt>
                <c:pt idx="7">
                  <c:v>Feroe</c:v>
                </c:pt>
                <c:pt idx="8">
                  <c:v>Finlanda</c:v>
                </c:pt>
                <c:pt idx="9">
                  <c:v>Franţa</c:v>
                </c:pt>
                <c:pt idx="10">
                  <c:v>Georgia</c:v>
                </c:pt>
                <c:pt idx="11">
                  <c:v>Germania</c:v>
                </c:pt>
                <c:pt idx="12">
                  <c:v>Grecia</c:v>
                </c:pt>
                <c:pt idx="13">
                  <c:v>Irlanda</c:v>
                </c:pt>
                <c:pt idx="14">
                  <c:v>Islanda</c:v>
                </c:pt>
                <c:pt idx="15">
                  <c:v>Italia</c:v>
                </c:pt>
                <c:pt idx="16">
                  <c:v>Kosovo</c:v>
                </c:pt>
                <c:pt idx="17">
                  <c:v>Letonia</c:v>
                </c:pt>
                <c:pt idx="18">
                  <c:v>Liechtenstein</c:v>
                </c:pt>
                <c:pt idx="19">
                  <c:v>Lituania</c:v>
                </c:pt>
                <c:pt idx="20">
                  <c:v>Macedonia de Nord</c:v>
                </c:pt>
                <c:pt idx="21">
                  <c:v>Malta</c:v>
                </c:pt>
                <c:pt idx="22">
                  <c:v>Moldova</c:v>
                </c:pt>
                <c:pt idx="23">
                  <c:v>Monaco</c:v>
                </c:pt>
                <c:pt idx="24">
                  <c:v>Muntenegru</c:v>
                </c:pt>
                <c:pt idx="25">
                  <c:v>Norvegia</c:v>
                </c:pt>
                <c:pt idx="26">
                  <c:v>Țările de Jos</c:v>
                </c:pt>
                <c:pt idx="27">
                  <c:v>Polonia</c:v>
                </c:pt>
                <c:pt idx="28">
                  <c:v>Portugalia</c:v>
                </c:pt>
                <c:pt idx="29">
                  <c:v>România</c:v>
                </c:pt>
                <c:pt idx="30">
                  <c:v>Serbia</c:v>
                </c:pt>
                <c:pt idx="31">
                  <c:v>Slovacia</c:v>
                </c:pt>
                <c:pt idx="32">
                  <c:v>Slovenia</c:v>
                </c:pt>
                <c:pt idx="33">
                  <c:v>Spania</c:v>
                </c:pt>
                <c:pt idx="34">
                  <c:v>Suedia</c:v>
                </c:pt>
                <c:pt idx="35">
                  <c:v>Ucraina</c:v>
                </c:pt>
                <c:pt idx="36">
                  <c:v>Ungaria</c:v>
                </c:pt>
                <c:pt idx="37">
                  <c:v>Media ESPAD</c:v>
                </c:pt>
              </c:strCache>
            </c:strRef>
          </c:cat>
          <c:val>
            <c:numRef>
              <c:f>Countries_2024_All!$I$2:$I$39</c:f>
              <c:numCache>
                <c:formatCode>General</c:formatCode>
                <c:ptCount val="38"/>
                <c:pt idx="0">
                  <c:v>54.96</c:v>
                </c:pt>
                <c:pt idx="1">
                  <c:v>52.71</c:v>
                </c:pt>
                <c:pt idx="2">
                  <c:v>57.24</c:v>
                </c:pt>
                <c:pt idx="3">
                  <c:v>36.18</c:v>
                </c:pt>
                <c:pt idx="4">
                  <c:v>56.6</c:v>
                </c:pt>
                <c:pt idx="5">
                  <c:v>42.91</c:v>
                </c:pt>
                <c:pt idx="6">
                  <c:v>55.89</c:v>
                </c:pt>
                <c:pt idx="7">
                  <c:v>44.51</c:v>
                </c:pt>
                <c:pt idx="8">
                  <c:v>41.98</c:v>
                </c:pt>
                <c:pt idx="9">
                  <c:v>39.32</c:v>
                </c:pt>
                <c:pt idx="10">
                  <c:v>44.42</c:v>
                </c:pt>
                <c:pt idx="11">
                  <c:v>49.21</c:v>
                </c:pt>
                <c:pt idx="12">
                  <c:v>53.55</c:v>
                </c:pt>
                <c:pt idx="13">
                  <c:v>34.200000000000003</c:v>
                </c:pt>
                <c:pt idx="14">
                  <c:v>30.38</c:v>
                </c:pt>
                <c:pt idx="15">
                  <c:v>49.48</c:v>
                </c:pt>
                <c:pt idx="16">
                  <c:v>52.82</c:v>
                </c:pt>
                <c:pt idx="17">
                  <c:v>52.39</c:v>
                </c:pt>
                <c:pt idx="18">
                  <c:v>53.89</c:v>
                </c:pt>
                <c:pt idx="19">
                  <c:v>52.87</c:v>
                </c:pt>
                <c:pt idx="20">
                  <c:v>40.9</c:v>
                </c:pt>
                <c:pt idx="21">
                  <c:v>27.67</c:v>
                </c:pt>
                <c:pt idx="22">
                  <c:v>45.76</c:v>
                </c:pt>
                <c:pt idx="23">
                  <c:v>45.2</c:v>
                </c:pt>
                <c:pt idx="24">
                  <c:v>37.17</c:v>
                </c:pt>
                <c:pt idx="25">
                  <c:v>40.92</c:v>
                </c:pt>
                <c:pt idx="26">
                  <c:v>40.93</c:v>
                </c:pt>
                <c:pt idx="27">
                  <c:v>56.91</c:v>
                </c:pt>
                <c:pt idx="28">
                  <c:v>27.52</c:v>
                </c:pt>
                <c:pt idx="29">
                  <c:v>56.42</c:v>
                </c:pt>
                <c:pt idx="30">
                  <c:v>53.72</c:v>
                </c:pt>
                <c:pt idx="31">
                  <c:v>59.82</c:v>
                </c:pt>
                <c:pt idx="32">
                  <c:v>50.25</c:v>
                </c:pt>
                <c:pt idx="33">
                  <c:v>50.78</c:v>
                </c:pt>
                <c:pt idx="34">
                  <c:v>43.96</c:v>
                </c:pt>
                <c:pt idx="35">
                  <c:v>42.8</c:v>
                </c:pt>
                <c:pt idx="36">
                  <c:v>61.37</c:v>
                </c:pt>
                <c:pt idx="37">
                  <c:v>46.56</c:v>
                </c:pt>
              </c:numCache>
            </c:numRef>
          </c:val>
          <c:extLst>
            <c:ext xmlns:c16="http://schemas.microsoft.com/office/drawing/2014/chart" uri="{C3380CC4-5D6E-409C-BE32-E72D297353CC}">
              <c16:uniqueId val="{00000004-12AE-4F11-A362-2FBBB2033E6F}"/>
            </c:ext>
          </c:extLst>
        </c:ser>
        <c:dLbls>
          <c:showLegendKey val="0"/>
          <c:showVal val="0"/>
          <c:showCatName val="0"/>
          <c:showSerName val="0"/>
          <c:showPercent val="0"/>
          <c:showBubbleSize val="0"/>
        </c:dLbls>
        <c:gapWidth val="100"/>
        <c:overlap val="-24"/>
        <c:axId val="1083165248"/>
        <c:axId val="1083149888"/>
      </c:barChart>
      <c:catAx>
        <c:axId val="1083165248"/>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83149888"/>
        <c:crosses val="autoZero"/>
        <c:auto val="1"/>
        <c:lblAlgn val="ctr"/>
        <c:lblOffset val="100"/>
        <c:noMultiLvlLbl val="0"/>
      </c:catAx>
      <c:valAx>
        <c:axId val="108314988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83165248"/>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a:t>
            </a:r>
            <a:endParaRPr lang="ro-RO"/>
          </a:p>
        </c:rich>
      </c:tx>
      <c:overlay val="1"/>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o-RO"/>
        </a:p>
      </c:txPr>
    </c:title>
    <c:autoTitleDeleted val="0"/>
    <c:plotArea>
      <c:layout/>
      <c:barChart>
        <c:barDir val="col"/>
        <c:grouping val="clustered"/>
        <c:varyColors val="0"/>
        <c:ser>
          <c:idx val="0"/>
          <c:order val="0"/>
          <c:tx>
            <c:strRef>
              <c:f>'51'!$D$4</c:f>
              <c:strCache>
                <c:ptCount val="1"/>
                <c:pt idx="0">
                  <c:v> Zilnic</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o-R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('51'!$A$16,'51'!$A$25)</c:f>
              <c:strCache>
                <c:ptCount val="2"/>
                <c:pt idx="0">
                  <c:v>Masculin</c:v>
                </c:pt>
                <c:pt idx="1">
                  <c:v>Feminin</c:v>
                </c:pt>
              </c:strCache>
            </c:strRef>
          </c:cat>
          <c:val>
            <c:numRef>
              <c:f>('51'!$D$16,'51'!$D$25)</c:f>
              <c:numCache>
                <c:formatCode>0.00</c:formatCode>
                <c:ptCount val="2"/>
                <c:pt idx="0">
                  <c:v>30.42</c:v>
                </c:pt>
                <c:pt idx="1">
                  <c:v>7.66</c:v>
                </c:pt>
              </c:numCache>
            </c:numRef>
          </c:val>
          <c:extLst>
            <c:ext xmlns:c16="http://schemas.microsoft.com/office/drawing/2014/chart" uri="{C3380CC4-5D6E-409C-BE32-E72D297353CC}">
              <c16:uniqueId val="{00000000-19B7-42D3-A714-3BD88FC3DEB5}"/>
            </c:ext>
          </c:extLst>
        </c:ser>
        <c:ser>
          <c:idx val="1"/>
          <c:order val="1"/>
          <c:tx>
            <c:strRef>
              <c:f>'51'!$E$4</c:f>
              <c:strCache>
                <c:ptCount val="1"/>
                <c:pt idx="0">
                  <c:v>Ocazional</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o-R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('51'!$A$16,'51'!$A$25)</c:f>
              <c:strCache>
                <c:ptCount val="2"/>
                <c:pt idx="0">
                  <c:v>Masculin</c:v>
                </c:pt>
                <c:pt idx="1">
                  <c:v>Feminin</c:v>
                </c:pt>
              </c:strCache>
            </c:strRef>
          </c:cat>
          <c:val>
            <c:numRef>
              <c:f>('51'!$E$16,'51'!$E$25)</c:f>
              <c:numCache>
                <c:formatCode>0.00</c:formatCode>
                <c:ptCount val="2"/>
                <c:pt idx="0">
                  <c:v>10.35</c:v>
                </c:pt>
                <c:pt idx="1">
                  <c:v>6.06</c:v>
                </c:pt>
              </c:numCache>
            </c:numRef>
          </c:val>
          <c:extLst>
            <c:ext xmlns:c16="http://schemas.microsoft.com/office/drawing/2014/chart" uri="{C3380CC4-5D6E-409C-BE32-E72D297353CC}">
              <c16:uniqueId val="{00000001-19B7-42D3-A714-3BD88FC3DEB5}"/>
            </c:ext>
          </c:extLst>
        </c:ser>
        <c:dLbls>
          <c:showLegendKey val="0"/>
          <c:showVal val="0"/>
          <c:showCatName val="0"/>
          <c:showSerName val="0"/>
          <c:showPercent val="0"/>
          <c:showBubbleSize val="0"/>
        </c:dLbls>
        <c:gapWidth val="219"/>
        <c:overlap val="-27"/>
        <c:axId val="1665063471"/>
        <c:axId val="1665066351"/>
      </c:barChart>
      <c:catAx>
        <c:axId val="166506347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o-RO"/>
          </a:p>
        </c:txPr>
        <c:crossAx val="1665066351"/>
        <c:crosses val="autoZero"/>
        <c:auto val="1"/>
        <c:lblAlgn val="ctr"/>
        <c:lblOffset val="100"/>
        <c:noMultiLvlLbl val="0"/>
      </c:catAx>
      <c:valAx>
        <c:axId val="1665066351"/>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o-RO"/>
          </a:p>
        </c:txPr>
        <c:crossAx val="1665063471"/>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ro-RO"/>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o-RO"/>
    </a:p>
  </c:txPr>
  <c:externalData r:id="rId4">
    <c:autoUpdate val="0"/>
  </c:externalData>
</c:chartSpace>
</file>

<file path=word/charts/chart5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v>Băieți (RO)</c:v>
          </c:tx>
          <c:spPr>
            <a:ln w="28575" cap="rnd">
              <a:solidFill>
                <a:schemeClr val="tx2"/>
              </a:solidFill>
              <a:round/>
            </a:ln>
            <a:effectLst/>
          </c:spPr>
          <c:marker>
            <c:symbol val="none"/>
          </c:marker>
          <c:dLbls>
            <c:dLbl>
              <c:idx val="0"/>
              <c:layout>
                <c:manualLayout>
                  <c:x val="-6.795547744581136E-2"/>
                  <c:y val="-4.444444444444448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9A39-44EE-BBCC-55691F8A2B4F}"/>
                </c:ext>
              </c:extLst>
            </c:dLbl>
            <c:dLbl>
              <c:idx val="1"/>
              <c:layout>
                <c:manualLayout>
                  <c:x val="-1.1716461628588167E-2"/>
                  <c:y val="-0.0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9A39-44EE-BBCC-55691F8A2B4F}"/>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'Boys_Girls _line'!$H$1:$I$1</c:f>
              <c:numCache>
                <c:formatCode>General</c:formatCode>
                <c:ptCount val="2"/>
                <c:pt idx="0">
                  <c:v>2019</c:v>
                </c:pt>
                <c:pt idx="1">
                  <c:v>2024</c:v>
                </c:pt>
              </c:numCache>
              <c:extLst/>
            </c:numRef>
          </c:cat>
          <c:val>
            <c:numRef>
              <c:f>'Boys_Girls _line'!$H$22:$I$22</c:f>
              <c:numCache>
                <c:formatCode>General</c:formatCode>
                <c:ptCount val="2"/>
                <c:pt idx="0">
                  <c:v>69.81</c:v>
                </c:pt>
                <c:pt idx="1">
                  <c:v>51.14</c:v>
                </c:pt>
              </c:numCache>
              <c:extLst/>
            </c:numRef>
          </c:val>
          <c:smooth val="0"/>
          <c:extLst>
            <c:ext xmlns:c16="http://schemas.microsoft.com/office/drawing/2014/chart" uri="{C3380CC4-5D6E-409C-BE32-E72D297353CC}">
              <c16:uniqueId val="{00000002-9A39-44EE-BBCC-55691F8A2B4F}"/>
            </c:ext>
          </c:extLst>
        </c:ser>
        <c:ser>
          <c:idx val="2"/>
          <c:order val="1"/>
          <c:tx>
            <c:v>Fete (RO)</c:v>
          </c:tx>
          <c:spPr>
            <a:ln w="28575" cap="rnd">
              <a:solidFill>
                <a:schemeClr val="accent2"/>
              </a:solidFill>
              <a:round/>
            </a:ln>
            <a:effectLst/>
          </c:spPr>
          <c:marker>
            <c:symbol val="none"/>
          </c:marker>
          <c:dLbls>
            <c:dLbl>
              <c:idx val="0"/>
              <c:layout>
                <c:manualLayout>
                  <c:x val="-3.5149384885764502E-2"/>
                  <c:y val="0.0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9A39-44EE-BBCC-55691F8A2B4F}"/>
                </c:ext>
              </c:extLst>
            </c:dLbl>
            <c:dLbl>
              <c:idx val="1"/>
              <c:layout>
                <c:manualLayout>
                  <c:x val="-1.4059753954305972E-2"/>
                  <c:y val="-3.11111111111111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9A39-44EE-BBCC-55691F8A2B4F}"/>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o-R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Lit>
              <c:ptCount val="2"/>
              <c:pt idx="0">
                <c:v>2019</c:v>
              </c:pt>
              <c:pt idx="1">
                <c:v>2024</c:v>
              </c:pt>
              <c:extLst>
                <c:ext xmlns:c15="http://schemas.microsoft.com/office/drawing/2012/chart" uri="{02D57815-91ED-43cb-92C2-25804820EDAC}">
                  <c15:autoCat val="1"/>
                </c:ext>
              </c:extLst>
            </c:strLit>
          </c:cat>
          <c:val>
            <c:numRef>
              <c:f>Girls!$H$22:$I$22</c:f>
              <c:numCache>
                <c:formatCode>General</c:formatCode>
                <c:ptCount val="2"/>
                <c:pt idx="0">
                  <c:v>68.87</c:v>
                </c:pt>
                <c:pt idx="1">
                  <c:v>61.35</c:v>
                </c:pt>
              </c:numCache>
              <c:extLst/>
            </c:numRef>
          </c:val>
          <c:smooth val="0"/>
          <c:extLst>
            <c:ext xmlns:c16="http://schemas.microsoft.com/office/drawing/2014/chart" uri="{C3380CC4-5D6E-409C-BE32-E72D297353CC}">
              <c16:uniqueId val="{00000005-9A39-44EE-BBCC-55691F8A2B4F}"/>
            </c:ext>
          </c:extLst>
        </c:ser>
        <c:ser>
          <c:idx val="1"/>
          <c:order val="2"/>
          <c:tx>
            <c:v>Băieți (media ESPAD)</c:v>
          </c:tx>
          <c:spPr>
            <a:ln w="28575" cap="rnd">
              <a:solidFill>
                <a:schemeClr val="accent4">
                  <a:lumMod val="40000"/>
                  <a:lumOff val="60000"/>
                </a:schemeClr>
              </a:solidFill>
              <a:round/>
            </a:ln>
            <a:effectLst/>
          </c:spPr>
          <c:marker>
            <c:symbol val="none"/>
          </c:marker>
          <c:dLbls>
            <c:dLbl>
              <c:idx val="0"/>
              <c:layout>
                <c:manualLayout>
                  <c:x val="-8.4358523725834841E-2"/>
                  <c:y val="-4.0740270105663978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9A39-44EE-BBCC-55691F8A2B4F}"/>
                </c:ext>
              </c:extLst>
            </c:dLbl>
            <c:dLbl>
              <c:idx val="1"/>
              <c:layout>
                <c:manualLayout>
                  <c:x val="-1.6403046280023433E-2"/>
                  <c:y val="4.888888888888889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9A39-44EE-BBCC-55691F8A2B4F}"/>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'Boys_Girls _line'!$H$1:$I$1</c:f>
              <c:numCache>
                <c:formatCode>General</c:formatCode>
                <c:ptCount val="2"/>
                <c:pt idx="0">
                  <c:v>2019</c:v>
                </c:pt>
                <c:pt idx="1">
                  <c:v>2024</c:v>
                </c:pt>
              </c:numCache>
              <c:extLst/>
            </c:numRef>
          </c:cat>
          <c:val>
            <c:numRef>
              <c:f>'Boys_Girls _line'!$H$44:$I$44</c:f>
              <c:numCache>
                <c:formatCode>General</c:formatCode>
                <c:ptCount val="2"/>
                <c:pt idx="0">
                  <c:v>56.56</c:v>
                </c:pt>
                <c:pt idx="1">
                  <c:v>43.72</c:v>
                </c:pt>
              </c:numCache>
              <c:extLst/>
            </c:numRef>
          </c:val>
          <c:smooth val="0"/>
          <c:extLst>
            <c:ext xmlns:c16="http://schemas.microsoft.com/office/drawing/2014/chart" uri="{C3380CC4-5D6E-409C-BE32-E72D297353CC}">
              <c16:uniqueId val="{00000008-9A39-44EE-BBCC-55691F8A2B4F}"/>
            </c:ext>
          </c:extLst>
        </c:ser>
        <c:ser>
          <c:idx val="3"/>
          <c:order val="3"/>
          <c:tx>
            <c:v>Fete (media ESPAD)</c:v>
          </c:tx>
          <c:spPr>
            <a:ln w="28575" cap="rnd">
              <a:solidFill>
                <a:schemeClr val="accent2">
                  <a:lumMod val="40000"/>
                  <a:lumOff val="60000"/>
                </a:schemeClr>
              </a:solidFill>
              <a:round/>
            </a:ln>
            <a:effectLst/>
          </c:spPr>
          <c:marker>
            <c:symbol val="none"/>
          </c:marker>
          <c:dLbls>
            <c:dLbl>
              <c:idx val="0"/>
              <c:layout>
                <c:manualLayout>
                  <c:x val="-8.4358523725834841E-2"/>
                  <c:y val="1.333333333333333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9A39-44EE-BBCC-55691F8A2B4F}"/>
                </c:ext>
              </c:extLst>
            </c:dLbl>
            <c:dLbl>
              <c:idx val="1"/>
              <c:layout>
                <c:manualLayout>
                  <c:x val="0"/>
                  <c:y val="2.222222222222222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9A39-44EE-BBCC-55691F8A2B4F}"/>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o-R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Lit>
              <c:ptCount val="2"/>
              <c:pt idx="0">
                <c:v>2019</c:v>
              </c:pt>
              <c:pt idx="1">
                <c:v>2024</c:v>
              </c:pt>
              <c:extLst>
                <c:ext xmlns:c15="http://schemas.microsoft.com/office/drawing/2012/chart" uri="{02D57815-91ED-43cb-92C2-25804820EDAC}">
                  <c15:autoCat val="1"/>
                </c:ext>
              </c:extLst>
            </c:strLit>
          </c:cat>
          <c:val>
            <c:numRef>
              <c:f>Girls!$H$44:$I$44</c:f>
              <c:numCache>
                <c:formatCode>General</c:formatCode>
                <c:ptCount val="2"/>
                <c:pt idx="0">
                  <c:v>49.61</c:v>
                </c:pt>
                <c:pt idx="1">
                  <c:v>49.46</c:v>
                </c:pt>
              </c:numCache>
              <c:extLst/>
            </c:numRef>
          </c:val>
          <c:smooth val="0"/>
          <c:extLst>
            <c:ext xmlns:c16="http://schemas.microsoft.com/office/drawing/2014/chart" uri="{C3380CC4-5D6E-409C-BE32-E72D297353CC}">
              <c16:uniqueId val="{0000000B-9A39-44EE-BBCC-55691F8A2B4F}"/>
            </c:ext>
          </c:extLst>
        </c:ser>
        <c:dLbls>
          <c:showLegendKey val="0"/>
          <c:showVal val="0"/>
          <c:showCatName val="0"/>
          <c:showSerName val="0"/>
          <c:showPercent val="0"/>
          <c:showBubbleSize val="0"/>
        </c:dLbls>
        <c:smooth val="0"/>
        <c:axId val="481932592"/>
        <c:axId val="481917232"/>
      </c:lineChart>
      <c:catAx>
        <c:axId val="4819325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81917232"/>
        <c:crosses val="autoZero"/>
        <c:auto val="1"/>
        <c:lblAlgn val="ctr"/>
        <c:lblOffset val="100"/>
        <c:noMultiLvlLbl val="0"/>
      </c:catAx>
      <c:valAx>
        <c:axId val="48191723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8193259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5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Pt>
            <c:idx val="29"/>
            <c:invertIfNegative val="0"/>
            <c:bubble3D val="0"/>
            <c:spPr>
              <a:solidFill>
                <a:srgbClr val="C00000"/>
              </a:soli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1-AF1C-4E5D-B7AD-7E2E490EAA1D}"/>
              </c:ext>
            </c:extLst>
          </c:dPt>
          <c:dPt>
            <c:idx val="37"/>
            <c:invertIfNegative val="0"/>
            <c:bubble3D val="0"/>
            <c:spPr>
              <a:solidFill>
                <a:srgbClr val="FF0000"/>
              </a:solidFill>
              <a:ln>
                <a:solidFill>
                  <a:srgbClr val="7030A0"/>
                </a:solid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3-AF1C-4E5D-B7AD-7E2E490EAA1D}"/>
              </c:ext>
            </c:extLst>
          </c:dPt>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ro-R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Countries_2024_All!$A$2:$A$39</c:f>
              <c:strCache>
                <c:ptCount val="38"/>
                <c:pt idx="0">
                  <c:v>Austria</c:v>
                </c:pt>
                <c:pt idx="1">
                  <c:v>Bulgaria</c:v>
                </c:pt>
                <c:pt idx="2">
                  <c:v>Cehia</c:v>
                </c:pt>
                <c:pt idx="3">
                  <c:v>Cipru</c:v>
                </c:pt>
                <c:pt idx="4">
                  <c:v>Croaţia</c:v>
                </c:pt>
                <c:pt idx="5">
                  <c:v>Danemarca</c:v>
                </c:pt>
                <c:pt idx="6">
                  <c:v>Estonia</c:v>
                </c:pt>
                <c:pt idx="7">
                  <c:v>Feroe</c:v>
                </c:pt>
                <c:pt idx="8">
                  <c:v>Finlanda</c:v>
                </c:pt>
                <c:pt idx="9">
                  <c:v>Franţa</c:v>
                </c:pt>
                <c:pt idx="10">
                  <c:v>Georgia</c:v>
                </c:pt>
                <c:pt idx="11">
                  <c:v>Germania</c:v>
                </c:pt>
                <c:pt idx="12">
                  <c:v>Grecia</c:v>
                </c:pt>
                <c:pt idx="13">
                  <c:v>Irlanda</c:v>
                </c:pt>
                <c:pt idx="14">
                  <c:v>Islanda</c:v>
                </c:pt>
                <c:pt idx="15">
                  <c:v>Italia</c:v>
                </c:pt>
                <c:pt idx="16">
                  <c:v>Kosovo</c:v>
                </c:pt>
                <c:pt idx="17">
                  <c:v>Letonia</c:v>
                </c:pt>
                <c:pt idx="18">
                  <c:v>Liechtenstein</c:v>
                </c:pt>
                <c:pt idx="19">
                  <c:v>Lituania</c:v>
                </c:pt>
                <c:pt idx="20">
                  <c:v>Macedonia de Nord</c:v>
                </c:pt>
                <c:pt idx="21">
                  <c:v>Malta</c:v>
                </c:pt>
                <c:pt idx="22">
                  <c:v>Moldova</c:v>
                </c:pt>
                <c:pt idx="23">
                  <c:v>Monaco</c:v>
                </c:pt>
                <c:pt idx="24">
                  <c:v>Muntenegru</c:v>
                </c:pt>
                <c:pt idx="25">
                  <c:v>Norvegia</c:v>
                </c:pt>
                <c:pt idx="26">
                  <c:v>Țările de Jos</c:v>
                </c:pt>
                <c:pt idx="27">
                  <c:v>Polonia</c:v>
                </c:pt>
                <c:pt idx="28">
                  <c:v>Portugalia</c:v>
                </c:pt>
                <c:pt idx="29">
                  <c:v>România</c:v>
                </c:pt>
                <c:pt idx="30">
                  <c:v>Serbia</c:v>
                </c:pt>
                <c:pt idx="31">
                  <c:v>Slovacia</c:v>
                </c:pt>
                <c:pt idx="32">
                  <c:v>Slovenia</c:v>
                </c:pt>
                <c:pt idx="33">
                  <c:v>Spania</c:v>
                </c:pt>
                <c:pt idx="34">
                  <c:v>Suedia</c:v>
                </c:pt>
                <c:pt idx="35">
                  <c:v>Ucraina</c:v>
                </c:pt>
                <c:pt idx="36">
                  <c:v>Ungaria</c:v>
                </c:pt>
                <c:pt idx="37">
                  <c:v>Media ESPAD</c:v>
                </c:pt>
              </c:strCache>
            </c:strRef>
          </c:cat>
          <c:val>
            <c:numRef>
              <c:f>Countries_2024_All!$F$2:$F$39</c:f>
              <c:numCache>
                <c:formatCode>General</c:formatCode>
                <c:ptCount val="38"/>
                <c:pt idx="0">
                  <c:v>33.659999999999997</c:v>
                </c:pt>
                <c:pt idx="1">
                  <c:v>39.72</c:v>
                </c:pt>
                <c:pt idx="2">
                  <c:v>37.11</c:v>
                </c:pt>
                <c:pt idx="3">
                  <c:v>23.03</c:v>
                </c:pt>
                <c:pt idx="4">
                  <c:v>43.63</c:v>
                </c:pt>
                <c:pt idx="5">
                  <c:v>23.59</c:v>
                </c:pt>
                <c:pt idx="6">
                  <c:v>27.9</c:v>
                </c:pt>
                <c:pt idx="7">
                  <c:v>18.399999999999999</c:v>
                </c:pt>
                <c:pt idx="8">
                  <c:v>24.08</c:v>
                </c:pt>
                <c:pt idx="9">
                  <c:v>17.7</c:v>
                </c:pt>
                <c:pt idx="10">
                  <c:v>21.66</c:v>
                </c:pt>
                <c:pt idx="11">
                  <c:v>31.3</c:v>
                </c:pt>
                <c:pt idx="12">
                  <c:v>36.380000000000003</c:v>
                </c:pt>
                <c:pt idx="13">
                  <c:v>18.09</c:v>
                </c:pt>
                <c:pt idx="14">
                  <c:v>13.52</c:v>
                </c:pt>
                <c:pt idx="15">
                  <c:v>32.549999999999997</c:v>
                </c:pt>
                <c:pt idx="16">
                  <c:v>42.78</c:v>
                </c:pt>
                <c:pt idx="17">
                  <c:v>28.36</c:v>
                </c:pt>
                <c:pt idx="18">
                  <c:v>35.33</c:v>
                </c:pt>
                <c:pt idx="19">
                  <c:v>26.97</c:v>
                </c:pt>
                <c:pt idx="20">
                  <c:v>28.75</c:v>
                </c:pt>
                <c:pt idx="21">
                  <c:v>14.62</c:v>
                </c:pt>
                <c:pt idx="22">
                  <c:v>23.1</c:v>
                </c:pt>
                <c:pt idx="23">
                  <c:v>25.76</c:v>
                </c:pt>
                <c:pt idx="24">
                  <c:v>23.45</c:v>
                </c:pt>
                <c:pt idx="25">
                  <c:v>13</c:v>
                </c:pt>
                <c:pt idx="26">
                  <c:v>24.95</c:v>
                </c:pt>
                <c:pt idx="27">
                  <c:v>39.020000000000003</c:v>
                </c:pt>
                <c:pt idx="28">
                  <c:v>14.65</c:v>
                </c:pt>
                <c:pt idx="29">
                  <c:v>36.99</c:v>
                </c:pt>
                <c:pt idx="30">
                  <c:v>42.51</c:v>
                </c:pt>
                <c:pt idx="31">
                  <c:v>40.25</c:v>
                </c:pt>
                <c:pt idx="32">
                  <c:v>36.21</c:v>
                </c:pt>
                <c:pt idx="33">
                  <c:v>29.8</c:v>
                </c:pt>
                <c:pt idx="34">
                  <c:v>22.41</c:v>
                </c:pt>
                <c:pt idx="35">
                  <c:v>27.7</c:v>
                </c:pt>
                <c:pt idx="36">
                  <c:v>42.93</c:v>
                </c:pt>
                <c:pt idx="37">
                  <c:v>28.41</c:v>
                </c:pt>
              </c:numCache>
            </c:numRef>
          </c:val>
          <c:extLst>
            <c:ext xmlns:c16="http://schemas.microsoft.com/office/drawing/2014/chart" uri="{C3380CC4-5D6E-409C-BE32-E72D297353CC}">
              <c16:uniqueId val="{00000004-AF1C-4E5D-B7AD-7E2E490EAA1D}"/>
            </c:ext>
          </c:extLst>
        </c:ser>
        <c:dLbls>
          <c:showLegendKey val="0"/>
          <c:showVal val="0"/>
          <c:showCatName val="0"/>
          <c:showSerName val="0"/>
          <c:showPercent val="0"/>
          <c:showBubbleSize val="0"/>
        </c:dLbls>
        <c:gapWidth val="100"/>
        <c:overlap val="-24"/>
        <c:axId val="1083165248"/>
        <c:axId val="1083149888"/>
      </c:barChart>
      <c:catAx>
        <c:axId val="1083165248"/>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83149888"/>
        <c:crosses val="autoZero"/>
        <c:auto val="1"/>
        <c:lblAlgn val="ctr"/>
        <c:lblOffset val="100"/>
        <c:noMultiLvlLbl val="0"/>
      </c:catAx>
      <c:valAx>
        <c:axId val="108314988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83165248"/>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5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v>Băieți (RO)</c:v>
          </c:tx>
          <c:spPr>
            <a:ln w="28575" cap="rnd">
              <a:solidFill>
                <a:schemeClr val="tx2"/>
              </a:solidFill>
              <a:round/>
            </a:ln>
            <a:effectLst/>
          </c:spPr>
          <c:marker>
            <c:symbol val="none"/>
          </c:marker>
          <c:dLbls>
            <c:dLbl>
              <c:idx val="0"/>
              <c:layout>
                <c:manualLayout>
                  <c:x val="-7.2542618788538266E-2"/>
                  <c:y val="0.0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B248-4E15-B1D3-E4DD426CB563}"/>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'Boys_Girls _line'!$H$1:$I$1</c:f>
              <c:numCache>
                <c:formatCode>General</c:formatCode>
                <c:ptCount val="2"/>
                <c:pt idx="0">
                  <c:v>2019</c:v>
                </c:pt>
                <c:pt idx="1">
                  <c:v>2024</c:v>
                </c:pt>
              </c:numCache>
              <c:extLst/>
            </c:numRef>
          </c:cat>
          <c:val>
            <c:numRef>
              <c:f>'Boys_Girls _line'!$H$18:$I$18</c:f>
              <c:numCache>
                <c:formatCode>General</c:formatCode>
                <c:ptCount val="2"/>
                <c:pt idx="0">
                  <c:v>38.35</c:v>
                </c:pt>
                <c:pt idx="1">
                  <c:v>31.09</c:v>
                </c:pt>
              </c:numCache>
              <c:extLst/>
            </c:numRef>
          </c:val>
          <c:smooth val="0"/>
          <c:extLst>
            <c:ext xmlns:c16="http://schemas.microsoft.com/office/drawing/2014/chart" uri="{C3380CC4-5D6E-409C-BE32-E72D297353CC}">
              <c16:uniqueId val="{00000001-B248-4E15-B1D3-E4DD426CB563}"/>
            </c:ext>
          </c:extLst>
        </c:ser>
        <c:ser>
          <c:idx val="2"/>
          <c:order val="1"/>
          <c:tx>
            <c:v>Fete (RO)</c:v>
          </c:tx>
          <c:spPr>
            <a:ln w="28575" cap="rnd">
              <a:solidFill>
                <a:schemeClr val="accent2"/>
              </a:solidFill>
              <a:round/>
            </a:ln>
            <a:effectLst/>
          </c:spPr>
          <c:marker>
            <c:symbol val="none"/>
          </c:marker>
          <c:dLbls>
            <c:dLbl>
              <c:idx val="0"/>
              <c:layout>
                <c:manualLayout>
                  <c:x val="-9.1887317132148469E-2"/>
                  <c:y val="-1.777777777777779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B248-4E15-B1D3-E4DD426CB563}"/>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o-R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Lit>
              <c:ptCount val="2"/>
              <c:pt idx="0">
                <c:v>2019</c:v>
              </c:pt>
              <c:pt idx="1">
                <c:v>2024</c:v>
              </c:pt>
              <c:extLst>
                <c:ext xmlns:c15="http://schemas.microsoft.com/office/drawing/2012/chart" uri="{02D57815-91ED-43cb-92C2-25804820EDAC}">
                  <c15:autoCat val="1"/>
                </c:ext>
              </c:extLst>
            </c:strLit>
          </c:cat>
          <c:val>
            <c:numRef>
              <c:f>Girls!$H$18:$I$18</c:f>
              <c:numCache>
                <c:formatCode>General</c:formatCode>
                <c:ptCount val="2"/>
                <c:pt idx="0">
                  <c:v>40.78</c:v>
                </c:pt>
                <c:pt idx="1">
                  <c:v>42.54</c:v>
                </c:pt>
              </c:numCache>
              <c:extLst/>
            </c:numRef>
          </c:val>
          <c:smooth val="0"/>
          <c:extLst>
            <c:ext xmlns:c16="http://schemas.microsoft.com/office/drawing/2014/chart" uri="{C3380CC4-5D6E-409C-BE32-E72D297353CC}">
              <c16:uniqueId val="{00000003-B248-4E15-B1D3-E4DD426CB563}"/>
            </c:ext>
          </c:extLst>
        </c:ser>
        <c:ser>
          <c:idx val="1"/>
          <c:order val="2"/>
          <c:tx>
            <c:v>Băieți (media ESPAD)</c:v>
          </c:tx>
          <c:spPr>
            <a:ln w="28575" cap="rnd">
              <a:solidFill>
                <a:schemeClr val="accent4">
                  <a:lumMod val="40000"/>
                  <a:lumOff val="60000"/>
                </a:schemeClr>
              </a:solidFill>
              <a:round/>
            </a:ln>
            <a:effectLst/>
          </c:spPr>
          <c:marker>
            <c:symbol val="none"/>
          </c:marker>
          <c:dLbls>
            <c:dLbl>
              <c:idx val="0"/>
              <c:layout>
                <c:manualLayout>
                  <c:x val="-5.3197920444928153E-2"/>
                  <c:y val="-2.222222222222222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B248-4E15-B1D3-E4DD426CB563}"/>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'Boys_Girls _line'!$H$1:$I$1</c:f>
              <c:numCache>
                <c:formatCode>General</c:formatCode>
                <c:ptCount val="2"/>
                <c:pt idx="0">
                  <c:v>2019</c:v>
                </c:pt>
                <c:pt idx="1">
                  <c:v>2024</c:v>
                </c:pt>
              </c:numCache>
              <c:extLst/>
            </c:numRef>
          </c:cat>
          <c:val>
            <c:numRef>
              <c:f>'Boys_Girls _line'!$H$40:$I$40</c:f>
              <c:numCache>
                <c:formatCode>General</c:formatCode>
                <c:ptCount val="2"/>
                <c:pt idx="0">
                  <c:v>28.33</c:v>
                </c:pt>
                <c:pt idx="1">
                  <c:v>25.7</c:v>
                </c:pt>
              </c:numCache>
              <c:extLst/>
            </c:numRef>
          </c:val>
          <c:smooth val="0"/>
          <c:extLst>
            <c:ext xmlns:c16="http://schemas.microsoft.com/office/drawing/2014/chart" uri="{C3380CC4-5D6E-409C-BE32-E72D297353CC}">
              <c16:uniqueId val="{00000005-B248-4E15-B1D3-E4DD426CB563}"/>
            </c:ext>
          </c:extLst>
        </c:ser>
        <c:ser>
          <c:idx val="3"/>
          <c:order val="3"/>
          <c:tx>
            <c:v>Fete (media ESPAD)</c:v>
          </c:tx>
          <c:spPr>
            <a:ln w="28575" cap="rnd">
              <a:solidFill>
                <a:schemeClr val="accent2">
                  <a:lumMod val="40000"/>
                  <a:lumOff val="60000"/>
                </a:schemeClr>
              </a:solidFill>
              <a:round/>
            </a:ln>
            <a:effectLst/>
          </c:spPr>
          <c:marker>
            <c:symbol val="none"/>
          </c:marker>
          <c:dLbls>
            <c:dLbl>
              <c:idx val="0"/>
              <c:layout>
                <c:manualLayout>
                  <c:x val="-2.176278563656148E-2"/>
                  <c:y val="5.333333333333333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B248-4E15-B1D3-E4DD426CB563}"/>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o-R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Lit>
              <c:ptCount val="2"/>
              <c:pt idx="0">
                <c:v>2019</c:v>
              </c:pt>
              <c:pt idx="1">
                <c:v>2024</c:v>
              </c:pt>
              <c:extLst>
                <c:ext xmlns:c15="http://schemas.microsoft.com/office/drawing/2012/chart" uri="{02D57815-91ED-43cb-92C2-25804820EDAC}">
                  <c15:autoCat val="1"/>
                </c:ext>
              </c:extLst>
            </c:strLit>
          </c:cat>
          <c:val>
            <c:numRef>
              <c:f>Girls!$H$40:$I$40</c:f>
              <c:numCache>
                <c:formatCode>General</c:formatCode>
                <c:ptCount val="2"/>
                <c:pt idx="0">
                  <c:v>25.44</c:v>
                </c:pt>
                <c:pt idx="1">
                  <c:v>31.03</c:v>
                </c:pt>
              </c:numCache>
              <c:extLst/>
            </c:numRef>
          </c:val>
          <c:smooth val="0"/>
          <c:extLst>
            <c:ext xmlns:c16="http://schemas.microsoft.com/office/drawing/2014/chart" uri="{C3380CC4-5D6E-409C-BE32-E72D297353CC}">
              <c16:uniqueId val="{00000007-B248-4E15-B1D3-E4DD426CB563}"/>
            </c:ext>
          </c:extLst>
        </c:ser>
        <c:dLbls>
          <c:showLegendKey val="0"/>
          <c:showVal val="0"/>
          <c:showCatName val="0"/>
          <c:showSerName val="0"/>
          <c:showPercent val="0"/>
          <c:showBubbleSize val="0"/>
        </c:dLbls>
        <c:smooth val="0"/>
        <c:axId val="481932592"/>
        <c:axId val="481917232"/>
      </c:lineChart>
      <c:catAx>
        <c:axId val="4819325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81917232"/>
        <c:crosses val="autoZero"/>
        <c:auto val="1"/>
        <c:lblAlgn val="ctr"/>
        <c:lblOffset val="100"/>
        <c:noMultiLvlLbl val="0"/>
      </c:catAx>
      <c:valAx>
        <c:axId val="48191723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8193259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5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3"/>
          <c:order val="3"/>
          <c:tx>
            <c:strRef>
              <c:f>Death_Tobacco!$O$2</c:f>
              <c:strCache>
                <c:ptCount val="1"/>
                <c:pt idx="0">
                  <c:v>România</c:v>
                </c:pt>
              </c:strCache>
            </c:strRef>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Pt>
            <c:idx val="0"/>
            <c:invertIfNegative val="0"/>
            <c:bubble3D val="0"/>
            <c:spPr>
              <a:solidFill>
                <a:srgbClr val="00B9F2">
                  <a:lumMod val="75000"/>
                </a:srgbClr>
              </a:solidFill>
              <a:ln>
                <a:solidFill>
                  <a:srgbClr val="00B9F2">
                    <a:lumMod val="75000"/>
                  </a:srgbClr>
                </a:solid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4-5375-493D-86BB-2D7A7DBA4C4E}"/>
              </c:ext>
            </c:extLst>
          </c:dPt>
          <c:dLbls>
            <c:spPr>
              <a:noFill/>
              <a:ln>
                <a:noFill/>
              </a:ln>
              <a:effectLst/>
            </c:spPr>
            <c:txPr>
              <a:bodyPr rot="-5400000" spcFirstLastPara="1" vertOverflow="ellipsis"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ro-R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(Death_Tobacco!$I$3:$I$4,Death_Tobacco!$I$6:$I$12)</c:f>
              <c:strCache>
                <c:ptCount val="9"/>
                <c:pt idx="0">
                  <c:v>Toate cauzele</c:v>
                </c:pt>
                <c:pt idx="1">
                  <c:v>Boli cardiovasculare</c:v>
                </c:pt>
                <c:pt idx="2">
                  <c:v>Cancere</c:v>
                </c:pt>
                <c:pt idx="3">
                  <c:v>Boala ischemică cardiacă</c:v>
                </c:pt>
                <c:pt idx="4">
                  <c:v>Cancer bronhopulmonar</c:v>
                </c:pt>
                <c:pt idx="5">
                  <c:v>Accident vascular cerebral</c:v>
                </c:pt>
                <c:pt idx="6">
                  <c:v>Afecțiuni respiratorii cronice</c:v>
                </c:pt>
                <c:pt idx="7">
                  <c:v>BPCO</c:v>
                </c:pt>
                <c:pt idx="8">
                  <c:v>Cancer de laringe</c:v>
                </c:pt>
              </c:strCache>
              <c:extLst/>
            </c:strRef>
          </c:cat>
          <c:val>
            <c:numRef>
              <c:f>(Death_Tobacco!$O$3:$O$4,Death_Tobacco!$O$6:$O$12)</c:f>
              <c:numCache>
                <c:formatCode>0</c:formatCode>
                <c:ptCount val="9"/>
                <c:pt idx="0">
                  <c:v>30218.002669139201</c:v>
                </c:pt>
                <c:pt idx="1">
                  <c:v>13482.977449796001</c:v>
                </c:pt>
                <c:pt idx="2">
                  <c:v>11779.8041120623</c:v>
                </c:pt>
                <c:pt idx="3">
                  <c:v>8773.0198850924698</c:v>
                </c:pt>
                <c:pt idx="4">
                  <c:v>6990.5888113621904</c:v>
                </c:pt>
                <c:pt idx="5">
                  <c:v>4339.711272687</c:v>
                </c:pt>
                <c:pt idx="6">
                  <c:v>2474.2924247972001</c:v>
                </c:pt>
                <c:pt idx="7">
                  <c:v>2451.7053848221999</c:v>
                </c:pt>
                <c:pt idx="8">
                  <c:v>770.11603247129403</c:v>
                </c:pt>
              </c:numCache>
              <c:extLst/>
            </c:numRef>
          </c:val>
          <c:extLst>
            <c:ext xmlns:c16="http://schemas.microsoft.com/office/drawing/2014/chart" uri="{C3380CC4-5D6E-409C-BE32-E72D297353CC}">
              <c16:uniqueId val="{00000000-5375-493D-86BB-2D7A7DBA4C4E}"/>
            </c:ext>
          </c:extLst>
        </c:ser>
        <c:dLbls>
          <c:dLblPos val="outEnd"/>
          <c:showLegendKey val="0"/>
          <c:showVal val="1"/>
          <c:showCatName val="0"/>
          <c:showSerName val="0"/>
          <c:showPercent val="0"/>
          <c:showBubbleSize val="0"/>
        </c:dLbls>
        <c:gapWidth val="100"/>
        <c:overlap val="-24"/>
        <c:axId val="899097072"/>
        <c:axId val="899094192"/>
        <c:extLst>
          <c:ext xmlns:c15="http://schemas.microsoft.com/office/drawing/2012/chart" uri="{02D57815-91ED-43cb-92C2-25804820EDAC}">
            <c15:filteredBarSeries>
              <c15:ser>
                <c:idx val="0"/>
                <c:order val="0"/>
                <c:tx>
                  <c:strRef>
                    <c:extLst>
                      <c:ext uri="{02D57815-91ED-43cb-92C2-25804820EDAC}">
                        <c15:formulaRef>
                          <c15:sqref>Death_Tobacco!$L$2</c15:sqref>
                        </c15:formulaRef>
                      </c:ext>
                    </c:extLst>
                    <c:strCache>
                      <c:ptCount val="1"/>
                      <c:pt idx="0">
                        <c:v>European Union</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5400000" spcFirstLastPara="1" vertOverflow="ellipsis"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o-RO"/>
                    </a:p>
                  </c:txPr>
                  <c:dLblPos val="outEnd"/>
                  <c:showLegendKey val="0"/>
                  <c:showVal val="1"/>
                  <c:showCatName val="0"/>
                  <c:showSerName val="0"/>
                  <c:showPercent val="0"/>
                  <c:showBubbleSize val="0"/>
                  <c:showLeaderLines val="0"/>
                  <c:extLst>
                    <c:ex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c:ext uri="{02D57815-91ED-43cb-92C2-25804820EDAC}">
                        <c15:formulaRef>
                          <c15:sqref>(Death_Tobacco!$I$3:$I$4,Death_Tobacco!$I$6:$I$12)</c15:sqref>
                        </c15:formulaRef>
                      </c:ext>
                    </c:extLst>
                    <c:strCache>
                      <c:ptCount val="9"/>
                      <c:pt idx="0">
                        <c:v>Toate cauzele</c:v>
                      </c:pt>
                      <c:pt idx="1">
                        <c:v>Boli cardiovasculare</c:v>
                      </c:pt>
                      <c:pt idx="2">
                        <c:v>Cancere</c:v>
                      </c:pt>
                      <c:pt idx="3">
                        <c:v>Boala ischemică cardiacă</c:v>
                      </c:pt>
                      <c:pt idx="4">
                        <c:v>Cancer bronhopulmonar</c:v>
                      </c:pt>
                      <c:pt idx="5">
                        <c:v>Accident vascular cerebral</c:v>
                      </c:pt>
                      <c:pt idx="6">
                        <c:v>Afecțiuni respiratorii cronice</c:v>
                      </c:pt>
                      <c:pt idx="7">
                        <c:v>BPCO</c:v>
                      </c:pt>
                      <c:pt idx="8">
                        <c:v>Cancer de laringe</c:v>
                      </c:pt>
                    </c:strCache>
                  </c:strRef>
                </c:cat>
                <c:val>
                  <c:numRef>
                    <c:extLst>
                      <c:ext uri="{02D57815-91ED-43cb-92C2-25804820EDAC}">
                        <c15:formulaRef>
                          <c15:sqref>(Death_Tobacco!$L$3:$L$4,Death_Tobacco!$L$6:$L$12)</c15:sqref>
                        </c15:formulaRef>
                      </c:ext>
                    </c:extLst>
                    <c:numCache>
                      <c:formatCode>0</c:formatCode>
                      <c:ptCount val="9"/>
                      <c:pt idx="0">
                        <c:v>534752.58956668596</c:v>
                      </c:pt>
                      <c:pt idx="1">
                        <c:v>159855.66271725399</c:v>
                      </c:pt>
                      <c:pt idx="2">
                        <c:v>271342.48593915801</c:v>
                      </c:pt>
                      <c:pt idx="3">
                        <c:v>107849.854085924</c:v>
                      </c:pt>
                      <c:pt idx="4">
                        <c:v>173818.978612498</c:v>
                      </c:pt>
                      <c:pt idx="5">
                        <c:v>38729.740251116898</c:v>
                      </c:pt>
                      <c:pt idx="6">
                        <c:v>65254.5006526855</c:v>
                      </c:pt>
                      <c:pt idx="7">
                        <c:v>64694.203764002101</c:v>
                      </c:pt>
                      <c:pt idx="8">
                        <c:v>8917.0061105218701</c:v>
                      </c:pt>
                    </c:numCache>
                  </c:numRef>
                </c:val>
                <c:extLst>
                  <c:ext xmlns:c16="http://schemas.microsoft.com/office/drawing/2014/chart" uri="{C3380CC4-5D6E-409C-BE32-E72D297353CC}">
                    <c16:uniqueId val="{00000001-5375-493D-86BB-2D7A7DBA4C4E}"/>
                  </c:ext>
                </c:extLst>
              </c15:ser>
            </c15:filteredBarSeries>
            <c15:filteredBarSeries>
              <c15:ser>
                <c:idx val="1"/>
                <c:order val="1"/>
                <c:tx>
                  <c:strRef>
                    <c:extLst xmlns:c15="http://schemas.microsoft.com/office/drawing/2012/chart">
                      <c:ext xmlns:c15="http://schemas.microsoft.com/office/drawing/2012/chart" uri="{02D57815-91ED-43cb-92C2-25804820EDAC}">
                        <c15:formulaRef>
                          <c15:sqref>Death_Tobacco!$M$2</c15:sqref>
                        </c15:formulaRef>
                      </c:ext>
                    </c:extLst>
                    <c:strCache>
                      <c:ptCount val="1"/>
                      <c:pt idx="0">
                        <c:v>European Region</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5400000" spcFirstLastPara="1" vertOverflow="ellipsis"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o-RO"/>
                    </a:p>
                  </c:txPr>
                  <c:dLblPos val="out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(Death_Tobacco!$I$3:$I$4,Death_Tobacco!$I$6:$I$12)</c15:sqref>
                        </c15:formulaRef>
                      </c:ext>
                    </c:extLst>
                    <c:strCache>
                      <c:ptCount val="9"/>
                      <c:pt idx="0">
                        <c:v>Toate cauzele</c:v>
                      </c:pt>
                      <c:pt idx="1">
                        <c:v>Boli cardiovasculare</c:v>
                      </c:pt>
                      <c:pt idx="2">
                        <c:v>Cancere</c:v>
                      </c:pt>
                      <c:pt idx="3">
                        <c:v>Boala ischemică cardiacă</c:v>
                      </c:pt>
                      <c:pt idx="4">
                        <c:v>Cancer bronhopulmonar</c:v>
                      </c:pt>
                      <c:pt idx="5">
                        <c:v>Accident vascular cerebral</c:v>
                      </c:pt>
                      <c:pt idx="6">
                        <c:v>Afecțiuni respiratorii cronice</c:v>
                      </c:pt>
                      <c:pt idx="7">
                        <c:v>BPCO</c:v>
                      </c:pt>
                      <c:pt idx="8">
                        <c:v>Cancer de laringe</c:v>
                      </c:pt>
                    </c:strCache>
                  </c:strRef>
                </c:cat>
                <c:val>
                  <c:numRef>
                    <c:extLst xmlns:c15="http://schemas.microsoft.com/office/drawing/2012/chart">
                      <c:ext xmlns:c15="http://schemas.microsoft.com/office/drawing/2012/chart" uri="{02D57815-91ED-43cb-92C2-25804820EDAC}">
                        <c15:formulaRef>
                          <c15:sqref>(Death_Tobacco!$M$3:$M$4,Death_Tobacco!$M$6:$M$12)</c15:sqref>
                        </c15:formulaRef>
                      </c:ext>
                    </c:extLst>
                    <c:numCache>
                      <c:formatCode>0</c:formatCode>
                      <c:ptCount val="9"/>
                      <c:pt idx="0">
                        <c:v>1166254.8676746001</c:v>
                      </c:pt>
                      <c:pt idx="1">
                        <c:v>486362.309641156</c:v>
                      </c:pt>
                      <c:pt idx="2">
                        <c:v>466930.43254235998</c:v>
                      </c:pt>
                      <c:pt idx="3">
                        <c:v>344391.12624320103</c:v>
                      </c:pt>
                      <c:pt idx="4">
                        <c:v>292251.96589013201</c:v>
                      </c:pt>
                      <c:pt idx="5">
                        <c:v>114151.000463274</c:v>
                      </c:pt>
                      <c:pt idx="6">
                        <c:v>127971.88715388501</c:v>
                      </c:pt>
                      <c:pt idx="7">
                        <c:v>126121.453814921</c:v>
                      </c:pt>
                      <c:pt idx="8">
                        <c:v>17364.390615933899</c:v>
                      </c:pt>
                    </c:numCache>
                  </c:numRef>
                </c:val>
                <c:extLst xmlns:c15="http://schemas.microsoft.com/office/drawing/2012/chart">
                  <c:ext xmlns:c16="http://schemas.microsoft.com/office/drawing/2014/chart" uri="{C3380CC4-5D6E-409C-BE32-E72D297353CC}">
                    <c16:uniqueId val="{00000002-5375-493D-86BB-2D7A7DBA4C4E}"/>
                  </c:ext>
                </c:extLst>
              </c15:ser>
            </c15:filteredBarSeries>
            <c15:filteredBarSeries>
              <c15:ser>
                <c:idx val="2"/>
                <c:order val="2"/>
                <c:tx>
                  <c:strRef>
                    <c:extLst xmlns:c15="http://schemas.microsoft.com/office/drawing/2012/chart">
                      <c:ext xmlns:c15="http://schemas.microsoft.com/office/drawing/2012/chart" uri="{02D57815-91ED-43cb-92C2-25804820EDAC}">
                        <c15:formulaRef>
                          <c15:sqref>Death_Tobacco!$N$2</c15:sqref>
                        </c15:formulaRef>
                      </c:ext>
                    </c:extLst>
                    <c:strCache>
                      <c:ptCount val="1"/>
                      <c:pt idx="0">
                        <c:v>Global</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5400000" spcFirstLastPara="1" vertOverflow="ellipsis"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o-RO"/>
                    </a:p>
                  </c:txPr>
                  <c:dLblPos val="out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(Death_Tobacco!$I$3:$I$4,Death_Tobacco!$I$6:$I$12)</c15:sqref>
                        </c15:formulaRef>
                      </c:ext>
                    </c:extLst>
                    <c:strCache>
                      <c:ptCount val="9"/>
                      <c:pt idx="0">
                        <c:v>Toate cauzele</c:v>
                      </c:pt>
                      <c:pt idx="1">
                        <c:v>Boli cardiovasculare</c:v>
                      </c:pt>
                      <c:pt idx="2">
                        <c:v>Cancere</c:v>
                      </c:pt>
                      <c:pt idx="3">
                        <c:v>Boala ischemică cardiacă</c:v>
                      </c:pt>
                      <c:pt idx="4">
                        <c:v>Cancer bronhopulmonar</c:v>
                      </c:pt>
                      <c:pt idx="5">
                        <c:v>Accident vascular cerebral</c:v>
                      </c:pt>
                      <c:pt idx="6">
                        <c:v>Afecțiuni respiratorii cronice</c:v>
                      </c:pt>
                      <c:pt idx="7">
                        <c:v>BPCO</c:v>
                      </c:pt>
                      <c:pt idx="8">
                        <c:v>Cancer de laringe</c:v>
                      </c:pt>
                    </c:strCache>
                  </c:strRef>
                </c:cat>
                <c:val>
                  <c:numRef>
                    <c:extLst xmlns:c15="http://schemas.microsoft.com/office/drawing/2012/chart">
                      <c:ext xmlns:c15="http://schemas.microsoft.com/office/drawing/2012/chart" uri="{02D57815-91ED-43cb-92C2-25804820EDAC}">
                        <c15:formulaRef>
                          <c15:sqref>(Death_Tobacco!$N$3:$N$4,Death_Tobacco!$N$6:$N$12)</c15:sqref>
                        </c15:formulaRef>
                      </c:ext>
                    </c:extLst>
                    <c:numCache>
                      <c:formatCode>0</c:formatCode>
                      <c:ptCount val="9"/>
                      <c:pt idx="0">
                        <c:v>7360745.3557128003</c:v>
                      </c:pt>
                      <c:pt idx="1">
                        <c:v>2962282.5659153499</c:v>
                      </c:pt>
                      <c:pt idx="2">
                        <c:v>2211171.0275011798</c:v>
                      </c:pt>
                      <c:pt idx="3">
                        <c:v>1777085.33516019</c:v>
                      </c:pt>
                      <c:pt idx="4">
                        <c:v>1259019.26064638</c:v>
                      </c:pt>
                      <c:pt idx="5">
                        <c:v>1110792.3069279599</c:v>
                      </c:pt>
                      <c:pt idx="6">
                        <c:v>1414803.5179274699</c:v>
                      </c:pt>
                      <c:pt idx="7">
                        <c:v>1361573.88164318</c:v>
                      </c:pt>
                      <c:pt idx="8">
                        <c:v>90385.371369949396</c:v>
                      </c:pt>
                    </c:numCache>
                  </c:numRef>
                </c:val>
                <c:extLst xmlns:c15="http://schemas.microsoft.com/office/drawing/2012/chart">
                  <c:ext xmlns:c16="http://schemas.microsoft.com/office/drawing/2014/chart" uri="{C3380CC4-5D6E-409C-BE32-E72D297353CC}">
                    <c16:uniqueId val="{00000003-5375-493D-86BB-2D7A7DBA4C4E}"/>
                  </c:ext>
                </c:extLst>
              </c15:ser>
            </c15:filteredBarSeries>
          </c:ext>
        </c:extLst>
      </c:barChart>
      <c:catAx>
        <c:axId val="899097072"/>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o-RO"/>
          </a:p>
        </c:txPr>
        <c:crossAx val="899094192"/>
        <c:crosses val="autoZero"/>
        <c:auto val="1"/>
        <c:lblAlgn val="ctr"/>
        <c:lblOffset val="100"/>
        <c:noMultiLvlLbl val="0"/>
      </c:catAx>
      <c:valAx>
        <c:axId val="89909419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ro-RO"/>
                  <a:t>Număr decese</a:t>
                </a:r>
              </a:p>
            </c:rich>
          </c:tx>
          <c:overlay val="0"/>
          <c:spPr>
            <a:noFill/>
            <a:ln>
              <a:noFill/>
            </a:ln>
            <a:effectLst/>
          </c:spPr>
          <c:txPr>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o-RO"/>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o-RO"/>
          </a:p>
        </c:txPr>
        <c:crossAx val="89909707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o-RO"/>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o-RO"/>
    </a:p>
  </c:txPr>
  <c:externalData r:id="rId4">
    <c:autoUpdate val="0"/>
  </c:externalData>
</c:chartSpace>
</file>

<file path=word/charts/chart5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Death_Tobacco!$O$41</c:f>
              <c:strCache>
                <c:ptCount val="1"/>
                <c:pt idx="0">
                  <c:v>România</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3600000" spcFirstLastPara="1" vertOverflow="ellipsis"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o-R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Death_Tobacco!$I$42:$I$51</c:f>
              <c:strCache>
                <c:ptCount val="10"/>
                <c:pt idx="0">
                  <c:v>Cancer de laringe</c:v>
                </c:pt>
                <c:pt idx="1">
                  <c:v>Cancer bronhopulmonar</c:v>
                </c:pt>
                <c:pt idx="2">
                  <c:v>Alte cancere de faringe</c:v>
                </c:pt>
                <c:pt idx="3">
                  <c:v>BPCO</c:v>
                </c:pt>
                <c:pt idx="4">
                  <c:v>Cancer esofagian</c:v>
                </c:pt>
                <c:pt idx="5">
                  <c:v>Afecțiuni respiratorii cronice</c:v>
                </c:pt>
                <c:pt idx="6">
                  <c:v>Cancer de buză și al cavității orale</c:v>
                </c:pt>
                <c:pt idx="7">
                  <c:v>Anevrism aortic</c:v>
                </c:pt>
                <c:pt idx="8">
                  <c:v>Cancer de vezică</c:v>
                </c:pt>
                <c:pt idx="9">
                  <c:v>Boala arterială periferică a membrelor inferioare</c:v>
                </c:pt>
              </c:strCache>
            </c:strRef>
          </c:cat>
          <c:val>
            <c:numRef>
              <c:f>Death_Tobacco!$O$42:$O$51</c:f>
              <c:numCache>
                <c:formatCode>0.00%</c:formatCode>
                <c:ptCount val="10"/>
                <c:pt idx="0">
                  <c:v>0.784403566759587</c:v>
                </c:pt>
                <c:pt idx="1">
                  <c:v>0.67846774779756902</c:v>
                </c:pt>
                <c:pt idx="2">
                  <c:v>0.49563665327790202</c:v>
                </c:pt>
                <c:pt idx="3">
                  <c:v>0.42026199946102299</c:v>
                </c:pt>
                <c:pt idx="4">
                  <c:v>0.41012240129940802</c:v>
                </c:pt>
                <c:pt idx="5">
                  <c:v>0.38121378872720202</c:v>
                </c:pt>
                <c:pt idx="6">
                  <c:v>0.37914639488233998</c:v>
                </c:pt>
                <c:pt idx="7">
                  <c:v>0.37878077202343202</c:v>
                </c:pt>
                <c:pt idx="8">
                  <c:v>0.27029152720206601</c:v>
                </c:pt>
                <c:pt idx="9">
                  <c:v>0.23516178681210101</c:v>
                </c:pt>
              </c:numCache>
            </c:numRef>
          </c:val>
          <c:extLst>
            <c:ext xmlns:c16="http://schemas.microsoft.com/office/drawing/2014/chart" uri="{C3380CC4-5D6E-409C-BE32-E72D297353CC}">
              <c16:uniqueId val="{00000000-A4E2-44C8-B517-F26A451F052C}"/>
            </c:ext>
          </c:extLst>
        </c:ser>
        <c:ser>
          <c:idx val="1"/>
          <c:order val="1"/>
          <c:tx>
            <c:strRef>
              <c:f>Death_Tobacco!$L$41</c:f>
              <c:strCache>
                <c:ptCount val="1"/>
                <c:pt idx="0">
                  <c:v>UE</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3600000" spcFirstLastPara="1" vertOverflow="ellipsis"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o-R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Death_Tobacco!$I$42:$I$51</c:f>
              <c:strCache>
                <c:ptCount val="10"/>
                <c:pt idx="0">
                  <c:v>Cancer de laringe</c:v>
                </c:pt>
                <c:pt idx="1">
                  <c:v>Cancer bronhopulmonar</c:v>
                </c:pt>
                <c:pt idx="2">
                  <c:v>Alte cancere de faringe</c:v>
                </c:pt>
                <c:pt idx="3">
                  <c:v>BPCO</c:v>
                </c:pt>
                <c:pt idx="4">
                  <c:v>Cancer esofagian</c:v>
                </c:pt>
                <c:pt idx="5">
                  <c:v>Afecțiuni respiratorii cronice</c:v>
                </c:pt>
                <c:pt idx="6">
                  <c:v>Cancer de buză și al cavității orale</c:v>
                </c:pt>
                <c:pt idx="7">
                  <c:v>Anevrism aortic</c:v>
                </c:pt>
                <c:pt idx="8">
                  <c:v>Cancer de vezică</c:v>
                </c:pt>
                <c:pt idx="9">
                  <c:v>Boala arterială periferică a membrelor inferioare</c:v>
                </c:pt>
              </c:strCache>
            </c:strRef>
          </c:cat>
          <c:val>
            <c:numRef>
              <c:f>Death_Tobacco!$L$42:$L$51</c:f>
              <c:numCache>
                <c:formatCode>0.00%</c:formatCode>
                <c:ptCount val="10"/>
                <c:pt idx="0">
                  <c:v>0.74355942777471395</c:v>
                </c:pt>
                <c:pt idx="1">
                  <c:v>0.641650112815639</c:v>
                </c:pt>
                <c:pt idx="2">
                  <c:v>0.44340672921123098</c:v>
                </c:pt>
                <c:pt idx="3">
                  <c:v>0.37934931876616002</c:v>
                </c:pt>
                <c:pt idx="4">
                  <c:v>0.40215299927736903</c:v>
                </c:pt>
                <c:pt idx="5">
                  <c:v>0.316590082217242</c:v>
                </c:pt>
                <c:pt idx="6">
                  <c:v>0.36989971168410701</c:v>
                </c:pt>
                <c:pt idx="7">
                  <c:v>0.32043968603506801</c:v>
                </c:pt>
                <c:pt idx="8">
                  <c:v>0.24634838137003801</c:v>
                </c:pt>
                <c:pt idx="9">
                  <c:v>0.215050007117143</c:v>
                </c:pt>
              </c:numCache>
            </c:numRef>
          </c:val>
          <c:extLst>
            <c:ext xmlns:c16="http://schemas.microsoft.com/office/drawing/2014/chart" uri="{C3380CC4-5D6E-409C-BE32-E72D297353CC}">
              <c16:uniqueId val="{00000001-A4E2-44C8-B517-F26A451F052C}"/>
            </c:ext>
          </c:extLst>
        </c:ser>
        <c:dLbls>
          <c:showLegendKey val="0"/>
          <c:showVal val="0"/>
          <c:showCatName val="0"/>
          <c:showSerName val="0"/>
          <c:showPercent val="0"/>
          <c:showBubbleSize val="0"/>
        </c:dLbls>
        <c:gapWidth val="150"/>
        <c:axId val="1585414319"/>
        <c:axId val="1585415279"/>
      </c:barChart>
      <c:catAx>
        <c:axId val="1585414319"/>
        <c:scaling>
          <c:orientation val="minMax"/>
        </c:scaling>
        <c:delete val="0"/>
        <c:axPos val="b"/>
        <c:numFmt formatCode="General" sourceLinked="1"/>
        <c:majorTickMark val="out"/>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o-RO"/>
          </a:p>
        </c:txPr>
        <c:crossAx val="1585415279"/>
        <c:crosses val="autoZero"/>
        <c:auto val="1"/>
        <c:lblAlgn val="ctr"/>
        <c:lblOffset val="100"/>
        <c:noMultiLvlLbl val="0"/>
      </c:catAx>
      <c:valAx>
        <c:axId val="1585415279"/>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ro-RO"/>
                  <a:t>%</a:t>
                </a:r>
                <a:r>
                  <a:rPr lang="ro-RO" baseline="0"/>
                  <a:t> decese</a:t>
                </a:r>
                <a:endParaRPr lang="ro-RO"/>
              </a:p>
            </c:rich>
          </c:tx>
          <c:overlay val="0"/>
          <c:spPr>
            <a:noFill/>
            <a:ln>
              <a:noFill/>
            </a:ln>
            <a:effectLst/>
          </c:spPr>
          <c:txPr>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o-RO"/>
            </a:p>
          </c:txPr>
        </c:title>
        <c:numFmt formatCode="0%" sourceLinked="0"/>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o-RO"/>
          </a:p>
        </c:txPr>
        <c:crossAx val="1585414319"/>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o-RO"/>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o-RO"/>
    </a:p>
  </c:txPr>
  <c:externalData r:id="rId4">
    <c:autoUpdate val="0"/>
  </c:externalData>
</c:chartSpace>
</file>

<file path=word/charts/chart5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Death_Tobacco!$O$80</c:f>
              <c:strCache>
                <c:ptCount val="1"/>
                <c:pt idx="0">
                  <c:v>România</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o-R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Death_Tobacco!$I$81:$I$90</c:f>
              <c:strCache>
                <c:ptCount val="10"/>
                <c:pt idx="0">
                  <c:v>Toate cauzele</c:v>
                </c:pt>
                <c:pt idx="1">
                  <c:v>Boli cardiovasculare</c:v>
                </c:pt>
                <c:pt idx="2">
                  <c:v>Neoplasme</c:v>
                </c:pt>
                <c:pt idx="3">
                  <c:v>Cancere</c:v>
                </c:pt>
                <c:pt idx="4">
                  <c:v>Boala ischemică cardiacă</c:v>
                </c:pt>
                <c:pt idx="5">
                  <c:v>Cancer bronhopulmonar</c:v>
                </c:pt>
                <c:pt idx="6">
                  <c:v>Accident vascular cerebral</c:v>
                </c:pt>
                <c:pt idx="7">
                  <c:v>Afecțiuni respiratorii cronice</c:v>
                </c:pt>
                <c:pt idx="8">
                  <c:v>BPCO</c:v>
                </c:pt>
                <c:pt idx="9">
                  <c:v>Cancer de laringe</c:v>
                </c:pt>
              </c:strCache>
            </c:strRef>
          </c:cat>
          <c:val>
            <c:numRef>
              <c:f>Death_Tobacco!$O$81:$O$90</c:f>
              <c:numCache>
                <c:formatCode>0.00</c:formatCode>
                <c:ptCount val="10"/>
                <c:pt idx="0">
                  <c:v>84.485022514528595</c:v>
                </c:pt>
                <c:pt idx="1">
                  <c:v>37.2698182562903</c:v>
                </c:pt>
                <c:pt idx="2">
                  <c:v>32.777099353594998</c:v>
                </c:pt>
                <c:pt idx="3">
                  <c:v>32.777099353594998</c:v>
                </c:pt>
                <c:pt idx="4">
                  <c:v>24.497367511201499</c:v>
                </c:pt>
                <c:pt idx="5">
                  <c:v>19.214209753702701</c:v>
                </c:pt>
                <c:pt idx="6">
                  <c:v>11.7307058817428</c:v>
                </c:pt>
                <c:pt idx="7">
                  <c:v>6.4941882533325996</c:v>
                </c:pt>
                <c:pt idx="8">
                  <c:v>6.4310309304931197</c:v>
                </c:pt>
                <c:pt idx="9">
                  <c:v>2.1781569858676901</c:v>
                </c:pt>
              </c:numCache>
            </c:numRef>
          </c:val>
          <c:extLst>
            <c:ext xmlns:c16="http://schemas.microsoft.com/office/drawing/2014/chart" uri="{C3380CC4-5D6E-409C-BE32-E72D297353CC}">
              <c16:uniqueId val="{00000000-BEC0-40D3-A64E-52CC33590514}"/>
            </c:ext>
          </c:extLst>
        </c:ser>
        <c:ser>
          <c:idx val="1"/>
          <c:order val="1"/>
          <c:tx>
            <c:strRef>
              <c:f>Death_Tobacco!$L$80</c:f>
              <c:strCache>
                <c:ptCount val="1"/>
                <c:pt idx="0">
                  <c:v>UE</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dLbl>
              <c:idx val="2"/>
              <c:layout>
                <c:manualLayout>
                  <c:x val="2.5198437696862795E-3"/>
                  <c:y val="1.4124293785310691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BEC0-40D3-A64E-52CC33590514}"/>
                </c:ext>
              </c:extLst>
            </c:dLbl>
            <c:dLbl>
              <c:idx val="3"/>
              <c:layout>
                <c:manualLayout>
                  <c:x val="2.5198437696862795E-3"/>
                  <c:y val="1.8832391713747603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BEC0-40D3-A64E-52CC33590514}"/>
                </c:ext>
              </c:extLst>
            </c:dLbl>
            <c:dLbl>
              <c:idx val="4"/>
              <c:layout>
                <c:manualLayout>
                  <c:x val="7.559531309058746E-3"/>
                  <c:y val="4.7080979284369112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BEC0-40D3-A64E-52CC33590514}"/>
                </c:ext>
              </c:extLst>
            </c:dLbl>
            <c:dLbl>
              <c:idx val="5"/>
              <c:layout>
                <c:manualLayout>
                  <c:x val="0"/>
                  <c:y val="2.8248587570621382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BEC0-40D3-A64E-52CC33590514}"/>
                </c:ext>
              </c:extLst>
            </c:dLbl>
            <c:dLbl>
              <c:idx val="7"/>
              <c:layout>
                <c:manualLayout>
                  <c:x val="1.2599218848431213E-2"/>
                  <c:y val="2.3540489642184557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BEC0-40D3-A64E-52CC33590514}"/>
                </c:ext>
              </c:extLst>
            </c:dLbl>
            <c:dLbl>
              <c:idx val="8"/>
              <c:layout>
                <c:manualLayout>
                  <c:x val="1.5119062618117676E-2"/>
                  <c:y val="1.8832391713747645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BEC0-40D3-A64E-52CC33590514}"/>
                </c:ext>
              </c:extLst>
            </c:dLbl>
            <c:dLbl>
              <c:idx val="9"/>
              <c:layout>
                <c:manualLayout>
                  <c:x val="1.2599218848431213E-2"/>
                  <c:y val="-5.2041704279304213E-18"/>
                </c:manualLayout>
              </c:layout>
              <c:spPr>
                <a:noFill/>
                <a:ln>
                  <a:noFill/>
                </a:ln>
                <a:effectLst/>
              </c:spPr>
              <c:txPr>
                <a:bodyPr rot="0" spcFirstLastPara="1" vertOverflow="ellipsis" vert="horz" wrap="square" lIns="38100" tIns="19050" rIns="38100" bIns="19050" anchor="ctr" anchorCtr="1">
                  <a:noAutofit/>
                </a:bodyPr>
                <a:lstStyle/>
                <a:p>
                  <a:pPr>
                    <a:defRPr sz="900" b="1" i="0" u="none" strike="noStrike" kern="1200" baseline="0">
                      <a:solidFill>
                        <a:schemeClr val="tx1">
                          <a:lumMod val="75000"/>
                          <a:lumOff val="25000"/>
                        </a:schemeClr>
                      </a:solidFill>
                      <a:latin typeface="+mn-lt"/>
                      <a:ea typeface="+mn-ea"/>
                      <a:cs typeface="+mn-cs"/>
                    </a:defRPr>
                  </a:pPr>
                  <a:endParaRPr lang="ro-RO"/>
                </a:p>
              </c:txPr>
              <c:dLblPos val="outEnd"/>
              <c:showLegendKey val="0"/>
              <c:showVal val="1"/>
              <c:showCatName val="0"/>
              <c:showSerName val="0"/>
              <c:showPercent val="0"/>
              <c:showBubbleSize val="0"/>
              <c:extLst>
                <c:ext xmlns:c15="http://schemas.microsoft.com/office/drawing/2012/chart" uri="{CE6537A1-D6FC-4f65-9D91-7224C49458BB}">
                  <c15:layout>
                    <c:manualLayout>
                      <c:w val="5.5638150434673052E-2"/>
                      <c:h val="3.7594347316754893E-2"/>
                    </c:manualLayout>
                  </c15:layout>
                </c:ext>
                <c:ext xmlns:c16="http://schemas.microsoft.com/office/drawing/2014/chart" uri="{C3380CC4-5D6E-409C-BE32-E72D297353CC}">
                  <c16:uniqueId val="{00000002-BEC0-40D3-A64E-52CC33590514}"/>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ro-R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Death_Tobacco!$I$81:$I$90</c:f>
              <c:strCache>
                <c:ptCount val="10"/>
                <c:pt idx="0">
                  <c:v>Toate cauzele</c:v>
                </c:pt>
                <c:pt idx="1">
                  <c:v>Boli cardiovasculare</c:v>
                </c:pt>
                <c:pt idx="2">
                  <c:v>Neoplasme</c:v>
                </c:pt>
                <c:pt idx="3">
                  <c:v>Cancere</c:v>
                </c:pt>
                <c:pt idx="4">
                  <c:v>Boala ischemică cardiacă</c:v>
                </c:pt>
                <c:pt idx="5">
                  <c:v>Cancer bronhopulmonar</c:v>
                </c:pt>
                <c:pt idx="6">
                  <c:v>Accident vascular cerebral</c:v>
                </c:pt>
                <c:pt idx="7">
                  <c:v>Afecțiuni respiratorii cronice</c:v>
                </c:pt>
                <c:pt idx="8">
                  <c:v>BPCO</c:v>
                </c:pt>
                <c:pt idx="9">
                  <c:v>Cancer de laringe</c:v>
                </c:pt>
              </c:strCache>
            </c:strRef>
          </c:cat>
          <c:val>
            <c:numRef>
              <c:f>Death_Tobacco!$L$81:$L$90</c:f>
              <c:numCache>
                <c:formatCode>0.00</c:formatCode>
                <c:ptCount val="10"/>
                <c:pt idx="0">
                  <c:v>55.011167442753198</c:v>
                </c:pt>
                <c:pt idx="1">
                  <c:v>16.453158064178801</c:v>
                </c:pt>
                <c:pt idx="2">
                  <c:v>28.624183455689899</c:v>
                </c:pt>
                <c:pt idx="3">
                  <c:v>28.624183455689899</c:v>
                </c:pt>
                <c:pt idx="4">
                  <c:v>11.1640812801162</c:v>
                </c:pt>
                <c:pt idx="5">
                  <c:v>18.277229709676998</c:v>
                </c:pt>
                <c:pt idx="6">
                  <c:v>3.9324077078193498</c:v>
                </c:pt>
                <c:pt idx="7">
                  <c:v>6.0231818561269304</c:v>
                </c:pt>
                <c:pt idx="8">
                  <c:v>5.9607954814270601</c:v>
                </c:pt>
                <c:pt idx="9">
                  <c:v>0.96840399271872601</c:v>
                </c:pt>
              </c:numCache>
            </c:numRef>
          </c:val>
          <c:extLst>
            <c:ext xmlns:c16="http://schemas.microsoft.com/office/drawing/2014/chart" uri="{C3380CC4-5D6E-409C-BE32-E72D297353CC}">
              <c16:uniqueId val="{00000001-BEC0-40D3-A64E-52CC33590514}"/>
            </c:ext>
          </c:extLst>
        </c:ser>
        <c:dLbls>
          <c:showLegendKey val="0"/>
          <c:showVal val="0"/>
          <c:showCatName val="0"/>
          <c:showSerName val="0"/>
          <c:showPercent val="0"/>
          <c:showBubbleSize val="0"/>
        </c:dLbls>
        <c:gapWidth val="150"/>
        <c:axId val="1585414319"/>
        <c:axId val="1585415279"/>
      </c:barChart>
      <c:catAx>
        <c:axId val="1585414319"/>
        <c:scaling>
          <c:orientation val="minMax"/>
        </c:scaling>
        <c:delete val="0"/>
        <c:axPos val="b"/>
        <c:numFmt formatCode="General" sourceLinked="1"/>
        <c:majorTickMark val="out"/>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o-RO"/>
          </a:p>
        </c:txPr>
        <c:crossAx val="1585415279"/>
        <c:crosses val="autoZero"/>
        <c:auto val="1"/>
        <c:lblAlgn val="ctr"/>
        <c:lblOffset val="100"/>
        <c:noMultiLvlLbl val="0"/>
      </c:catAx>
      <c:valAx>
        <c:axId val="1585415279"/>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ro-RO"/>
                  <a:t>Rată standardizată decese</a:t>
                </a:r>
              </a:p>
            </c:rich>
          </c:tx>
          <c:overlay val="0"/>
          <c:spPr>
            <a:noFill/>
            <a:ln>
              <a:noFill/>
            </a:ln>
            <a:effectLst/>
          </c:spPr>
          <c:txPr>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o-RO"/>
            </a:p>
          </c:txPr>
        </c:title>
        <c:numFmt formatCode="0" sourceLinked="0"/>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o-RO"/>
          </a:p>
        </c:txPr>
        <c:crossAx val="1585414319"/>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o-RO"/>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o-RO"/>
    </a:p>
  </c:txPr>
  <c:externalData r:id="rId4">
    <c:autoUpdate val="0"/>
  </c:externalData>
</c:chartSpace>
</file>

<file path=word/charts/chart5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3"/>
          <c:order val="3"/>
          <c:tx>
            <c:strRef>
              <c:f>Death_Secondhandsmoke!$O$2</c:f>
              <c:strCache>
                <c:ptCount val="1"/>
                <c:pt idx="0">
                  <c:v>România</c:v>
                </c:pt>
              </c:strCache>
            </c:strRef>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Pt>
            <c:idx val="0"/>
            <c:invertIfNegative val="0"/>
            <c:bubble3D val="0"/>
            <c:spPr>
              <a:solidFill>
                <a:srgbClr val="00B9F2">
                  <a:lumMod val="75000"/>
                </a:srgbClr>
              </a:solidFill>
              <a:ln>
                <a:solidFill>
                  <a:srgbClr val="00B9F2">
                    <a:lumMod val="75000"/>
                  </a:srgbClr>
                </a:solid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4-0BEC-4977-9B15-258873C78078}"/>
              </c:ext>
            </c:extLst>
          </c:dPt>
          <c:dLbls>
            <c:spPr>
              <a:noFill/>
              <a:ln>
                <a:noFill/>
              </a:ln>
              <a:effectLst/>
            </c:spPr>
            <c:txPr>
              <a:bodyPr rot="-5400000" spcFirstLastPara="1" vertOverflow="ellipsis"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o-R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(Death_Secondhandsmoke!$I$3:$I$6,Death_Secondhandsmoke!$I$8:$I$12)</c:f>
              <c:strCache>
                <c:ptCount val="9"/>
                <c:pt idx="0">
                  <c:v>Toate cauzele</c:v>
                </c:pt>
                <c:pt idx="1">
                  <c:v>Boli cardiovasculare</c:v>
                </c:pt>
                <c:pt idx="2">
                  <c:v>Boala ischemică cardiacă</c:v>
                </c:pt>
                <c:pt idx="3">
                  <c:v>Accident vascular cerebral</c:v>
                </c:pt>
                <c:pt idx="4">
                  <c:v>Cancere</c:v>
                </c:pt>
                <c:pt idx="5">
                  <c:v>Cancer bronhopulmonar</c:v>
                </c:pt>
                <c:pt idx="6">
                  <c:v>Afecțiuni respiratorii cronice</c:v>
                </c:pt>
                <c:pt idx="7">
                  <c:v>BPOC</c:v>
                </c:pt>
                <c:pt idx="8">
                  <c:v>Diabet și boala cronică de rinichi</c:v>
                </c:pt>
              </c:strCache>
              <c:extLst/>
            </c:strRef>
          </c:cat>
          <c:val>
            <c:numRef>
              <c:f>(Death_Secondhandsmoke!$O$3:$O$6,Death_Secondhandsmoke!$O$8:$O$12)</c:f>
              <c:numCache>
                <c:formatCode>0</c:formatCode>
                <c:ptCount val="9"/>
                <c:pt idx="0">
                  <c:v>6521.6853145395598</c:v>
                </c:pt>
                <c:pt idx="1">
                  <c:v>4322.1135329430199</c:v>
                </c:pt>
                <c:pt idx="2">
                  <c:v>2895.2070051966798</c:v>
                </c:pt>
                <c:pt idx="3">
                  <c:v>1426.9065277463301</c:v>
                </c:pt>
                <c:pt idx="4">
                  <c:v>1008.99338962933</c:v>
                </c:pt>
                <c:pt idx="5">
                  <c:v>806.97118125867598</c:v>
                </c:pt>
                <c:pt idx="6">
                  <c:v>511.22095771959198</c:v>
                </c:pt>
                <c:pt idx="7">
                  <c:v>502.10319948402099</c:v>
                </c:pt>
                <c:pt idx="8">
                  <c:v>202.02220837065599</c:v>
                </c:pt>
              </c:numCache>
              <c:extLst/>
            </c:numRef>
          </c:val>
          <c:extLst>
            <c:ext xmlns:c16="http://schemas.microsoft.com/office/drawing/2014/chart" uri="{C3380CC4-5D6E-409C-BE32-E72D297353CC}">
              <c16:uniqueId val="{00000000-0BEC-4977-9B15-258873C78078}"/>
            </c:ext>
          </c:extLst>
        </c:ser>
        <c:dLbls>
          <c:dLblPos val="outEnd"/>
          <c:showLegendKey val="0"/>
          <c:showVal val="1"/>
          <c:showCatName val="0"/>
          <c:showSerName val="0"/>
          <c:showPercent val="0"/>
          <c:showBubbleSize val="0"/>
        </c:dLbls>
        <c:gapWidth val="100"/>
        <c:overlap val="-24"/>
        <c:axId val="899097072"/>
        <c:axId val="899094192"/>
        <c:extLst>
          <c:ext xmlns:c15="http://schemas.microsoft.com/office/drawing/2012/chart" uri="{02D57815-91ED-43cb-92C2-25804820EDAC}">
            <c15:filteredBarSeries>
              <c15:ser>
                <c:idx val="0"/>
                <c:order val="0"/>
                <c:tx>
                  <c:strRef>
                    <c:extLst>
                      <c:ext uri="{02D57815-91ED-43cb-92C2-25804820EDAC}">
                        <c15:formulaRef>
                          <c15:sqref>Death_Secondhandsmoke!$L$2</c15:sqref>
                        </c15:formulaRef>
                      </c:ext>
                    </c:extLst>
                    <c:strCache>
                      <c:ptCount val="1"/>
                      <c:pt idx="0">
                        <c:v>European Union</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5400000" spcFirstLastPara="1" vertOverflow="ellipsis"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o-RO"/>
                    </a:p>
                  </c:txPr>
                  <c:dLblPos val="outEnd"/>
                  <c:showLegendKey val="0"/>
                  <c:showVal val="1"/>
                  <c:showCatName val="0"/>
                  <c:showSerName val="0"/>
                  <c:showPercent val="0"/>
                  <c:showBubbleSize val="0"/>
                  <c:showLeaderLines val="0"/>
                  <c:extLst>
                    <c:ex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c:ext uri="{02D57815-91ED-43cb-92C2-25804820EDAC}">
                        <c15:formulaRef>
                          <c15:sqref>(Death_Secondhandsmoke!$I$3:$I$6,Death_Secondhandsmoke!$I$8:$I$12)</c15:sqref>
                        </c15:formulaRef>
                      </c:ext>
                    </c:extLst>
                    <c:strCache>
                      <c:ptCount val="9"/>
                      <c:pt idx="0">
                        <c:v>Toate cauzele</c:v>
                      </c:pt>
                      <c:pt idx="1">
                        <c:v>Boli cardiovasculare</c:v>
                      </c:pt>
                      <c:pt idx="2">
                        <c:v>Boala ischemică cardiacă</c:v>
                      </c:pt>
                      <c:pt idx="3">
                        <c:v>Accident vascular cerebral</c:v>
                      </c:pt>
                      <c:pt idx="4">
                        <c:v>Cancere</c:v>
                      </c:pt>
                      <c:pt idx="5">
                        <c:v>Cancer bronhopulmonar</c:v>
                      </c:pt>
                      <c:pt idx="6">
                        <c:v>Afecțiuni respiratorii cronice</c:v>
                      </c:pt>
                      <c:pt idx="7">
                        <c:v>BPOC</c:v>
                      </c:pt>
                      <c:pt idx="8">
                        <c:v>Diabet și boala cronică de rinichi</c:v>
                      </c:pt>
                    </c:strCache>
                  </c:strRef>
                </c:cat>
                <c:val>
                  <c:numRef>
                    <c:extLst>
                      <c:ext uri="{02D57815-91ED-43cb-92C2-25804820EDAC}">
                        <c15:formulaRef>
                          <c15:sqref>(Death_Secondhandsmoke!$L$3:$L$6,Death_Secondhandsmoke!$L$8:$L$12)</c15:sqref>
                        </c15:formulaRef>
                      </c:ext>
                    </c:extLst>
                    <c:numCache>
                      <c:formatCode>0</c:formatCode>
                      <c:ptCount val="9"/>
                      <c:pt idx="0">
                        <c:v>77683.536900388397</c:v>
                      </c:pt>
                      <c:pt idx="1">
                        <c:v>38284.2311743436</c:v>
                      </c:pt>
                      <c:pt idx="2">
                        <c:v>28119.040522683699</c:v>
                      </c:pt>
                      <c:pt idx="3">
                        <c:v>10165.190651659799</c:v>
                      </c:pt>
                      <c:pt idx="4">
                        <c:v>19398.5253576502</c:v>
                      </c:pt>
                      <c:pt idx="5">
                        <c:v>16095.0266337666</c:v>
                      </c:pt>
                      <c:pt idx="6">
                        <c:v>10584.081749933701</c:v>
                      </c:pt>
                      <c:pt idx="7">
                        <c:v>10403.930642740501</c:v>
                      </c:pt>
                      <c:pt idx="8">
                        <c:v>3303.4987238835201</c:v>
                      </c:pt>
                    </c:numCache>
                  </c:numRef>
                </c:val>
                <c:extLst>
                  <c:ext xmlns:c16="http://schemas.microsoft.com/office/drawing/2014/chart" uri="{C3380CC4-5D6E-409C-BE32-E72D297353CC}">
                    <c16:uniqueId val="{00000001-0BEC-4977-9B15-258873C78078}"/>
                  </c:ext>
                </c:extLst>
              </c15:ser>
            </c15:filteredBarSeries>
            <c15:filteredBarSeries>
              <c15:ser>
                <c:idx val="1"/>
                <c:order val="1"/>
                <c:tx>
                  <c:strRef>
                    <c:extLst xmlns:c15="http://schemas.microsoft.com/office/drawing/2012/chart">
                      <c:ext xmlns:c15="http://schemas.microsoft.com/office/drawing/2012/chart" uri="{02D57815-91ED-43cb-92C2-25804820EDAC}">
                        <c15:formulaRef>
                          <c15:sqref>Death_Secondhandsmoke!$M$2</c15:sqref>
                        </c15:formulaRef>
                      </c:ext>
                    </c:extLst>
                    <c:strCache>
                      <c:ptCount val="1"/>
                      <c:pt idx="0">
                        <c:v>European Region</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5400000" spcFirstLastPara="1" vertOverflow="ellipsis"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o-RO"/>
                    </a:p>
                  </c:txPr>
                  <c:dLblPos val="out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(Death_Secondhandsmoke!$I$3:$I$6,Death_Secondhandsmoke!$I$8:$I$12)</c15:sqref>
                        </c15:formulaRef>
                      </c:ext>
                    </c:extLst>
                    <c:strCache>
                      <c:ptCount val="9"/>
                      <c:pt idx="0">
                        <c:v>Toate cauzele</c:v>
                      </c:pt>
                      <c:pt idx="1">
                        <c:v>Boli cardiovasculare</c:v>
                      </c:pt>
                      <c:pt idx="2">
                        <c:v>Boala ischemică cardiacă</c:v>
                      </c:pt>
                      <c:pt idx="3">
                        <c:v>Accident vascular cerebral</c:v>
                      </c:pt>
                      <c:pt idx="4">
                        <c:v>Cancere</c:v>
                      </c:pt>
                      <c:pt idx="5">
                        <c:v>Cancer bronhopulmonar</c:v>
                      </c:pt>
                      <c:pt idx="6">
                        <c:v>Afecțiuni respiratorii cronice</c:v>
                      </c:pt>
                      <c:pt idx="7">
                        <c:v>BPOC</c:v>
                      </c:pt>
                      <c:pt idx="8">
                        <c:v>Diabet și boala cronică de rinichi</c:v>
                      </c:pt>
                    </c:strCache>
                  </c:strRef>
                </c:cat>
                <c:val>
                  <c:numRef>
                    <c:extLst xmlns:c15="http://schemas.microsoft.com/office/drawing/2012/chart">
                      <c:ext xmlns:c15="http://schemas.microsoft.com/office/drawing/2012/chart" uri="{02D57815-91ED-43cb-92C2-25804820EDAC}">
                        <c15:formulaRef>
                          <c15:sqref>(Death_Secondhandsmoke!$M$3:$M$6,Death_Secondhandsmoke!$M$8:$M$12)</c15:sqref>
                        </c15:formulaRef>
                      </c:ext>
                    </c:extLst>
                    <c:numCache>
                      <c:formatCode>0</c:formatCode>
                      <c:ptCount val="9"/>
                      <c:pt idx="0">
                        <c:v>202143.10740193399</c:v>
                      </c:pt>
                      <c:pt idx="1">
                        <c:v>122099.545038574</c:v>
                      </c:pt>
                      <c:pt idx="2">
                        <c:v>92458.599317147498</c:v>
                      </c:pt>
                      <c:pt idx="3">
                        <c:v>29640.945721426899</c:v>
                      </c:pt>
                      <c:pt idx="4">
                        <c:v>34485.852852526798</c:v>
                      </c:pt>
                      <c:pt idx="5">
                        <c:v>27856.5467601171</c:v>
                      </c:pt>
                      <c:pt idx="6">
                        <c:v>22830.2723853559</c:v>
                      </c:pt>
                      <c:pt idx="7">
                        <c:v>22113.856755709301</c:v>
                      </c:pt>
                      <c:pt idx="8">
                        <c:v>6629.3060924096599</c:v>
                      </c:pt>
                    </c:numCache>
                  </c:numRef>
                </c:val>
                <c:extLst xmlns:c15="http://schemas.microsoft.com/office/drawing/2012/chart">
                  <c:ext xmlns:c16="http://schemas.microsoft.com/office/drawing/2014/chart" uri="{C3380CC4-5D6E-409C-BE32-E72D297353CC}">
                    <c16:uniqueId val="{00000002-0BEC-4977-9B15-258873C78078}"/>
                  </c:ext>
                </c:extLst>
              </c15:ser>
            </c15:filteredBarSeries>
            <c15:filteredBarSeries>
              <c15:ser>
                <c:idx val="2"/>
                <c:order val="2"/>
                <c:tx>
                  <c:strRef>
                    <c:extLst xmlns:c15="http://schemas.microsoft.com/office/drawing/2012/chart">
                      <c:ext xmlns:c15="http://schemas.microsoft.com/office/drawing/2012/chart" uri="{02D57815-91ED-43cb-92C2-25804820EDAC}">
                        <c15:formulaRef>
                          <c15:sqref>Death_Secondhandsmoke!$N$2</c15:sqref>
                        </c15:formulaRef>
                      </c:ext>
                    </c:extLst>
                    <c:strCache>
                      <c:ptCount val="1"/>
                      <c:pt idx="0">
                        <c:v>Global</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5400000" spcFirstLastPara="1" vertOverflow="ellipsis"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o-RO"/>
                    </a:p>
                  </c:txPr>
                  <c:dLblPos val="out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(Death_Secondhandsmoke!$I$3:$I$6,Death_Secondhandsmoke!$I$8:$I$12)</c15:sqref>
                        </c15:formulaRef>
                      </c:ext>
                    </c:extLst>
                    <c:strCache>
                      <c:ptCount val="9"/>
                      <c:pt idx="0">
                        <c:v>Toate cauzele</c:v>
                      </c:pt>
                      <c:pt idx="1">
                        <c:v>Boli cardiovasculare</c:v>
                      </c:pt>
                      <c:pt idx="2">
                        <c:v>Boala ischemică cardiacă</c:v>
                      </c:pt>
                      <c:pt idx="3">
                        <c:v>Accident vascular cerebral</c:v>
                      </c:pt>
                      <c:pt idx="4">
                        <c:v>Cancere</c:v>
                      </c:pt>
                      <c:pt idx="5">
                        <c:v>Cancer bronhopulmonar</c:v>
                      </c:pt>
                      <c:pt idx="6">
                        <c:v>Afecțiuni respiratorii cronice</c:v>
                      </c:pt>
                      <c:pt idx="7">
                        <c:v>BPOC</c:v>
                      </c:pt>
                      <c:pt idx="8">
                        <c:v>Diabet și boala cronică de rinichi</c:v>
                      </c:pt>
                    </c:strCache>
                  </c:strRef>
                </c:cat>
                <c:val>
                  <c:numRef>
                    <c:extLst xmlns:c15="http://schemas.microsoft.com/office/drawing/2012/chart">
                      <c:ext xmlns:c15="http://schemas.microsoft.com/office/drawing/2012/chart" uri="{02D57815-91ED-43cb-92C2-25804820EDAC}">
                        <c15:formulaRef>
                          <c15:sqref>(Death_Secondhandsmoke!$N$3:$N$6,Death_Secondhandsmoke!$N$8:$N$12)</c15:sqref>
                        </c15:formulaRef>
                      </c:ext>
                    </c:extLst>
                    <c:numCache>
                      <c:formatCode>0</c:formatCode>
                      <c:ptCount val="9"/>
                      <c:pt idx="0">
                        <c:v>1658991.34046029</c:v>
                      </c:pt>
                      <c:pt idx="1">
                        <c:v>814392.49985977099</c:v>
                      </c:pt>
                      <c:pt idx="2">
                        <c:v>536806.49555346696</c:v>
                      </c:pt>
                      <c:pt idx="3">
                        <c:v>277586.00430630398</c:v>
                      </c:pt>
                      <c:pt idx="4">
                        <c:v>205559.733813409</c:v>
                      </c:pt>
                      <c:pt idx="5">
                        <c:v>160771.47537241099</c:v>
                      </c:pt>
                      <c:pt idx="6">
                        <c:v>378261.95266019797</c:v>
                      </c:pt>
                      <c:pt idx="7">
                        <c:v>353655.27619963</c:v>
                      </c:pt>
                      <c:pt idx="8">
                        <c:v>44788.258440997801</c:v>
                      </c:pt>
                    </c:numCache>
                  </c:numRef>
                </c:val>
                <c:extLst xmlns:c15="http://schemas.microsoft.com/office/drawing/2012/chart">
                  <c:ext xmlns:c16="http://schemas.microsoft.com/office/drawing/2014/chart" uri="{C3380CC4-5D6E-409C-BE32-E72D297353CC}">
                    <c16:uniqueId val="{00000003-0BEC-4977-9B15-258873C78078}"/>
                  </c:ext>
                </c:extLst>
              </c15:ser>
            </c15:filteredBarSeries>
          </c:ext>
        </c:extLst>
      </c:barChart>
      <c:catAx>
        <c:axId val="899097072"/>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o-RO"/>
          </a:p>
        </c:txPr>
        <c:crossAx val="899094192"/>
        <c:crosses val="autoZero"/>
        <c:auto val="1"/>
        <c:lblAlgn val="ctr"/>
        <c:lblOffset val="100"/>
        <c:noMultiLvlLbl val="0"/>
      </c:catAx>
      <c:valAx>
        <c:axId val="89909419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ro-RO"/>
                  <a:t>Număr decese</a:t>
                </a:r>
              </a:p>
            </c:rich>
          </c:tx>
          <c:overlay val="0"/>
          <c:spPr>
            <a:noFill/>
            <a:ln>
              <a:noFill/>
            </a:ln>
            <a:effectLst/>
          </c:spPr>
          <c:txPr>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o-RO"/>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o-RO"/>
          </a:p>
        </c:txPr>
        <c:crossAx val="899097072"/>
        <c:crosses val="autoZero"/>
        <c:crossBetween val="between"/>
      </c:valAx>
      <c:spPr>
        <a:noFill/>
        <a:ln>
          <a:noFill/>
        </a:ln>
        <a:effectLst/>
      </c:spPr>
    </c:plotArea>
    <c:legend>
      <c:legendPos val="b"/>
      <c:layout>
        <c:manualLayout>
          <c:xMode val="edge"/>
          <c:yMode val="edge"/>
          <c:x val="8.344055896880849E-2"/>
          <c:y val="0.70075558736976062"/>
          <c:w val="0.83815837118886016"/>
          <c:h val="0.2352713486571754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o-RO"/>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o-RO"/>
    </a:p>
  </c:txPr>
  <c:externalData r:id="rId4">
    <c:autoUpdate val="0"/>
  </c:externalData>
</c:chartSpace>
</file>

<file path=word/charts/chart5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Death_Secondhandsmoke!$O$41</c:f>
              <c:strCache>
                <c:ptCount val="1"/>
                <c:pt idx="0">
                  <c:v>România</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3600000" spcFirstLastPara="1" vertOverflow="ellipsis"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o-R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Death_Secondhandsmoke!$I$42:$I$51</c:f>
              <c:strCache>
                <c:ptCount val="10"/>
                <c:pt idx="0">
                  <c:v>BPOC</c:v>
                </c:pt>
                <c:pt idx="1">
                  <c:v>Afecțiuni respiratorii cronice</c:v>
                </c:pt>
                <c:pt idx="2">
                  <c:v>Diabet zaharat</c:v>
                </c:pt>
                <c:pt idx="3">
                  <c:v>Cancer bronhopulmonar</c:v>
                </c:pt>
                <c:pt idx="4">
                  <c:v>Boala ischemică cardiacă</c:v>
                </c:pt>
                <c:pt idx="5">
                  <c:v>Accident vascular cerebral</c:v>
                </c:pt>
                <c:pt idx="6">
                  <c:v>Boli cardiovasculare</c:v>
                </c:pt>
                <c:pt idx="7">
                  <c:v>Diabet și boala cronică de rinichi</c:v>
                </c:pt>
                <c:pt idx="8">
                  <c:v>Toate cauzele</c:v>
                </c:pt>
                <c:pt idx="9">
                  <c:v>Cancer de sân</c:v>
                </c:pt>
              </c:strCache>
            </c:strRef>
          </c:cat>
          <c:val>
            <c:numRef>
              <c:f>Death_Secondhandsmoke!$O$42:$O$51</c:f>
              <c:numCache>
                <c:formatCode>0.00%</c:formatCode>
                <c:ptCount val="10"/>
                <c:pt idx="0">
                  <c:v>8.68736801549084E-2</c:v>
                </c:pt>
                <c:pt idx="1">
                  <c:v>7.9920060940106605E-2</c:v>
                </c:pt>
                <c:pt idx="2">
                  <c:v>7.9033098248723399E-2</c:v>
                </c:pt>
                <c:pt idx="3">
                  <c:v>5.5385990317411898E-2</c:v>
                </c:pt>
                <c:pt idx="4">
                  <c:v>5.25495595657283E-2</c:v>
                </c:pt>
                <c:pt idx="5">
                  <c:v>4.5552575600039898E-2</c:v>
                </c:pt>
                <c:pt idx="6">
                  <c:v>3.4490840135444303E-2</c:v>
                </c:pt>
                <c:pt idx="7">
                  <c:v>3.3028294883921602E-2</c:v>
                </c:pt>
                <c:pt idx="8">
                  <c:v>3.24773165880229E-2</c:v>
                </c:pt>
                <c:pt idx="9">
                  <c:v>2.6721626141995899E-2</c:v>
                </c:pt>
              </c:numCache>
            </c:numRef>
          </c:val>
          <c:extLst>
            <c:ext xmlns:c16="http://schemas.microsoft.com/office/drawing/2014/chart" uri="{C3380CC4-5D6E-409C-BE32-E72D297353CC}">
              <c16:uniqueId val="{00000000-7EF2-44EB-8450-A75F4EEA15AC}"/>
            </c:ext>
          </c:extLst>
        </c:ser>
        <c:ser>
          <c:idx val="1"/>
          <c:order val="1"/>
          <c:tx>
            <c:strRef>
              <c:f>Death_Secondhandsmoke!$L$41</c:f>
              <c:strCache>
                <c:ptCount val="1"/>
                <c:pt idx="0">
                  <c:v>UE</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3600000" spcFirstLastPara="1" vertOverflow="ellipsis"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o-R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Death_Secondhandsmoke!$I$42:$I$51</c:f>
              <c:strCache>
                <c:ptCount val="10"/>
                <c:pt idx="0">
                  <c:v>BPOC</c:v>
                </c:pt>
                <c:pt idx="1">
                  <c:v>Afecțiuni respiratorii cronice</c:v>
                </c:pt>
                <c:pt idx="2">
                  <c:v>Diabet zaharat</c:v>
                </c:pt>
                <c:pt idx="3">
                  <c:v>Cancer bronhopulmonar</c:v>
                </c:pt>
                <c:pt idx="4">
                  <c:v>Boala ischemică cardiacă</c:v>
                </c:pt>
                <c:pt idx="5">
                  <c:v>Accident vascular cerebral</c:v>
                </c:pt>
                <c:pt idx="6">
                  <c:v>Boli cardiovasculare</c:v>
                </c:pt>
                <c:pt idx="7">
                  <c:v>Diabet și boala cronică de rinichi</c:v>
                </c:pt>
                <c:pt idx="8">
                  <c:v>Toate cauzele</c:v>
                </c:pt>
                <c:pt idx="9">
                  <c:v>Cancer de sân</c:v>
                </c:pt>
              </c:strCache>
            </c:strRef>
          </c:cat>
          <c:val>
            <c:numRef>
              <c:f>Death_Secondhandsmoke!$L$42:$L$51</c:f>
              <c:numCache>
                <c:formatCode>0.00%</c:formatCode>
                <c:ptCount val="10"/>
                <c:pt idx="0">
                  <c:v>5.9327679673837598E-2</c:v>
                </c:pt>
                <c:pt idx="1">
                  <c:v>6.1417370682248097E-2</c:v>
                </c:pt>
                <c:pt idx="2">
                  <c:v>5.0627939945571999E-2</c:v>
                </c:pt>
                <c:pt idx="3">
                  <c:v>3.5879988925767499E-2</c:v>
                </c:pt>
                <c:pt idx="4">
                  <c:v>4.0871509382546099E-2</c:v>
                </c:pt>
                <c:pt idx="5">
                  <c:v>3.43771860209829E-2</c:v>
                </c:pt>
                <c:pt idx="6">
                  <c:v>2.5355128721687201E-2</c:v>
                </c:pt>
                <c:pt idx="7">
                  <c:v>2.53049691759317E-2</c:v>
                </c:pt>
                <c:pt idx="8">
                  <c:v>2.3976046191577401E-2</c:v>
                </c:pt>
                <c:pt idx="9">
                  <c:v>1.6496954439966301E-2</c:v>
                </c:pt>
              </c:numCache>
            </c:numRef>
          </c:val>
          <c:extLst>
            <c:ext xmlns:c16="http://schemas.microsoft.com/office/drawing/2014/chart" uri="{C3380CC4-5D6E-409C-BE32-E72D297353CC}">
              <c16:uniqueId val="{00000001-7EF2-44EB-8450-A75F4EEA15AC}"/>
            </c:ext>
          </c:extLst>
        </c:ser>
        <c:dLbls>
          <c:showLegendKey val="0"/>
          <c:showVal val="0"/>
          <c:showCatName val="0"/>
          <c:showSerName val="0"/>
          <c:showPercent val="0"/>
          <c:showBubbleSize val="0"/>
        </c:dLbls>
        <c:gapWidth val="150"/>
        <c:axId val="1585414319"/>
        <c:axId val="1585415279"/>
      </c:barChart>
      <c:catAx>
        <c:axId val="1585414319"/>
        <c:scaling>
          <c:orientation val="minMax"/>
        </c:scaling>
        <c:delete val="0"/>
        <c:axPos val="b"/>
        <c:numFmt formatCode="General" sourceLinked="1"/>
        <c:majorTickMark val="out"/>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o-RO"/>
          </a:p>
        </c:txPr>
        <c:crossAx val="1585415279"/>
        <c:crosses val="autoZero"/>
        <c:auto val="1"/>
        <c:lblAlgn val="ctr"/>
        <c:lblOffset val="100"/>
        <c:noMultiLvlLbl val="0"/>
      </c:catAx>
      <c:valAx>
        <c:axId val="1585415279"/>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ro-RO"/>
                  <a:t>%</a:t>
                </a:r>
                <a:r>
                  <a:rPr lang="ro-RO" baseline="0"/>
                  <a:t> decese</a:t>
                </a:r>
                <a:endParaRPr lang="ro-RO"/>
              </a:p>
            </c:rich>
          </c:tx>
          <c:overlay val="0"/>
          <c:spPr>
            <a:noFill/>
            <a:ln>
              <a:noFill/>
            </a:ln>
            <a:effectLst/>
          </c:spPr>
          <c:txPr>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o-RO"/>
            </a:p>
          </c:txPr>
        </c:title>
        <c:numFmt formatCode="0%" sourceLinked="0"/>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o-RO"/>
          </a:p>
        </c:txPr>
        <c:crossAx val="1585414319"/>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o-RO"/>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o-RO"/>
    </a:p>
  </c:txPr>
  <c:externalData r:id="rId4">
    <c:autoUpdate val="0"/>
  </c:externalData>
</c:chartSpace>
</file>

<file path=word/charts/chart5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Death_Secondhandsmoke!$O$80</c:f>
              <c:strCache>
                <c:ptCount val="1"/>
                <c:pt idx="0">
                  <c:v>Romania</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o-R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(Death_Secondhandsmoke!$I$81:$I$85,Death_Secondhandsmoke!$I$87:$I$90)</c:f>
              <c:strCache>
                <c:ptCount val="9"/>
                <c:pt idx="0">
                  <c:v>Toate cauzele</c:v>
                </c:pt>
                <c:pt idx="1">
                  <c:v>Boli cardiovasculare</c:v>
                </c:pt>
                <c:pt idx="2">
                  <c:v>Boala ischemică a inimii</c:v>
                </c:pt>
                <c:pt idx="3">
                  <c:v>Accident vascular cerebral</c:v>
                </c:pt>
                <c:pt idx="4">
                  <c:v>Cancere</c:v>
                </c:pt>
                <c:pt idx="5">
                  <c:v>Cancer bronhopulmonar</c:v>
                </c:pt>
                <c:pt idx="6">
                  <c:v>Afecțiuni respiratorii cronice</c:v>
                </c:pt>
                <c:pt idx="7">
                  <c:v>BPOC</c:v>
                </c:pt>
                <c:pt idx="8">
                  <c:v>Cancer de sân</c:v>
                </c:pt>
              </c:strCache>
              <c:extLst/>
            </c:strRef>
          </c:cat>
          <c:val>
            <c:numRef>
              <c:f>(Death_Secondhandsmoke!$O$81:$O$85,Death_Secondhandsmoke!$O$87:$O$90)</c:f>
              <c:numCache>
                <c:formatCode>0.00</c:formatCode>
                <c:ptCount val="9"/>
                <c:pt idx="0">
                  <c:v>18.068597833824999</c:v>
                </c:pt>
                <c:pt idx="1">
                  <c:v>11.4528467205923</c:v>
                </c:pt>
                <c:pt idx="2">
                  <c:v>7.7407632954764196</c:v>
                </c:pt>
                <c:pt idx="3">
                  <c:v>3.7120834251159298</c:v>
                </c:pt>
                <c:pt idx="4">
                  <c:v>2.8486514526778799</c:v>
                </c:pt>
                <c:pt idx="5">
                  <c:v>2.2630827052739799</c:v>
                </c:pt>
                <c:pt idx="6">
                  <c:v>1.3551334758840099</c:v>
                </c:pt>
                <c:pt idx="7">
                  <c:v>1.3297677882875001</c:v>
                </c:pt>
                <c:pt idx="8">
                  <c:v>0.58556874740390996</c:v>
                </c:pt>
              </c:numCache>
              <c:extLst/>
            </c:numRef>
          </c:val>
          <c:extLst>
            <c:ext xmlns:c16="http://schemas.microsoft.com/office/drawing/2014/chart" uri="{C3380CC4-5D6E-409C-BE32-E72D297353CC}">
              <c16:uniqueId val="{00000000-7B68-4793-BA14-FA692C371BCC}"/>
            </c:ext>
          </c:extLst>
        </c:ser>
        <c:ser>
          <c:idx val="1"/>
          <c:order val="1"/>
          <c:tx>
            <c:strRef>
              <c:f>Death_Secondhandsmoke!$L$80</c:f>
              <c:strCache>
                <c:ptCount val="1"/>
                <c:pt idx="0">
                  <c:v>UE</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dLbl>
              <c:idx val="4"/>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ro-RO"/>
                </a:p>
              </c:txPr>
              <c:dLblPos val="outEnd"/>
              <c:showLegendKey val="0"/>
              <c:showVal val="1"/>
              <c:showCatName val="0"/>
              <c:showSerName val="0"/>
              <c:showPercent val="0"/>
              <c:showBubbleSize val="0"/>
              <c:extLst>
                <c:ext xmlns:c15="http://schemas.microsoft.com/office/drawing/2012/chart" uri="{CE6537A1-D6FC-4f65-9D91-7224C49458BB}">
                  <c15:layout>
                    <c:manualLayout>
                      <c:w val="5.5486959808491873E-2"/>
                      <c:h val="5.6426739030502542E-2"/>
                    </c:manualLayout>
                  </c15:layout>
                </c:ext>
                <c:ext xmlns:c16="http://schemas.microsoft.com/office/drawing/2014/chart" uri="{C3380CC4-5D6E-409C-BE32-E72D297353CC}">
                  <c16:uniqueId val="{00000005-7B68-4793-BA14-FA692C371BCC}"/>
                </c:ext>
              </c:extLst>
            </c:dLbl>
            <c:dLbl>
              <c:idx val="5"/>
              <c:layout>
                <c:manualLayout>
                  <c:x val="1.0079375078745118E-2"/>
                  <c:y val="4.7080979284369112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7B68-4793-BA14-FA692C371BCC}"/>
                </c:ext>
              </c:extLst>
            </c:dLbl>
            <c:dLbl>
              <c:idx val="6"/>
              <c:layout>
                <c:manualLayout>
                  <c:x val="1.5119062618117676E-2"/>
                  <c:y val="4.7080979284369112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7B68-4793-BA14-FA692C371BCC}"/>
                </c:ext>
              </c:extLst>
            </c:dLbl>
            <c:dLbl>
              <c:idx val="7"/>
              <c:layout>
                <c:manualLayout>
                  <c:x val="1.0079375078745118E-2"/>
                  <c:y val="4.7080979284369112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7B68-4793-BA14-FA692C371BCC}"/>
                </c:ext>
              </c:extLst>
            </c:dLbl>
            <c:dLbl>
              <c:idx val="8"/>
              <c:layout>
                <c:manualLayout>
                  <c:x val="1.2599218848431397E-2"/>
                  <c:y val="-8.6314131579796564E-17"/>
                </c:manualLayout>
              </c:layout>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ro-RO"/>
                </a:p>
              </c:txPr>
              <c:dLblPos val="outEnd"/>
              <c:showLegendKey val="0"/>
              <c:showVal val="1"/>
              <c:showCatName val="0"/>
              <c:showSerName val="0"/>
              <c:showPercent val="0"/>
              <c:showBubbleSize val="0"/>
              <c:extLst>
                <c:ext xmlns:c15="http://schemas.microsoft.com/office/drawing/2012/chart" uri="{CE6537A1-D6FC-4f65-9D91-7224C49458BB}">
                  <c15:layout>
                    <c:manualLayout>
                      <c:w val="5.5486959808491873E-2"/>
                      <c:h val="6.1134836958939454E-2"/>
                    </c:manualLayout>
                  </c15:layout>
                </c:ext>
                <c:ext xmlns:c16="http://schemas.microsoft.com/office/drawing/2014/chart" uri="{C3380CC4-5D6E-409C-BE32-E72D297353CC}">
                  <c16:uniqueId val="{00000003-7B68-4793-BA14-FA692C371BCC}"/>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o-R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(Death_Secondhandsmoke!$I$81:$I$85,Death_Secondhandsmoke!$I$87:$I$90)</c:f>
              <c:strCache>
                <c:ptCount val="9"/>
                <c:pt idx="0">
                  <c:v>Toate cauzele</c:v>
                </c:pt>
                <c:pt idx="1">
                  <c:v>Boli cardiovasculare</c:v>
                </c:pt>
                <c:pt idx="2">
                  <c:v>Boala ischemică a inimii</c:v>
                </c:pt>
                <c:pt idx="3">
                  <c:v>Accident vascular cerebral</c:v>
                </c:pt>
                <c:pt idx="4">
                  <c:v>Cancere</c:v>
                </c:pt>
                <c:pt idx="5">
                  <c:v>Cancer bronhopulmonar</c:v>
                </c:pt>
                <c:pt idx="6">
                  <c:v>Afecțiuni respiratorii cronice</c:v>
                </c:pt>
                <c:pt idx="7">
                  <c:v>BPOC</c:v>
                </c:pt>
                <c:pt idx="8">
                  <c:v>Cancer de sân</c:v>
                </c:pt>
              </c:strCache>
              <c:extLst/>
            </c:strRef>
          </c:cat>
          <c:val>
            <c:numRef>
              <c:f>(Death_Secondhandsmoke!$L$81:$L$85,Death_Secondhandsmoke!$L$87:$L$90)</c:f>
              <c:numCache>
                <c:formatCode>0.00</c:formatCode>
                <c:ptCount val="9"/>
                <c:pt idx="0">
                  <c:v>7.50005668635856</c:v>
                </c:pt>
                <c:pt idx="1">
                  <c:v>3.4882757579767101</c:v>
                </c:pt>
                <c:pt idx="2">
                  <c:v>2.5860013910393</c:v>
                </c:pt>
                <c:pt idx="3">
                  <c:v>0.90227436693741303</c:v>
                </c:pt>
                <c:pt idx="4">
                  <c:v>2.12977738926842</c:v>
                </c:pt>
                <c:pt idx="5">
                  <c:v>1.7493042373504799</c:v>
                </c:pt>
                <c:pt idx="6">
                  <c:v>0.95246886319504998</c:v>
                </c:pt>
                <c:pt idx="7">
                  <c:v>0.93302197941208298</c:v>
                </c:pt>
                <c:pt idx="8">
                  <c:v>0.38047315191794501</c:v>
                </c:pt>
              </c:numCache>
              <c:extLst/>
            </c:numRef>
          </c:val>
          <c:extLst>
            <c:ext xmlns:c16="http://schemas.microsoft.com/office/drawing/2014/chart" uri="{C3380CC4-5D6E-409C-BE32-E72D297353CC}">
              <c16:uniqueId val="{00000001-7B68-4793-BA14-FA692C371BCC}"/>
            </c:ext>
          </c:extLst>
        </c:ser>
        <c:dLbls>
          <c:showLegendKey val="0"/>
          <c:showVal val="0"/>
          <c:showCatName val="0"/>
          <c:showSerName val="0"/>
          <c:showPercent val="0"/>
          <c:showBubbleSize val="0"/>
        </c:dLbls>
        <c:gapWidth val="150"/>
        <c:axId val="1585414319"/>
        <c:axId val="1585415279"/>
      </c:barChart>
      <c:catAx>
        <c:axId val="1585414319"/>
        <c:scaling>
          <c:orientation val="minMax"/>
        </c:scaling>
        <c:delete val="0"/>
        <c:axPos val="b"/>
        <c:numFmt formatCode="General" sourceLinked="1"/>
        <c:majorTickMark val="out"/>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o-RO"/>
          </a:p>
        </c:txPr>
        <c:crossAx val="1585415279"/>
        <c:crosses val="autoZero"/>
        <c:auto val="1"/>
        <c:lblAlgn val="ctr"/>
        <c:lblOffset val="100"/>
        <c:noMultiLvlLbl val="0"/>
      </c:catAx>
      <c:valAx>
        <c:axId val="1585415279"/>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o-RO"/>
          </a:p>
        </c:txPr>
        <c:crossAx val="1585414319"/>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o-RO"/>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o-RO"/>
    </a:p>
  </c:txPr>
  <c:externalData r:id="rId4">
    <c:autoUpdate val="0"/>
  </c:externalData>
</c:chartSpace>
</file>

<file path=word/charts/chart5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3"/>
          <c:order val="3"/>
          <c:tx>
            <c:strRef>
              <c:f>DALYs_Tobacco!$O$2</c:f>
              <c:strCache>
                <c:ptCount val="1"/>
                <c:pt idx="0">
                  <c:v>Romania</c:v>
                </c:pt>
              </c:strCache>
            </c:strRef>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Pt>
            <c:idx val="0"/>
            <c:invertIfNegative val="0"/>
            <c:bubble3D val="0"/>
            <c:spPr>
              <a:solidFill>
                <a:srgbClr val="00B9F2">
                  <a:lumMod val="75000"/>
                </a:srgbClr>
              </a:solidFill>
              <a:ln>
                <a:solidFill>
                  <a:srgbClr val="00B9F2">
                    <a:lumMod val="75000"/>
                  </a:srgbClr>
                </a:solid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4-D54A-4AA1-8408-4EF07AA9EA28}"/>
              </c:ext>
            </c:extLst>
          </c:dPt>
          <c:dLbls>
            <c:spPr>
              <a:noFill/>
              <a:ln>
                <a:noFill/>
              </a:ln>
              <a:effectLst/>
            </c:spPr>
            <c:txPr>
              <a:bodyPr rot="-5400000" spcFirstLastPara="1" vertOverflow="ellipsis"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ro-R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(DALYs_Tobacco!$I$3:$I$4,DALYs_Tobacco!$I$6:$I$12)</c:f>
              <c:strCache>
                <c:ptCount val="9"/>
                <c:pt idx="0">
                  <c:v>Toate cauzele</c:v>
                </c:pt>
                <c:pt idx="1">
                  <c:v>Boli cardiovasculare</c:v>
                </c:pt>
                <c:pt idx="2">
                  <c:v>Cancere</c:v>
                </c:pt>
                <c:pt idx="3">
                  <c:v>Boala ischemică cardiacă</c:v>
                </c:pt>
                <c:pt idx="4">
                  <c:v>Cancer bronhopulmonar</c:v>
                </c:pt>
                <c:pt idx="5">
                  <c:v>Accident vascular cerebral</c:v>
                </c:pt>
                <c:pt idx="6">
                  <c:v>Afecțiuni respiratorii cronice</c:v>
                </c:pt>
                <c:pt idx="7">
                  <c:v>BPOC</c:v>
                </c:pt>
                <c:pt idx="8">
                  <c:v>Cancer de laringe</c:v>
                </c:pt>
              </c:strCache>
              <c:extLst/>
            </c:strRef>
          </c:cat>
          <c:val>
            <c:numRef>
              <c:f>(DALYs_Tobacco!$O$3:$O$4,DALYs_Tobacco!$O$6:$O$12)</c:f>
              <c:numCache>
                <c:formatCode>0.00</c:formatCode>
                <c:ptCount val="9"/>
                <c:pt idx="0">
                  <c:v>910136.813889932</c:v>
                </c:pt>
                <c:pt idx="1">
                  <c:v>334288.31266205502</c:v>
                </c:pt>
                <c:pt idx="2">
                  <c:v>314485.58346451999</c:v>
                </c:pt>
                <c:pt idx="3">
                  <c:v>217199.23433044201</c:v>
                </c:pt>
                <c:pt idx="4">
                  <c:v>181890.62936883999</c:v>
                </c:pt>
                <c:pt idx="5">
                  <c:v>105843.761925889</c:v>
                </c:pt>
                <c:pt idx="6">
                  <c:v>91339.775850139704</c:v>
                </c:pt>
                <c:pt idx="7">
                  <c:v>84998.505142961498</c:v>
                </c:pt>
                <c:pt idx="8">
                  <c:v>21624.239010162</c:v>
                </c:pt>
              </c:numCache>
              <c:extLst/>
            </c:numRef>
          </c:val>
          <c:extLst>
            <c:ext xmlns:c16="http://schemas.microsoft.com/office/drawing/2014/chart" uri="{C3380CC4-5D6E-409C-BE32-E72D297353CC}">
              <c16:uniqueId val="{00000000-D54A-4AA1-8408-4EF07AA9EA28}"/>
            </c:ext>
          </c:extLst>
        </c:ser>
        <c:dLbls>
          <c:dLblPos val="outEnd"/>
          <c:showLegendKey val="0"/>
          <c:showVal val="1"/>
          <c:showCatName val="0"/>
          <c:showSerName val="0"/>
          <c:showPercent val="0"/>
          <c:showBubbleSize val="0"/>
        </c:dLbls>
        <c:gapWidth val="100"/>
        <c:overlap val="-24"/>
        <c:axId val="899097072"/>
        <c:axId val="899094192"/>
        <c:extLst>
          <c:ext xmlns:c15="http://schemas.microsoft.com/office/drawing/2012/chart" uri="{02D57815-91ED-43cb-92C2-25804820EDAC}">
            <c15:filteredBarSeries>
              <c15:ser>
                <c:idx val="0"/>
                <c:order val="0"/>
                <c:tx>
                  <c:strRef>
                    <c:extLst>
                      <c:ext uri="{02D57815-91ED-43cb-92C2-25804820EDAC}">
                        <c15:formulaRef>
                          <c15:sqref>DALYs_Tobacco!$L$2</c15:sqref>
                        </c15:formulaRef>
                      </c:ext>
                    </c:extLst>
                    <c:strCache>
                      <c:ptCount val="1"/>
                      <c:pt idx="0">
                        <c:v>European Union</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5400000" spcFirstLastPara="1" vertOverflow="ellipsis"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o-RO"/>
                    </a:p>
                  </c:txPr>
                  <c:dLblPos val="outEnd"/>
                  <c:showLegendKey val="0"/>
                  <c:showVal val="1"/>
                  <c:showCatName val="0"/>
                  <c:showSerName val="0"/>
                  <c:showPercent val="0"/>
                  <c:showBubbleSize val="0"/>
                  <c:showLeaderLines val="0"/>
                  <c:extLst>
                    <c:ex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c:ext uri="{02D57815-91ED-43cb-92C2-25804820EDAC}">
                        <c15:formulaRef>
                          <c15:sqref>(DALYs_Tobacco!$I$3:$I$4,DALYs_Tobacco!$I$6:$I$12)</c15:sqref>
                        </c15:formulaRef>
                      </c:ext>
                    </c:extLst>
                    <c:strCache>
                      <c:ptCount val="9"/>
                      <c:pt idx="0">
                        <c:v>Toate cauzele</c:v>
                      </c:pt>
                      <c:pt idx="1">
                        <c:v>Boli cardiovasculare</c:v>
                      </c:pt>
                      <c:pt idx="2">
                        <c:v>Cancere</c:v>
                      </c:pt>
                      <c:pt idx="3">
                        <c:v>Boala ischemică cardiacă</c:v>
                      </c:pt>
                      <c:pt idx="4">
                        <c:v>Cancer bronhopulmonar</c:v>
                      </c:pt>
                      <c:pt idx="5">
                        <c:v>Accident vascular cerebral</c:v>
                      </c:pt>
                      <c:pt idx="6">
                        <c:v>Afecțiuni respiratorii cronice</c:v>
                      </c:pt>
                      <c:pt idx="7">
                        <c:v>BPOC</c:v>
                      </c:pt>
                      <c:pt idx="8">
                        <c:v>Cancer de laringe</c:v>
                      </c:pt>
                    </c:strCache>
                  </c:strRef>
                </c:cat>
                <c:val>
                  <c:numRef>
                    <c:extLst>
                      <c:ext uri="{02D57815-91ED-43cb-92C2-25804820EDAC}">
                        <c15:formulaRef>
                          <c15:sqref>(DALYs_Tobacco!$L$3:$L$4,DALYs_Tobacco!$L$6:$L$12)</c15:sqref>
                        </c15:formulaRef>
                      </c:ext>
                    </c:extLst>
                    <c:numCache>
                      <c:formatCode>0.00</c:formatCode>
                      <c:ptCount val="9"/>
                      <c:pt idx="0">
                        <c:v>14666768.9268286</c:v>
                      </c:pt>
                      <c:pt idx="1">
                        <c:v>3857716.2752692299</c:v>
                      </c:pt>
                      <c:pt idx="2">
                        <c:v>6258858.40914506</c:v>
                      </c:pt>
                      <c:pt idx="3">
                        <c:v>2544626.2987323101</c:v>
                      </c:pt>
                      <c:pt idx="4">
                        <c:v>3950395.7637292501</c:v>
                      </c:pt>
                      <c:pt idx="5">
                        <c:v>984332.49284961796</c:v>
                      </c:pt>
                      <c:pt idx="6">
                        <c:v>1807294.7081107099</c:v>
                      </c:pt>
                      <c:pt idx="7">
                        <c:v>1617928.31324708</c:v>
                      </c:pt>
                      <c:pt idx="8">
                        <c:v>224008.11501011101</c:v>
                      </c:pt>
                    </c:numCache>
                  </c:numRef>
                </c:val>
                <c:extLst>
                  <c:ext xmlns:c16="http://schemas.microsoft.com/office/drawing/2014/chart" uri="{C3380CC4-5D6E-409C-BE32-E72D297353CC}">
                    <c16:uniqueId val="{00000001-D54A-4AA1-8408-4EF07AA9EA28}"/>
                  </c:ext>
                </c:extLst>
              </c15:ser>
            </c15:filteredBarSeries>
            <c15:filteredBarSeries>
              <c15:ser>
                <c:idx val="1"/>
                <c:order val="1"/>
                <c:tx>
                  <c:strRef>
                    <c:extLst xmlns:c15="http://schemas.microsoft.com/office/drawing/2012/chart">
                      <c:ext xmlns:c15="http://schemas.microsoft.com/office/drawing/2012/chart" uri="{02D57815-91ED-43cb-92C2-25804820EDAC}">
                        <c15:formulaRef>
                          <c15:sqref>DALYs_Tobacco!$M$2</c15:sqref>
                        </c15:formulaRef>
                      </c:ext>
                    </c:extLst>
                    <c:strCache>
                      <c:ptCount val="1"/>
                      <c:pt idx="0">
                        <c:v>European Region</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5400000" spcFirstLastPara="1" vertOverflow="ellipsis"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o-RO"/>
                    </a:p>
                  </c:txPr>
                  <c:dLblPos val="out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(DALYs_Tobacco!$I$3:$I$4,DALYs_Tobacco!$I$6:$I$12)</c15:sqref>
                        </c15:formulaRef>
                      </c:ext>
                    </c:extLst>
                    <c:strCache>
                      <c:ptCount val="9"/>
                      <c:pt idx="0">
                        <c:v>Toate cauzele</c:v>
                      </c:pt>
                      <c:pt idx="1">
                        <c:v>Boli cardiovasculare</c:v>
                      </c:pt>
                      <c:pt idx="2">
                        <c:v>Cancere</c:v>
                      </c:pt>
                      <c:pt idx="3">
                        <c:v>Boala ischemică cardiacă</c:v>
                      </c:pt>
                      <c:pt idx="4">
                        <c:v>Cancer bronhopulmonar</c:v>
                      </c:pt>
                      <c:pt idx="5">
                        <c:v>Accident vascular cerebral</c:v>
                      </c:pt>
                      <c:pt idx="6">
                        <c:v>Afecțiuni respiratorii cronice</c:v>
                      </c:pt>
                      <c:pt idx="7">
                        <c:v>BPOC</c:v>
                      </c:pt>
                      <c:pt idx="8">
                        <c:v>Cancer de laringe</c:v>
                      </c:pt>
                    </c:strCache>
                  </c:strRef>
                </c:cat>
                <c:val>
                  <c:numRef>
                    <c:extLst xmlns:c15="http://schemas.microsoft.com/office/drawing/2012/chart">
                      <c:ext xmlns:c15="http://schemas.microsoft.com/office/drawing/2012/chart" uri="{02D57815-91ED-43cb-92C2-25804820EDAC}">
                        <c15:formulaRef>
                          <c15:sqref>(DALYs_Tobacco!$M$3:$M$4,DALYs_Tobacco!$M$6:$M$12)</c15:sqref>
                        </c15:formulaRef>
                      </c:ext>
                    </c:extLst>
                    <c:numCache>
                      <c:formatCode>0.00</c:formatCode>
                      <c:ptCount val="9"/>
                      <c:pt idx="0">
                        <c:v>33139317.521753401</c:v>
                      </c:pt>
                      <c:pt idx="1">
                        <c:v>12458218.0734908</c:v>
                      </c:pt>
                      <c:pt idx="2">
                        <c:v>11182624.022902699</c:v>
                      </c:pt>
                      <c:pt idx="3">
                        <c:v>8701304.6781686507</c:v>
                      </c:pt>
                      <c:pt idx="4">
                        <c:v>6856005.34501852</c:v>
                      </c:pt>
                      <c:pt idx="5">
                        <c:v>3042091.0588484202</c:v>
                      </c:pt>
                      <c:pt idx="6">
                        <c:v>3640609.1927378299</c:v>
                      </c:pt>
                      <c:pt idx="7">
                        <c:v>3283085.4082013601</c:v>
                      </c:pt>
                      <c:pt idx="8">
                        <c:v>455953.53576437599</c:v>
                      </c:pt>
                    </c:numCache>
                  </c:numRef>
                </c:val>
                <c:extLst xmlns:c15="http://schemas.microsoft.com/office/drawing/2012/chart">
                  <c:ext xmlns:c16="http://schemas.microsoft.com/office/drawing/2014/chart" uri="{C3380CC4-5D6E-409C-BE32-E72D297353CC}">
                    <c16:uniqueId val="{00000002-D54A-4AA1-8408-4EF07AA9EA28}"/>
                  </c:ext>
                </c:extLst>
              </c15:ser>
            </c15:filteredBarSeries>
            <c15:filteredBarSeries>
              <c15:ser>
                <c:idx val="2"/>
                <c:order val="2"/>
                <c:tx>
                  <c:strRef>
                    <c:extLst xmlns:c15="http://schemas.microsoft.com/office/drawing/2012/chart">
                      <c:ext xmlns:c15="http://schemas.microsoft.com/office/drawing/2012/chart" uri="{02D57815-91ED-43cb-92C2-25804820EDAC}">
                        <c15:formulaRef>
                          <c15:sqref>DALYs_Tobacco!$N$2</c15:sqref>
                        </c15:formulaRef>
                      </c:ext>
                    </c:extLst>
                    <c:strCache>
                      <c:ptCount val="1"/>
                      <c:pt idx="0">
                        <c:v>Global</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5400000" spcFirstLastPara="1" vertOverflow="ellipsis"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o-RO"/>
                    </a:p>
                  </c:txPr>
                  <c:dLblPos val="out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(DALYs_Tobacco!$I$3:$I$4,DALYs_Tobacco!$I$6:$I$12)</c15:sqref>
                        </c15:formulaRef>
                      </c:ext>
                    </c:extLst>
                    <c:strCache>
                      <c:ptCount val="9"/>
                      <c:pt idx="0">
                        <c:v>Toate cauzele</c:v>
                      </c:pt>
                      <c:pt idx="1">
                        <c:v>Boli cardiovasculare</c:v>
                      </c:pt>
                      <c:pt idx="2">
                        <c:v>Cancere</c:v>
                      </c:pt>
                      <c:pt idx="3">
                        <c:v>Boala ischemică cardiacă</c:v>
                      </c:pt>
                      <c:pt idx="4">
                        <c:v>Cancer bronhopulmonar</c:v>
                      </c:pt>
                      <c:pt idx="5">
                        <c:v>Accident vascular cerebral</c:v>
                      </c:pt>
                      <c:pt idx="6">
                        <c:v>Afecțiuni respiratorii cronice</c:v>
                      </c:pt>
                      <c:pt idx="7">
                        <c:v>BPOC</c:v>
                      </c:pt>
                      <c:pt idx="8">
                        <c:v>Cancer de laringe</c:v>
                      </c:pt>
                    </c:strCache>
                  </c:strRef>
                </c:cat>
                <c:val>
                  <c:numRef>
                    <c:extLst xmlns:c15="http://schemas.microsoft.com/office/drawing/2012/chart">
                      <c:ext xmlns:c15="http://schemas.microsoft.com/office/drawing/2012/chart" uri="{02D57815-91ED-43cb-92C2-25804820EDAC}">
                        <c15:formulaRef>
                          <c15:sqref>(DALYs_Tobacco!$N$3:$N$4,DALYs_Tobacco!$N$6:$N$12)</c15:sqref>
                        </c15:formulaRef>
                      </c:ext>
                    </c:extLst>
                    <c:numCache>
                      <c:formatCode>0.00</c:formatCode>
                      <c:ptCount val="9"/>
                      <c:pt idx="0">
                        <c:v>203733929.09626001</c:v>
                      </c:pt>
                      <c:pt idx="1">
                        <c:v>77965099.493615702</c:v>
                      </c:pt>
                      <c:pt idx="2">
                        <c:v>53948179.140845798</c:v>
                      </c:pt>
                      <c:pt idx="3">
                        <c:v>46321502.040694401</c:v>
                      </c:pt>
                      <c:pt idx="4">
                        <c:v>29364684.2833561</c:v>
                      </c:pt>
                      <c:pt idx="5">
                        <c:v>29534008.971695799</c:v>
                      </c:pt>
                      <c:pt idx="6">
                        <c:v>32761772.4556145</c:v>
                      </c:pt>
                      <c:pt idx="7">
                        <c:v>29755280.235511601</c:v>
                      </c:pt>
                      <c:pt idx="8">
                        <c:v>2434641.4922996699</c:v>
                      </c:pt>
                    </c:numCache>
                  </c:numRef>
                </c:val>
                <c:extLst xmlns:c15="http://schemas.microsoft.com/office/drawing/2012/chart">
                  <c:ext xmlns:c16="http://schemas.microsoft.com/office/drawing/2014/chart" uri="{C3380CC4-5D6E-409C-BE32-E72D297353CC}">
                    <c16:uniqueId val="{00000003-D54A-4AA1-8408-4EF07AA9EA28}"/>
                  </c:ext>
                </c:extLst>
              </c15:ser>
            </c15:filteredBarSeries>
          </c:ext>
        </c:extLst>
      </c:barChart>
      <c:catAx>
        <c:axId val="899097072"/>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o-RO"/>
          </a:p>
        </c:txPr>
        <c:crossAx val="899094192"/>
        <c:crosses val="autoZero"/>
        <c:auto val="1"/>
        <c:lblAlgn val="ctr"/>
        <c:lblOffset val="100"/>
        <c:noMultiLvlLbl val="0"/>
      </c:catAx>
      <c:valAx>
        <c:axId val="89909419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ro-RO"/>
                  <a:t>Număr DALYs</a:t>
                </a:r>
              </a:p>
            </c:rich>
          </c:tx>
          <c:overlay val="0"/>
          <c:spPr>
            <a:noFill/>
            <a:ln>
              <a:noFill/>
            </a:ln>
            <a:effectLst/>
          </c:spPr>
          <c:txPr>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o-RO"/>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o-RO"/>
          </a:p>
        </c:txPr>
        <c:crossAx val="899097072"/>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o-RO"/>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200"/>
            </a:pPr>
            <a:r>
              <a:rPr lang="en-GB" sz="1200" b="0"/>
              <a:t>%</a:t>
            </a:r>
            <a:endParaRPr lang="ro-RO" sz="1200" b="0"/>
          </a:p>
        </c:rich>
      </c:tx>
      <c:overlay val="1"/>
    </c:title>
    <c:autoTitleDeleted val="0"/>
    <c:plotArea>
      <c:layout/>
      <c:barChart>
        <c:barDir val="col"/>
        <c:grouping val="clustered"/>
        <c:varyColors val="0"/>
        <c:ser>
          <c:idx val="0"/>
          <c:order val="0"/>
          <c:tx>
            <c:strRef>
              <c:f>'51'!$D$4</c:f>
              <c:strCache>
                <c:ptCount val="1"/>
                <c:pt idx="0">
                  <c:v> Zilnic</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o-R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('51'!$A$34,'51'!$A$43)</c:f>
              <c:strCache>
                <c:ptCount val="2"/>
                <c:pt idx="0">
                  <c:v>Urban</c:v>
                </c:pt>
                <c:pt idx="1">
                  <c:v>Rural</c:v>
                </c:pt>
              </c:strCache>
            </c:strRef>
          </c:cat>
          <c:val>
            <c:numRef>
              <c:f>('51'!$D$34,'51'!$D$43)</c:f>
              <c:numCache>
                <c:formatCode>0.00</c:formatCode>
                <c:ptCount val="2"/>
                <c:pt idx="0">
                  <c:v>19.91</c:v>
                </c:pt>
                <c:pt idx="1">
                  <c:v>17.21</c:v>
                </c:pt>
              </c:numCache>
            </c:numRef>
          </c:val>
          <c:extLst>
            <c:ext xmlns:c16="http://schemas.microsoft.com/office/drawing/2014/chart" uri="{C3380CC4-5D6E-409C-BE32-E72D297353CC}">
              <c16:uniqueId val="{00000000-515D-45C0-8DF8-2187A5221348}"/>
            </c:ext>
          </c:extLst>
        </c:ser>
        <c:ser>
          <c:idx val="1"/>
          <c:order val="1"/>
          <c:tx>
            <c:strRef>
              <c:f>'51'!$E$4</c:f>
              <c:strCache>
                <c:ptCount val="1"/>
                <c:pt idx="0">
                  <c:v>Ocazional</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o-R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('51'!$A$34,'51'!$A$43)</c:f>
              <c:strCache>
                <c:ptCount val="2"/>
                <c:pt idx="0">
                  <c:v>Urban</c:v>
                </c:pt>
                <c:pt idx="1">
                  <c:v>Rural</c:v>
                </c:pt>
              </c:strCache>
            </c:strRef>
          </c:cat>
          <c:val>
            <c:numRef>
              <c:f>('51'!$E$34,'51'!$E$43)</c:f>
              <c:numCache>
                <c:formatCode>0.00</c:formatCode>
                <c:ptCount val="2"/>
                <c:pt idx="0">
                  <c:v>9</c:v>
                </c:pt>
                <c:pt idx="1">
                  <c:v>7.11</c:v>
                </c:pt>
              </c:numCache>
            </c:numRef>
          </c:val>
          <c:extLst>
            <c:ext xmlns:c16="http://schemas.microsoft.com/office/drawing/2014/chart" uri="{C3380CC4-5D6E-409C-BE32-E72D297353CC}">
              <c16:uniqueId val="{00000001-515D-45C0-8DF8-2187A5221348}"/>
            </c:ext>
          </c:extLst>
        </c:ser>
        <c:dLbls>
          <c:showLegendKey val="0"/>
          <c:showVal val="0"/>
          <c:showCatName val="0"/>
          <c:showSerName val="0"/>
          <c:showPercent val="0"/>
          <c:showBubbleSize val="0"/>
        </c:dLbls>
        <c:gapWidth val="219"/>
        <c:overlap val="-27"/>
        <c:axId val="1665063471"/>
        <c:axId val="1665066351"/>
      </c:barChart>
      <c:catAx>
        <c:axId val="166506347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o-RO"/>
          </a:p>
        </c:txPr>
        <c:crossAx val="1665066351"/>
        <c:crosses val="autoZero"/>
        <c:auto val="1"/>
        <c:lblAlgn val="ctr"/>
        <c:lblOffset val="100"/>
        <c:noMultiLvlLbl val="0"/>
      </c:catAx>
      <c:valAx>
        <c:axId val="1665066351"/>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o-RO"/>
          </a:p>
        </c:txPr>
        <c:crossAx val="1665063471"/>
        <c:crosses val="autoZero"/>
        <c:crossBetween val="between"/>
      </c:valAx>
    </c:plotArea>
    <c:legend>
      <c:legendPos val="b"/>
      <c:overlay val="0"/>
      <c:spPr>
        <a:noFill/>
        <a:ln>
          <a:noFill/>
        </a:ln>
        <a:effectLst/>
      </c:spPr>
      <c:txPr>
        <a:bodyPr rot="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ro-RO"/>
        </a:p>
      </c:txPr>
    </c:legend>
    <c:plotVisOnly val="1"/>
    <c:dispBlanksAs val="gap"/>
    <c:showDLblsOverMax val="0"/>
    <c:extLst/>
  </c:chart>
  <c:txPr>
    <a:bodyPr/>
    <a:lstStyle/>
    <a:p>
      <a:pPr>
        <a:defRPr/>
      </a:pPr>
      <a:endParaRPr lang="ro-RO"/>
    </a:p>
  </c:txPr>
  <c:externalData r:id="rId2">
    <c:autoUpdate val="0"/>
  </c:externalData>
</c:chartSpace>
</file>

<file path=word/charts/chart6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DALYs_Tobacco!$O$41</c:f>
              <c:strCache>
                <c:ptCount val="1"/>
                <c:pt idx="0">
                  <c:v>Romania</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3600000" spcFirstLastPara="1" vertOverflow="ellipsis"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o-R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DALYs_Tobacco!$I$42:$I$51</c:f>
              <c:strCache>
                <c:ptCount val="10"/>
                <c:pt idx="0">
                  <c:v>Cancer de laringe</c:v>
                </c:pt>
                <c:pt idx="1">
                  <c:v>Cancer bronhopulmonar</c:v>
                </c:pt>
                <c:pt idx="2">
                  <c:v>Alte neoplasme ale faringelui</c:v>
                </c:pt>
                <c:pt idx="3">
                  <c:v>Anevrism aortic</c:v>
                </c:pt>
                <c:pt idx="4">
                  <c:v>BPOC</c:v>
                </c:pt>
                <c:pt idx="5">
                  <c:v>Cancer al buzei și oral</c:v>
                </c:pt>
                <c:pt idx="6">
                  <c:v>Cancer esofagian</c:v>
                </c:pt>
                <c:pt idx="7">
                  <c:v>Boala arterială periferică a membrelor inferioare</c:v>
                </c:pt>
                <c:pt idx="8">
                  <c:v>Afecțiuni respiratorii cronice</c:v>
                </c:pt>
                <c:pt idx="9">
                  <c:v>Cancer de vezică</c:v>
                </c:pt>
              </c:strCache>
            </c:strRef>
          </c:cat>
          <c:val>
            <c:numRef>
              <c:f>DALYs_Tobacco!$O$42:$O$51</c:f>
              <c:numCache>
                <c:formatCode>0.00%</c:formatCode>
                <c:ptCount val="10"/>
                <c:pt idx="0">
                  <c:v>0.79954862056077303</c:v>
                </c:pt>
                <c:pt idx="1">
                  <c:v>0.70609646110857704</c:v>
                </c:pt>
                <c:pt idx="2">
                  <c:v>0.50999757162574599</c:v>
                </c:pt>
                <c:pt idx="3">
                  <c:v>0.47000004204390899</c:v>
                </c:pt>
                <c:pt idx="4">
                  <c:v>0.46011617147393502</c:v>
                </c:pt>
                <c:pt idx="5">
                  <c:v>0.41737125857806301</c:v>
                </c:pt>
                <c:pt idx="6">
                  <c:v>0.40414588774860299</c:v>
                </c:pt>
                <c:pt idx="7">
                  <c:v>0.35669565632253603</c:v>
                </c:pt>
                <c:pt idx="8">
                  <c:v>0.31185389009006298</c:v>
                </c:pt>
                <c:pt idx="9">
                  <c:v>0.30588972512968998</c:v>
                </c:pt>
              </c:numCache>
            </c:numRef>
          </c:val>
          <c:extLst>
            <c:ext xmlns:c16="http://schemas.microsoft.com/office/drawing/2014/chart" uri="{C3380CC4-5D6E-409C-BE32-E72D297353CC}">
              <c16:uniqueId val="{00000000-5F7A-4488-9ECD-9A729A6766E1}"/>
            </c:ext>
          </c:extLst>
        </c:ser>
        <c:ser>
          <c:idx val="1"/>
          <c:order val="1"/>
          <c:tx>
            <c:strRef>
              <c:f>DALYs_Tobacco!$L$41</c:f>
              <c:strCache>
                <c:ptCount val="1"/>
                <c:pt idx="0">
                  <c:v>UE</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3600000" spcFirstLastPara="1" vertOverflow="ellipsis"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o-R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DALYs_Tobacco!$I$42:$I$51</c:f>
              <c:strCache>
                <c:ptCount val="10"/>
                <c:pt idx="0">
                  <c:v>Cancer de laringe</c:v>
                </c:pt>
                <c:pt idx="1">
                  <c:v>Cancer bronhopulmonar</c:v>
                </c:pt>
                <c:pt idx="2">
                  <c:v>Alte neoplasme ale faringelui</c:v>
                </c:pt>
                <c:pt idx="3">
                  <c:v>Anevrism aortic</c:v>
                </c:pt>
                <c:pt idx="4">
                  <c:v>BPOC</c:v>
                </c:pt>
                <c:pt idx="5">
                  <c:v>Cancer al buzei și oral</c:v>
                </c:pt>
                <c:pt idx="6">
                  <c:v>Cancer esofagian</c:v>
                </c:pt>
                <c:pt idx="7">
                  <c:v>Boala arterială periferică a membrelor inferioare</c:v>
                </c:pt>
                <c:pt idx="8">
                  <c:v>Afecțiuni respiratorii cronice</c:v>
                </c:pt>
                <c:pt idx="9">
                  <c:v>Cancer de vezică</c:v>
                </c:pt>
              </c:strCache>
            </c:strRef>
          </c:cat>
          <c:val>
            <c:numRef>
              <c:f>DALYs_Tobacco!$L$42:$L$51</c:f>
              <c:numCache>
                <c:formatCode>0.00%</c:formatCode>
                <c:ptCount val="10"/>
                <c:pt idx="0">
                  <c:v>0.76625060040865001</c:v>
                </c:pt>
                <c:pt idx="1">
                  <c:v>0.67467292667156498</c:v>
                </c:pt>
                <c:pt idx="2">
                  <c:v>0.46288824790162503</c:v>
                </c:pt>
                <c:pt idx="3">
                  <c:v>0.45424021766077599</c:v>
                </c:pt>
                <c:pt idx="4">
                  <c:v>0.43700935834462101</c:v>
                </c:pt>
                <c:pt idx="5">
                  <c:v>0.404890616060187</c:v>
                </c:pt>
                <c:pt idx="6">
                  <c:v>0.34497081706974603</c:v>
                </c:pt>
                <c:pt idx="7">
                  <c:v>0.28753125324891698</c:v>
                </c:pt>
                <c:pt idx="8">
                  <c:v>0.28746721804686598</c:v>
                </c:pt>
                <c:pt idx="9">
                  <c:v>0.272840445521421</c:v>
                </c:pt>
              </c:numCache>
            </c:numRef>
          </c:val>
          <c:extLst>
            <c:ext xmlns:c16="http://schemas.microsoft.com/office/drawing/2014/chart" uri="{C3380CC4-5D6E-409C-BE32-E72D297353CC}">
              <c16:uniqueId val="{00000001-5F7A-4488-9ECD-9A729A6766E1}"/>
            </c:ext>
          </c:extLst>
        </c:ser>
        <c:dLbls>
          <c:showLegendKey val="0"/>
          <c:showVal val="0"/>
          <c:showCatName val="0"/>
          <c:showSerName val="0"/>
          <c:showPercent val="0"/>
          <c:showBubbleSize val="0"/>
        </c:dLbls>
        <c:gapWidth val="150"/>
        <c:axId val="1585414319"/>
        <c:axId val="1585415279"/>
      </c:barChart>
      <c:catAx>
        <c:axId val="1585414319"/>
        <c:scaling>
          <c:orientation val="minMax"/>
        </c:scaling>
        <c:delete val="0"/>
        <c:axPos val="b"/>
        <c:numFmt formatCode="General" sourceLinked="1"/>
        <c:majorTickMark val="out"/>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o-RO"/>
          </a:p>
        </c:txPr>
        <c:crossAx val="1585415279"/>
        <c:crosses val="autoZero"/>
        <c:auto val="1"/>
        <c:lblAlgn val="ctr"/>
        <c:lblOffset val="100"/>
        <c:noMultiLvlLbl val="0"/>
      </c:catAx>
      <c:valAx>
        <c:axId val="1585415279"/>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ro-RO"/>
                  <a:t>%DALYs</a:t>
                </a:r>
              </a:p>
            </c:rich>
          </c:tx>
          <c:overlay val="0"/>
          <c:spPr>
            <a:noFill/>
            <a:ln>
              <a:noFill/>
            </a:ln>
            <a:effectLst/>
          </c:spPr>
          <c:txPr>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o-RO"/>
            </a:p>
          </c:txPr>
        </c:title>
        <c:numFmt formatCode="0.0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o-RO"/>
          </a:p>
        </c:txPr>
        <c:crossAx val="1585414319"/>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o-RO"/>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o-RO"/>
    </a:p>
  </c:txPr>
  <c:externalData r:id="rId4">
    <c:autoUpdate val="0"/>
  </c:externalData>
</c:chartSpace>
</file>

<file path=word/charts/chart6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DALYs_Tobacco!$O$80</c:f>
              <c:strCache>
                <c:ptCount val="1"/>
                <c:pt idx="0">
                  <c:v>Romania</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o-R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(DALYs_Tobacco!$I$81:$I$82,DALYs_Tobacco!$I$84:$I$90)</c:f>
              <c:strCache>
                <c:ptCount val="9"/>
                <c:pt idx="0">
                  <c:v>Toate cauzele</c:v>
                </c:pt>
                <c:pt idx="1">
                  <c:v>Boli cardiovasculare</c:v>
                </c:pt>
                <c:pt idx="2">
                  <c:v>Cancere</c:v>
                </c:pt>
                <c:pt idx="3">
                  <c:v>Boala ischemică cardiacă</c:v>
                </c:pt>
                <c:pt idx="4">
                  <c:v>Cancer bronhopulmonar</c:v>
                </c:pt>
                <c:pt idx="5">
                  <c:v>Accident vascular cerebral</c:v>
                </c:pt>
                <c:pt idx="6">
                  <c:v>Afecțiuni respiratorii cronice</c:v>
                </c:pt>
                <c:pt idx="7">
                  <c:v>BPCO</c:v>
                </c:pt>
                <c:pt idx="8">
                  <c:v>Cancer de laringe</c:v>
                </c:pt>
              </c:strCache>
              <c:extLst/>
            </c:strRef>
          </c:cat>
          <c:val>
            <c:numRef>
              <c:f>(DALYs_Tobacco!$O$81:$O$82,DALYs_Tobacco!$O$84:$O$90)</c:f>
              <c:numCache>
                <c:formatCode>0.00</c:formatCode>
                <c:ptCount val="9"/>
                <c:pt idx="0">
                  <c:v>2817.9010437040001</c:v>
                </c:pt>
                <c:pt idx="1">
                  <c:v>1000.66824177915</c:v>
                </c:pt>
                <c:pt idx="2">
                  <c:v>927.49922648384995</c:v>
                </c:pt>
                <c:pt idx="3">
                  <c:v>656.27816505102601</c:v>
                </c:pt>
                <c:pt idx="4">
                  <c:v>527.46390406622504</c:v>
                </c:pt>
                <c:pt idx="5">
                  <c:v>310.72370419851501</c:v>
                </c:pt>
                <c:pt idx="6">
                  <c:v>265.18610681477099</c:v>
                </c:pt>
                <c:pt idx="7">
                  <c:v>238.91718649379001</c:v>
                </c:pt>
                <c:pt idx="8">
                  <c:v>64.382610885538696</c:v>
                </c:pt>
              </c:numCache>
              <c:extLst/>
            </c:numRef>
          </c:val>
          <c:extLst>
            <c:ext xmlns:c16="http://schemas.microsoft.com/office/drawing/2014/chart" uri="{C3380CC4-5D6E-409C-BE32-E72D297353CC}">
              <c16:uniqueId val="{00000000-838F-45C1-BEA6-515169AB7D3B}"/>
            </c:ext>
          </c:extLst>
        </c:ser>
        <c:ser>
          <c:idx val="1"/>
          <c:order val="1"/>
          <c:tx>
            <c:strRef>
              <c:f>DALYs_Tobacco!$L$80</c:f>
              <c:strCache>
                <c:ptCount val="1"/>
                <c:pt idx="0">
                  <c:v>UE</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dLbl>
              <c:idx val="2"/>
              <c:layout>
                <c:manualLayout>
                  <c:x val="6.6152149944872802E-3"/>
                  <c:y val="1.5120967741935484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838F-45C1-BEA6-515169AB7D3B}"/>
                </c:ext>
              </c:extLst>
            </c:dLbl>
            <c:dLbl>
              <c:idx val="4"/>
              <c:layout>
                <c:manualLayout>
                  <c:x val="1.3230429988974642E-2"/>
                  <c:y val="1.5120967741935484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838F-45C1-BEA6-515169AB7D3B}"/>
                </c:ext>
              </c:extLst>
            </c:dLbl>
            <c:dLbl>
              <c:idx val="5"/>
              <c:layout>
                <c:manualLayout>
                  <c:x val="6.615214994487321E-3"/>
                  <c:y val="5.0403225806451152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838F-45C1-BEA6-515169AB7D3B}"/>
                </c:ext>
              </c:extLst>
            </c:dLbl>
            <c:dLbl>
              <c:idx val="6"/>
              <c:layout>
                <c:manualLayout>
                  <c:x val="2.4255788313120016E-2"/>
                  <c:y val="1.0080645161290322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838F-45C1-BEA6-515169AB7D3B}"/>
                </c:ext>
              </c:extLst>
            </c:dLbl>
            <c:dLbl>
              <c:idx val="7"/>
              <c:layout>
                <c:manualLayout>
                  <c:x val="6.6152149944871588E-3"/>
                  <c:y val="1.5120967741935484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838F-45C1-BEA6-515169AB7D3B}"/>
                </c:ext>
              </c:extLst>
            </c:dLbl>
            <c:dLbl>
              <c:idx val="8"/>
              <c:layout>
                <c:manualLayout>
                  <c:x val="2.4255788313120016E-2"/>
                  <c:y val="1.0080843599187152E-2"/>
                </c:manualLayout>
              </c:layout>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ro-RO"/>
                </a:p>
              </c:txPr>
              <c:dLblPos val="outEnd"/>
              <c:showLegendKey val="0"/>
              <c:showVal val="1"/>
              <c:showCatName val="0"/>
              <c:showSerName val="0"/>
              <c:showPercent val="0"/>
              <c:showBubbleSize val="0"/>
              <c:extLst>
                <c:ext xmlns:c15="http://schemas.microsoft.com/office/drawing/2012/chart" uri="{CE6537A1-D6FC-4f65-9D91-7224C49458BB}">
                  <c15:layout>
                    <c:manualLayout>
                      <c:w val="5.8610804851157661E-2"/>
                      <c:h val="5.0327819405638803E-2"/>
                    </c:manualLayout>
                  </c15:layout>
                </c:ext>
                <c:ext xmlns:c16="http://schemas.microsoft.com/office/drawing/2014/chart" uri="{C3380CC4-5D6E-409C-BE32-E72D297353CC}">
                  <c16:uniqueId val="{00000002-838F-45C1-BEA6-515169AB7D3B}"/>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o-R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(DALYs_Tobacco!$I$81:$I$82,DALYs_Tobacco!$I$84:$I$90)</c:f>
              <c:strCache>
                <c:ptCount val="9"/>
                <c:pt idx="0">
                  <c:v>Toate cauzele</c:v>
                </c:pt>
                <c:pt idx="1">
                  <c:v>Boli cardiovasculare</c:v>
                </c:pt>
                <c:pt idx="2">
                  <c:v>Cancere</c:v>
                </c:pt>
                <c:pt idx="3">
                  <c:v>Boala ischemică cardiacă</c:v>
                </c:pt>
                <c:pt idx="4">
                  <c:v>Cancer bronhopulmonar</c:v>
                </c:pt>
                <c:pt idx="5">
                  <c:v>Accident vascular cerebral</c:v>
                </c:pt>
                <c:pt idx="6">
                  <c:v>Afecțiuni respiratorii cronice</c:v>
                </c:pt>
                <c:pt idx="7">
                  <c:v>BPCO</c:v>
                </c:pt>
                <c:pt idx="8">
                  <c:v>Cancer de laringe</c:v>
                </c:pt>
              </c:strCache>
              <c:extLst/>
            </c:strRef>
          </c:cat>
          <c:val>
            <c:numRef>
              <c:f>(DALYs_Tobacco!$L$81:$L$82,DALYs_Tobacco!$L$84:$L$90)</c:f>
              <c:numCache>
                <c:formatCode>0.00</c:formatCode>
                <c:ptCount val="9"/>
                <c:pt idx="0">
                  <c:v>1773.4805145237599</c:v>
                </c:pt>
                <c:pt idx="1">
                  <c:v>461.00461814236297</c:v>
                </c:pt>
                <c:pt idx="2">
                  <c:v>721.66444841395003</c:v>
                </c:pt>
                <c:pt idx="3">
                  <c:v>305.18726619243199</c:v>
                </c:pt>
                <c:pt idx="4">
                  <c:v>449.79383151608101</c:v>
                </c:pt>
                <c:pt idx="5">
                  <c:v>118.214658436986</c:v>
                </c:pt>
                <c:pt idx="6">
                  <c:v>205.77376997439299</c:v>
                </c:pt>
                <c:pt idx="7">
                  <c:v>169.42184946872101</c:v>
                </c:pt>
                <c:pt idx="8">
                  <c:v>26.4925941721844</c:v>
                </c:pt>
              </c:numCache>
              <c:extLst/>
            </c:numRef>
          </c:val>
          <c:extLst>
            <c:ext xmlns:c16="http://schemas.microsoft.com/office/drawing/2014/chart" uri="{C3380CC4-5D6E-409C-BE32-E72D297353CC}">
              <c16:uniqueId val="{00000001-838F-45C1-BEA6-515169AB7D3B}"/>
            </c:ext>
          </c:extLst>
        </c:ser>
        <c:dLbls>
          <c:showLegendKey val="0"/>
          <c:showVal val="0"/>
          <c:showCatName val="0"/>
          <c:showSerName val="0"/>
          <c:showPercent val="0"/>
          <c:showBubbleSize val="0"/>
        </c:dLbls>
        <c:gapWidth val="150"/>
        <c:axId val="1585414319"/>
        <c:axId val="1585415279"/>
      </c:barChart>
      <c:catAx>
        <c:axId val="1585414319"/>
        <c:scaling>
          <c:orientation val="minMax"/>
        </c:scaling>
        <c:delete val="0"/>
        <c:axPos val="b"/>
        <c:numFmt formatCode="General" sourceLinked="1"/>
        <c:majorTickMark val="out"/>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o-RO"/>
          </a:p>
        </c:txPr>
        <c:crossAx val="1585415279"/>
        <c:crosses val="autoZero"/>
        <c:auto val="1"/>
        <c:lblAlgn val="ctr"/>
        <c:lblOffset val="100"/>
        <c:noMultiLvlLbl val="0"/>
      </c:catAx>
      <c:valAx>
        <c:axId val="1585415279"/>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ro-RO"/>
                  <a:t>Rată</a:t>
                </a:r>
                <a:r>
                  <a:rPr lang="ro-RO" baseline="0"/>
                  <a:t> standardizată DALYs</a:t>
                </a:r>
                <a:endParaRPr lang="ro-RO"/>
              </a:p>
            </c:rich>
          </c:tx>
          <c:overlay val="0"/>
          <c:spPr>
            <a:noFill/>
            <a:ln>
              <a:noFill/>
            </a:ln>
            <a:effectLst/>
          </c:spPr>
          <c:txPr>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o-RO"/>
            </a:p>
          </c:txPr>
        </c:title>
        <c:numFmt formatCode="0.0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o-RO"/>
          </a:p>
        </c:txPr>
        <c:crossAx val="1585414319"/>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o-RO"/>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o-RO"/>
    </a:p>
  </c:txPr>
  <c:externalData r:id="rId4">
    <c:autoUpdate val="0"/>
  </c:externalData>
</c:chartSpace>
</file>

<file path=word/charts/chart6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3"/>
          <c:order val="3"/>
          <c:tx>
            <c:strRef>
              <c:f>DALYs_Seconhandsmoke!$O$2</c:f>
              <c:strCache>
                <c:ptCount val="1"/>
                <c:pt idx="0">
                  <c:v>România</c:v>
                </c:pt>
              </c:strCache>
            </c:strRef>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Pt>
            <c:idx val="0"/>
            <c:invertIfNegative val="0"/>
            <c:bubble3D val="0"/>
            <c:spPr>
              <a:solidFill>
                <a:srgbClr val="00B9F2">
                  <a:lumMod val="75000"/>
                </a:srgbClr>
              </a:solidFill>
              <a:ln>
                <a:solidFill>
                  <a:srgbClr val="00B9F2">
                    <a:lumMod val="75000"/>
                  </a:srgbClr>
                </a:solid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4-DE8E-40C2-9A70-4E1F01A1AFCB}"/>
              </c:ext>
            </c:extLst>
          </c:dPt>
          <c:dLbls>
            <c:spPr>
              <a:noFill/>
              <a:ln>
                <a:noFill/>
              </a:ln>
              <a:effectLst/>
            </c:spPr>
            <c:txPr>
              <a:bodyPr rot="-5400000" spcFirstLastPara="1" vertOverflow="ellipsis"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o-R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(DALYs_Seconhandsmoke!$I$3:$I$6,DALYs_Seconhandsmoke!$I$8:$I$12)</c:f>
              <c:strCache>
                <c:ptCount val="9"/>
                <c:pt idx="0">
                  <c:v>Toate cauzele</c:v>
                </c:pt>
                <c:pt idx="1">
                  <c:v>Boli cardiovasculare</c:v>
                </c:pt>
                <c:pt idx="2">
                  <c:v>Boala ischemică cardiacă</c:v>
                </c:pt>
                <c:pt idx="3">
                  <c:v>Accident vascular cerebral</c:v>
                </c:pt>
                <c:pt idx="4">
                  <c:v>Cancere</c:v>
                </c:pt>
                <c:pt idx="5">
                  <c:v>Cancer bronhopulmonar</c:v>
                </c:pt>
                <c:pt idx="6">
                  <c:v>Afecțiuni respiratorii cronice</c:v>
                </c:pt>
                <c:pt idx="7">
                  <c:v>BPOC</c:v>
                </c:pt>
                <c:pt idx="8">
                  <c:v>Diabet și boala cronică de rinichi</c:v>
                </c:pt>
              </c:strCache>
              <c:extLst/>
            </c:strRef>
          </c:cat>
          <c:val>
            <c:numRef>
              <c:f>(DALYs_Seconhandsmoke!$O$3:$O$6,DALYs_Seconhandsmoke!$O$8:$O$12)</c:f>
              <c:numCache>
                <c:formatCode>0.00</c:formatCode>
                <c:ptCount val="9"/>
                <c:pt idx="0">
                  <c:v>150060.24008560099</c:v>
                </c:pt>
                <c:pt idx="1">
                  <c:v>79729.259415472901</c:v>
                </c:pt>
                <c:pt idx="2">
                  <c:v>53908.4859717043</c:v>
                </c:pt>
                <c:pt idx="3">
                  <c:v>26974.994735988301</c:v>
                </c:pt>
                <c:pt idx="4">
                  <c:v>25820.773443768499</c:v>
                </c:pt>
                <c:pt idx="5">
                  <c:v>21313.433542373001</c:v>
                </c:pt>
                <c:pt idx="6">
                  <c:v>19765.054399021101</c:v>
                </c:pt>
                <c:pt idx="7">
                  <c:v>17202.148978319699</c:v>
                </c:pt>
                <c:pt idx="8">
                  <c:v>5757.49941307073</c:v>
                </c:pt>
              </c:numCache>
              <c:extLst/>
            </c:numRef>
          </c:val>
          <c:extLst>
            <c:ext xmlns:c16="http://schemas.microsoft.com/office/drawing/2014/chart" uri="{C3380CC4-5D6E-409C-BE32-E72D297353CC}">
              <c16:uniqueId val="{00000000-DE8E-40C2-9A70-4E1F01A1AFCB}"/>
            </c:ext>
          </c:extLst>
        </c:ser>
        <c:dLbls>
          <c:dLblPos val="outEnd"/>
          <c:showLegendKey val="0"/>
          <c:showVal val="1"/>
          <c:showCatName val="0"/>
          <c:showSerName val="0"/>
          <c:showPercent val="0"/>
          <c:showBubbleSize val="0"/>
        </c:dLbls>
        <c:gapWidth val="100"/>
        <c:overlap val="-24"/>
        <c:axId val="899097072"/>
        <c:axId val="899094192"/>
        <c:extLst>
          <c:ext xmlns:c15="http://schemas.microsoft.com/office/drawing/2012/chart" uri="{02D57815-91ED-43cb-92C2-25804820EDAC}">
            <c15:filteredBarSeries>
              <c15:ser>
                <c:idx val="0"/>
                <c:order val="0"/>
                <c:tx>
                  <c:strRef>
                    <c:extLst>
                      <c:ext uri="{02D57815-91ED-43cb-92C2-25804820EDAC}">
                        <c15:formulaRef>
                          <c15:sqref>DALYs_Seconhandsmoke!$L$2</c15:sqref>
                        </c15:formulaRef>
                      </c:ext>
                    </c:extLst>
                    <c:strCache>
                      <c:ptCount val="1"/>
                      <c:pt idx="0">
                        <c:v>UE</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5400000" spcFirstLastPara="1" vertOverflow="ellipsis"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o-RO"/>
                    </a:p>
                  </c:txPr>
                  <c:dLblPos val="outEnd"/>
                  <c:showLegendKey val="0"/>
                  <c:showVal val="1"/>
                  <c:showCatName val="0"/>
                  <c:showSerName val="0"/>
                  <c:showPercent val="0"/>
                  <c:showBubbleSize val="0"/>
                  <c:showLeaderLines val="0"/>
                  <c:extLst>
                    <c:ex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c:ext uri="{02D57815-91ED-43cb-92C2-25804820EDAC}">
                        <c15:formulaRef>
                          <c15:sqref>(DALYs_Seconhandsmoke!$I$3:$I$6,DALYs_Seconhandsmoke!$I$8:$I$12)</c15:sqref>
                        </c15:formulaRef>
                      </c:ext>
                    </c:extLst>
                    <c:strCache>
                      <c:ptCount val="9"/>
                      <c:pt idx="0">
                        <c:v>Toate cauzele</c:v>
                      </c:pt>
                      <c:pt idx="1">
                        <c:v>Boli cardiovasculare</c:v>
                      </c:pt>
                      <c:pt idx="2">
                        <c:v>Boala ischemică cardiacă</c:v>
                      </c:pt>
                      <c:pt idx="3">
                        <c:v>Accident vascular cerebral</c:v>
                      </c:pt>
                      <c:pt idx="4">
                        <c:v>Cancere</c:v>
                      </c:pt>
                      <c:pt idx="5">
                        <c:v>Cancer bronhopulmonar</c:v>
                      </c:pt>
                      <c:pt idx="6">
                        <c:v>Afecțiuni respiratorii cronice</c:v>
                      </c:pt>
                      <c:pt idx="7">
                        <c:v>BPOC</c:v>
                      </c:pt>
                      <c:pt idx="8">
                        <c:v>Diabet și boala cronică de rinichi</c:v>
                      </c:pt>
                    </c:strCache>
                  </c:strRef>
                </c:cat>
                <c:val>
                  <c:numRef>
                    <c:extLst>
                      <c:ext uri="{02D57815-91ED-43cb-92C2-25804820EDAC}">
                        <c15:formulaRef>
                          <c15:sqref>(DALYs_Seconhandsmoke!$L$3:$L$6,DALYs_Seconhandsmoke!$L$8:$L$12)</c15:sqref>
                        </c15:formulaRef>
                      </c:ext>
                    </c:extLst>
                    <c:numCache>
                      <c:formatCode>0.00</c:formatCode>
                      <c:ptCount val="9"/>
                      <c:pt idx="0">
                        <c:v>1778954.6576356899</c:v>
                      </c:pt>
                      <c:pt idx="1">
                        <c:v>719914.82698750601</c:v>
                      </c:pt>
                      <c:pt idx="2">
                        <c:v>525616.59443031496</c:v>
                      </c:pt>
                      <c:pt idx="3">
                        <c:v>475962.367070248</c:v>
                      </c:pt>
                      <c:pt idx="4">
                        <c:v>194298.23255718901</c:v>
                      </c:pt>
                      <c:pt idx="5">
                        <c:v>383895.57770724798</c:v>
                      </c:pt>
                      <c:pt idx="6">
                        <c:v>324718.72704746202</c:v>
                      </c:pt>
                      <c:pt idx="7">
                        <c:v>256225.30259143599</c:v>
                      </c:pt>
                      <c:pt idx="8">
                        <c:v>132581.76547015901</c:v>
                      </c:pt>
                    </c:numCache>
                  </c:numRef>
                </c:val>
                <c:extLst>
                  <c:ext xmlns:c16="http://schemas.microsoft.com/office/drawing/2014/chart" uri="{C3380CC4-5D6E-409C-BE32-E72D297353CC}">
                    <c16:uniqueId val="{00000001-DE8E-40C2-9A70-4E1F01A1AFCB}"/>
                  </c:ext>
                </c:extLst>
              </c15:ser>
            </c15:filteredBarSeries>
            <c15:filteredBarSeries>
              <c15:ser>
                <c:idx val="1"/>
                <c:order val="1"/>
                <c:tx>
                  <c:strRef>
                    <c:extLst xmlns:c15="http://schemas.microsoft.com/office/drawing/2012/chart">
                      <c:ext xmlns:c15="http://schemas.microsoft.com/office/drawing/2012/chart" uri="{02D57815-91ED-43cb-92C2-25804820EDAC}">
                        <c15:formulaRef>
                          <c15:sqref>DALYs_Seconhandsmoke!$M$2</c15:sqref>
                        </c15:formulaRef>
                      </c:ext>
                    </c:extLst>
                    <c:strCache>
                      <c:ptCount val="1"/>
                      <c:pt idx="0">
                        <c:v>European Region</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5400000" spcFirstLastPara="1" vertOverflow="ellipsis"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o-RO"/>
                    </a:p>
                  </c:txPr>
                  <c:dLblPos val="out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(DALYs_Seconhandsmoke!$I$3:$I$6,DALYs_Seconhandsmoke!$I$8:$I$12)</c15:sqref>
                        </c15:formulaRef>
                      </c:ext>
                    </c:extLst>
                    <c:strCache>
                      <c:ptCount val="9"/>
                      <c:pt idx="0">
                        <c:v>Toate cauzele</c:v>
                      </c:pt>
                      <c:pt idx="1">
                        <c:v>Boli cardiovasculare</c:v>
                      </c:pt>
                      <c:pt idx="2">
                        <c:v>Boala ischemică cardiacă</c:v>
                      </c:pt>
                      <c:pt idx="3">
                        <c:v>Accident vascular cerebral</c:v>
                      </c:pt>
                      <c:pt idx="4">
                        <c:v>Cancere</c:v>
                      </c:pt>
                      <c:pt idx="5">
                        <c:v>Cancer bronhopulmonar</c:v>
                      </c:pt>
                      <c:pt idx="6">
                        <c:v>Afecțiuni respiratorii cronice</c:v>
                      </c:pt>
                      <c:pt idx="7">
                        <c:v>BPOC</c:v>
                      </c:pt>
                      <c:pt idx="8">
                        <c:v>Diabet și boala cronică de rinichi</c:v>
                      </c:pt>
                    </c:strCache>
                  </c:strRef>
                </c:cat>
                <c:val>
                  <c:numRef>
                    <c:extLst xmlns:c15="http://schemas.microsoft.com/office/drawing/2012/chart">
                      <c:ext xmlns:c15="http://schemas.microsoft.com/office/drawing/2012/chart" uri="{02D57815-91ED-43cb-92C2-25804820EDAC}">
                        <c15:formulaRef>
                          <c15:sqref>(DALYs_Seconhandsmoke!$M$3:$M$6,DALYs_Seconhandsmoke!$M$8:$M$12)</c15:sqref>
                        </c15:formulaRef>
                      </c:ext>
                    </c:extLst>
                    <c:numCache>
                      <c:formatCode>0.00</c:formatCode>
                      <c:ptCount val="9"/>
                      <c:pt idx="0">
                        <c:v>4860921.59124065</c:v>
                      </c:pt>
                      <c:pt idx="1">
                        <c:v>2433726.06672318</c:v>
                      </c:pt>
                      <c:pt idx="2">
                        <c:v>1834601.31173265</c:v>
                      </c:pt>
                      <c:pt idx="3">
                        <c:v>877179.47952173301</c:v>
                      </c:pt>
                      <c:pt idx="4">
                        <c:v>599124.754990538</c:v>
                      </c:pt>
                      <c:pt idx="5">
                        <c:v>681456.72625430196</c:v>
                      </c:pt>
                      <c:pt idx="6">
                        <c:v>719128.90951133205</c:v>
                      </c:pt>
                      <c:pt idx="7">
                        <c:v>578475.73649425001</c:v>
                      </c:pt>
                      <c:pt idx="8">
                        <c:v>327138.35831662198</c:v>
                      </c:pt>
                    </c:numCache>
                  </c:numRef>
                </c:val>
                <c:extLst xmlns:c15="http://schemas.microsoft.com/office/drawing/2012/chart">
                  <c:ext xmlns:c16="http://schemas.microsoft.com/office/drawing/2014/chart" uri="{C3380CC4-5D6E-409C-BE32-E72D297353CC}">
                    <c16:uniqueId val="{00000002-DE8E-40C2-9A70-4E1F01A1AFCB}"/>
                  </c:ext>
                </c:extLst>
              </c15:ser>
            </c15:filteredBarSeries>
            <c15:filteredBarSeries>
              <c15:ser>
                <c:idx val="2"/>
                <c:order val="2"/>
                <c:tx>
                  <c:strRef>
                    <c:extLst xmlns:c15="http://schemas.microsoft.com/office/drawing/2012/chart">
                      <c:ext xmlns:c15="http://schemas.microsoft.com/office/drawing/2012/chart" uri="{02D57815-91ED-43cb-92C2-25804820EDAC}">
                        <c15:formulaRef>
                          <c15:sqref>DALYs_Seconhandsmoke!$N$2</c15:sqref>
                        </c15:formulaRef>
                      </c:ext>
                    </c:extLst>
                    <c:strCache>
                      <c:ptCount val="1"/>
                      <c:pt idx="0">
                        <c:v>Global</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5400000" spcFirstLastPara="1" vertOverflow="ellipsis"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o-RO"/>
                    </a:p>
                  </c:txPr>
                  <c:dLblPos val="out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(DALYs_Seconhandsmoke!$I$3:$I$6,DALYs_Seconhandsmoke!$I$8:$I$12)</c15:sqref>
                        </c15:formulaRef>
                      </c:ext>
                    </c:extLst>
                    <c:strCache>
                      <c:ptCount val="9"/>
                      <c:pt idx="0">
                        <c:v>Toate cauzele</c:v>
                      </c:pt>
                      <c:pt idx="1">
                        <c:v>Boli cardiovasculare</c:v>
                      </c:pt>
                      <c:pt idx="2">
                        <c:v>Boala ischemică cardiacă</c:v>
                      </c:pt>
                      <c:pt idx="3">
                        <c:v>Accident vascular cerebral</c:v>
                      </c:pt>
                      <c:pt idx="4">
                        <c:v>Cancere</c:v>
                      </c:pt>
                      <c:pt idx="5">
                        <c:v>Cancer bronhopulmonar</c:v>
                      </c:pt>
                      <c:pt idx="6">
                        <c:v>Afecțiuni respiratorii cronice</c:v>
                      </c:pt>
                      <c:pt idx="7">
                        <c:v>BPOC</c:v>
                      </c:pt>
                      <c:pt idx="8">
                        <c:v>Diabet și boala cronică de rinichi</c:v>
                      </c:pt>
                    </c:strCache>
                  </c:strRef>
                </c:cat>
                <c:val>
                  <c:numRef>
                    <c:extLst xmlns:c15="http://schemas.microsoft.com/office/drawing/2012/chart">
                      <c:ext xmlns:c15="http://schemas.microsoft.com/office/drawing/2012/chart" uri="{02D57815-91ED-43cb-92C2-25804820EDAC}">
                        <c15:formulaRef>
                          <c15:sqref>(DALYs_Seconhandsmoke!$N$3:$N$6,DALYs_Seconhandsmoke!$N$8:$N$12)</c15:sqref>
                        </c15:formulaRef>
                      </c:ext>
                    </c:extLst>
                    <c:numCache>
                      <c:formatCode>0.00</c:formatCode>
                      <c:ptCount val="9"/>
                      <c:pt idx="0">
                        <c:v>44839546.576473102</c:v>
                      </c:pt>
                      <c:pt idx="1">
                        <c:v>18499244.585813601</c:v>
                      </c:pt>
                      <c:pt idx="2">
                        <c:v>12002351.1072054</c:v>
                      </c:pt>
                      <c:pt idx="3">
                        <c:v>5446434.37621688</c:v>
                      </c:pt>
                      <c:pt idx="4">
                        <c:v>6496893.4786081901</c:v>
                      </c:pt>
                      <c:pt idx="5">
                        <c:v>3891117.1913609901</c:v>
                      </c:pt>
                      <c:pt idx="6">
                        <c:v>9288231.7759384606</c:v>
                      </c:pt>
                      <c:pt idx="7">
                        <c:v>7746035.5858321497</c:v>
                      </c:pt>
                      <c:pt idx="8">
                        <c:v>3578882.46005768</c:v>
                      </c:pt>
                    </c:numCache>
                  </c:numRef>
                </c:val>
                <c:extLst xmlns:c15="http://schemas.microsoft.com/office/drawing/2012/chart">
                  <c:ext xmlns:c16="http://schemas.microsoft.com/office/drawing/2014/chart" uri="{C3380CC4-5D6E-409C-BE32-E72D297353CC}">
                    <c16:uniqueId val="{00000003-DE8E-40C2-9A70-4E1F01A1AFCB}"/>
                  </c:ext>
                </c:extLst>
              </c15:ser>
            </c15:filteredBarSeries>
          </c:ext>
        </c:extLst>
      </c:barChart>
      <c:catAx>
        <c:axId val="899097072"/>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o-RO"/>
          </a:p>
        </c:txPr>
        <c:crossAx val="899094192"/>
        <c:crosses val="autoZero"/>
        <c:auto val="1"/>
        <c:lblAlgn val="ctr"/>
        <c:lblOffset val="100"/>
        <c:noMultiLvlLbl val="0"/>
      </c:catAx>
      <c:valAx>
        <c:axId val="89909419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ro-RO"/>
                  <a:t>Număr DALYs</a:t>
                </a:r>
              </a:p>
            </c:rich>
          </c:tx>
          <c:overlay val="0"/>
          <c:spPr>
            <a:noFill/>
            <a:ln>
              <a:noFill/>
            </a:ln>
            <a:effectLst/>
          </c:spPr>
          <c:txPr>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o-RO"/>
            </a:p>
          </c:tx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o-RO"/>
          </a:p>
        </c:txPr>
        <c:crossAx val="89909707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o-RO"/>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o-RO"/>
    </a:p>
  </c:txPr>
  <c:externalData r:id="rId4">
    <c:autoUpdate val="0"/>
  </c:externalData>
</c:chartSpace>
</file>

<file path=word/charts/chart6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DALYs_Seconhandsmoke!$O$41</c:f>
              <c:strCache>
                <c:ptCount val="1"/>
                <c:pt idx="0">
                  <c:v>România</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3600000" spcFirstLastPara="1" vertOverflow="ellipsis"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o-R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DALYs_Seconhandsmoke!$I$42:$I$51</c:f>
              <c:strCache>
                <c:ptCount val="10"/>
                <c:pt idx="0">
                  <c:v>BPOC</c:v>
                </c:pt>
                <c:pt idx="1">
                  <c:v>Diabet zaharat</c:v>
                </c:pt>
                <c:pt idx="2">
                  <c:v>Cancer bronhopulmonar</c:v>
                </c:pt>
                <c:pt idx="3">
                  <c:v>Afecțiuni respiratorii cronice</c:v>
                </c:pt>
                <c:pt idx="4">
                  <c:v>Boala ischemică cardiacă</c:v>
                </c:pt>
                <c:pt idx="5">
                  <c:v>Accident vascular cerebral</c:v>
                </c:pt>
                <c:pt idx="6">
                  <c:v>Boli cardiovasculare</c:v>
                </c:pt>
                <c:pt idx="7">
                  <c:v>Diabet și boala cronică de rinichi</c:v>
                </c:pt>
                <c:pt idx="8">
                  <c:v>Toate cauzele</c:v>
                </c:pt>
                <c:pt idx="9">
                  <c:v>Cancer de sân</c:v>
                </c:pt>
              </c:strCache>
            </c:strRef>
          </c:cat>
          <c:val>
            <c:numRef>
              <c:f>DALYs_Seconhandsmoke!$O$42:$O$51</c:f>
              <c:numCache>
                <c:formatCode>0%</c:formatCode>
                <c:ptCount val="10"/>
                <c:pt idx="0">
                  <c:v>9.4779107270684698E-2</c:v>
                </c:pt>
                <c:pt idx="1">
                  <c:v>8.4965491386318995E-2</c:v>
                </c:pt>
                <c:pt idx="2">
                  <c:v>8.3490661667216096E-2</c:v>
                </c:pt>
                <c:pt idx="3">
                  <c:v>7.3863162908115301E-2</c:v>
                </c:pt>
                <c:pt idx="4">
                  <c:v>6.20166349809297E-2</c:v>
                </c:pt>
                <c:pt idx="5">
                  <c:v>5.6481683185439398E-2</c:v>
                </c:pt>
                <c:pt idx="6">
                  <c:v>3.6319581675221903E-2</c:v>
                </c:pt>
                <c:pt idx="7">
                  <c:v>3.5740087668857001E-2</c:v>
                </c:pt>
                <c:pt idx="8">
                  <c:v>3.5143076349683701E-2</c:v>
                </c:pt>
                <c:pt idx="9">
                  <c:v>2.2093466803518501E-2</c:v>
                </c:pt>
              </c:numCache>
            </c:numRef>
          </c:val>
          <c:extLst>
            <c:ext xmlns:c16="http://schemas.microsoft.com/office/drawing/2014/chart" uri="{C3380CC4-5D6E-409C-BE32-E72D297353CC}">
              <c16:uniqueId val="{00000000-0EDC-4AAE-A58A-12B1F0883F0E}"/>
            </c:ext>
          </c:extLst>
        </c:ser>
        <c:ser>
          <c:idx val="1"/>
          <c:order val="1"/>
          <c:tx>
            <c:strRef>
              <c:f>DALYs_Seconhandsmoke!$L$41</c:f>
              <c:strCache>
                <c:ptCount val="1"/>
                <c:pt idx="0">
                  <c:v>UE</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3600000" spcFirstLastPara="1" vertOverflow="ellipsis"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o-R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DALYs_Seconhandsmoke!$I$42:$I$51</c:f>
              <c:strCache>
                <c:ptCount val="10"/>
                <c:pt idx="0">
                  <c:v>BPOC</c:v>
                </c:pt>
                <c:pt idx="1">
                  <c:v>Diabet zaharat</c:v>
                </c:pt>
                <c:pt idx="2">
                  <c:v>Cancer bronhopulmonar</c:v>
                </c:pt>
                <c:pt idx="3">
                  <c:v>Afecțiuni respiratorii cronice</c:v>
                </c:pt>
                <c:pt idx="4">
                  <c:v>Boala ischemică cardiacă</c:v>
                </c:pt>
                <c:pt idx="5">
                  <c:v>Accident vascular cerebral</c:v>
                </c:pt>
                <c:pt idx="6">
                  <c:v>Boli cardiovasculare</c:v>
                </c:pt>
                <c:pt idx="7">
                  <c:v>Diabet și boala cronică de rinichi</c:v>
                </c:pt>
                <c:pt idx="8">
                  <c:v>Toate cauzele</c:v>
                </c:pt>
                <c:pt idx="9">
                  <c:v>Cancer de sân</c:v>
                </c:pt>
              </c:strCache>
            </c:strRef>
          </c:cat>
          <c:val>
            <c:numRef>
              <c:f>DALYs_Seconhandsmoke!$L$42:$L$51</c:f>
              <c:numCache>
                <c:formatCode>0%</c:formatCode>
                <c:ptCount val="10"/>
                <c:pt idx="0">
                  <c:v>7.0288088277309799E-2</c:v>
                </c:pt>
                <c:pt idx="1">
                  <c:v>6.8783804340868004E-2</c:v>
                </c:pt>
                <c:pt idx="2">
                  <c:v>6.1606573326789399E-2</c:v>
                </c:pt>
                <c:pt idx="3">
                  <c:v>6.2860462250590804E-2</c:v>
                </c:pt>
                <c:pt idx="4">
                  <c:v>4.3004688765840897E-2</c:v>
                </c:pt>
                <c:pt idx="5">
                  <c:v>4.7703060655006201E-2</c:v>
                </c:pt>
                <c:pt idx="6">
                  <c:v>2.8546354160214098E-2</c:v>
                </c:pt>
                <c:pt idx="7">
                  <c:v>2.9979006148560201E-2</c:v>
                </c:pt>
                <c:pt idx="8">
                  <c:v>2.89660241894307E-2</c:v>
                </c:pt>
                <c:pt idx="9">
                  <c:v>1.8190581402895499E-2</c:v>
                </c:pt>
              </c:numCache>
            </c:numRef>
          </c:val>
          <c:extLst>
            <c:ext xmlns:c16="http://schemas.microsoft.com/office/drawing/2014/chart" uri="{C3380CC4-5D6E-409C-BE32-E72D297353CC}">
              <c16:uniqueId val="{00000001-0EDC-4AAE-A58A-12B1F0883F0E}"/>
            </c:ext>
          </c:extLst>
        </c:ser>
        <c:dLbls>
          <c:showLegendKey val="0"/>
          <c:showVal val="0"/>
          <c:showCatName val="0"/>
          <c:showSerName val="0"/>
          <c:showPercent val="0"/>
          <c:showBubbleSize val="0"/>
        </c:dLbls>
        <c:gapWidth val="150"/>
        <c:axId val="1585414319"/>
        <c:axId val="1585415279"/>
      </c:barChart>
      <c:catAx>
        <c:axId val="1585414319"/>
        <c:scaling>
          <c:orientation val="minMax"/>
        </c:scaling>
        <c:delete val="0"/>
        <c:axPos val="b"/>
        <c:numFmt formatCode="General" sourceLinked="1"/>
        <c:majorTickMark val="out"/>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o-RO"/>
          </a:p>
        </c:txPr>
        <c:crossAx val="1585415279"/>
        <c:crosses val="autoZero"/>
        <c:auto val="1"/>
        <c:lblAlgn val="ctr"/>
        <c:lblOffset val="100"/>
        <c:noMultiLvlLbl val="0"/>
      </c:catAx>
      <c:valAx>
        <c:axId val="1585415279"/>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ro-RO"/>
                  <a:t>%DALYs</a:t>
                </a:r>
              </a:p>
            </c:rich>
          </c:tx>
          <c:overlay val="0"/>
          <c:spPr>
            <a:noFill/>
            <a:ln>
              <a:noFill/>
            </a:ln>
            <a:effectLst/>
          </c:spPr>
          <c:txPr>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o-RO"/>
            </a:p>
          </c:txPr>
        </c:title>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o-RO"/>
          </a:p>
        </c:txPr>
        <c:crossAx val="1585414319"/>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o-RO"/>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o-RO"/>
    </a:p>
  </c:txPr>
  <c:externalData r:id="rId4">
    <c:autoUpdate val="0"/>
  </c:externalData>
</c:chartSpace>
</file>

<file path=word/charts/chart6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22"/>
          <c:order val="22"/>
          <c:tx>
            <c:strRef>
              <c:f>'SAF pe țări'!$A$25</c:f>
              <c:strCache>
                <c:ptCount val="1"/>
                <c:pt idx="0">
                  <c:v>România</c:v>
                </c:pt>
              </c:strCache>
            </c:strRef>
          </c:tx>
          <c:spPr>
            <a:solidFill>
              <a:srgbClr val="E41D48">
                <a:lumMod val="20000"/>
                <a:lumOff val="80000"/>
              </a:srgbClr>
            </a:solidFill>
            <a:ln>
              <a:solidFill>
                <a:srgbClr val="E41D48">
                  <a:lumMod val="20000"/>
                  <a:lumOff val="80000"/>
                </a:srgbClr>
              </a:solidFill>
            </a:ln>
            <a:effectLst/>
            <a:sp3d>
              <a:contourClr>
                <a:srgbClr val="E41D48">
                  <a:lumMod val="20000"/>
                  <a:lumOff val="80000"/>
                </a:srgbClr>
              </a:contourClr>
            </a:sp3d>
          </c:spPr>
          <c:invertIfNegative val="0"/>
          <c:dLbls>
            <c:spPr>
              <a:noFill/>
              <a:ln>
                <a:noFill/>
              </a:ln>
              <a:effectLst/>
            </c:spPr>
            <c:txPr>
              <a:bodyPr rot="-5400000" spcFirstLastPara="1" vertOverflow="ellipsis" wrap="square" lIns="38100" tIns="19050" rIns="38100" bIns="19050" anchor="t" anchorCtr="1">
                <a:spAutoFit/>
              </a:bodyPr>
              <a:lstStyle/>
              <a:p>
                <a:pPr>
                  <a:defRPr sz="800" b="1" i="0" u="none" strike="noStrike" kern="1200" baseline="0">
                    <a:solidFill>
                      <a:schemeClr val="tx1">
                        <a:lumMod val="75000"/>
                        <a:lumOff val="25000"/>
                      </a:schemeClr>
                    </a:solidFill>
                    <a:latin typeface="+mn-lt"/>
                    <a:ea typeface="+mn-ea"/>
                    <a:cs typeface="+mn-cs"/>
                  </a:defRPr>
                </a:pPr>
                <a:endParaRPr lang="ro-R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'SAF pe țări'!$B$2:$T$2</c:f>
              <c:strCache>
                <c:ptCount val="19"/>
                <c:pt idx="0">
                  <c:v>Diabet zaharat</c:v>
                </c:pt>
                <c:pt idx="1">
                  <c:v>Fractura de șold </c:v>
                </c:pt>
                <c:pt idx="2">
                  <c:v>Artrita reumatoidă</c:v>
                </c:pt>
                <c:pt idx="3">
                  <c:v>Pneumonie</c:v>
                </c:pt>
                <c:pt idx="4">
                  <c:v>BPCO</c:v>
                </c:pt>
                <c:pt idx="5">
                  <c:v>BCI</c:v>
                </c:pt>
                <c:pt idx="6">
                  <c:v>AVC</c:v>
                </c:pt>
                <c:pt idx="7">
                  <c:v>Cancer oral</c:v>
                </c:pt>
                <c:pt idx="8">
                  <c:v>Cancer de esofag</c:v>
                </c:pt>
                <c:pt idx="9">
                  <c:v>Cancer de stomac</c:v>
                </c:pt>
                <c:pt idx="10">
                  <c:v>Cancer hepatic</c:v>
                </c:pt>
                <c:pt idx="11">
                  <c:v>Cancer de pancreas</c:v>
                </c:pt>
                <c:pt idx="12">
                  <c:v>Cancer de laringe</c:v>
                </c:pt>
                <c:pt idx="13">
                  <c:v>Cancer bronhopulmonar</c:v>
                </c:pt>
                <c:pt idx="14">
                  <c:v>Cancer de col uterin</c:v>
                </c:pt>
                <c:pt idx="15">
                  <c:v>Cancer renal</c:v>
                </c:pt>
                <c:pt idx="16">
                  <c:v>Cancer de vezică urinară</c:v>
                </c:pt>
                <c:pt idx="17">
                  <c:v>Leucemie</c:v>
                </c:pt>
                <c:pt idx="18">
                  <c:v>Cancer colorectal</c:v>
                </c:pt>
              </c:strCache>
            </c:strRef>
          </c:cat>
          <c:val>
            <c:numRef>
              <c:f>'SAF pe țări'!$B$25:$T$25</c:f>
              <c:numCache>
                <c:formatCode>0%</c:formatCode>
                <c:ptCount val="19"/>
                <c:pt idx="0">
                  <c:v>0.06</c:v>
                </c:pt>
                <c:pt idx="1">
                  <c:v>7.0000000000000007E-2</c:v>
                </c:pt>
                <c:pt idx="2">
                  <c:v>0.13</c:v>
                </c:pt>
                <c:pt idx="3">
                  <c:v>0.09</c:v>
                </c:pt>
                <c:pt idx="4">
                  <c:v>0.51</c:v>
                </c:pt>
                <c:pt idx="5">
                  <c:v>0.16</c:v>
                </c:pt>
                <c:pt idx="6">
                  <c:v>0.12</c:v>
                </c:pt>
                <c:pt idx="7">
                  <c:v>0.2</c:v>
                </c:pt>
                <c:pt idx="8">
                  <c:v>0.53</c:v>
                </c:pt>
                <c:pt idx="9">
                  <c:v>0.09</c:v>
                </c:pt>
                <c:pt idx="10">
                  <c:v>0.09</c:v>
                </c:pt>
                <c:pt idx="11">
                  <c:v>0.13</c:v>
                </c:pt>
                <c:pt idx="12">
                  <c:v>0.28000000000000003</c:v>
                </c:pt>
                <c:pt idx="13">
                  <c:v>0.56000000000000005</c:v>
                </c:pt>
                <c:pt idx="14">
                  <c:v>0.13</c:v>
                </c:pt>
                <c:pt idx="15">
                  <c:v>0.08</c:v>
                </c:pt>
                <c:pt idx="16">
                  <c:v>0.27</c:v>
                </c:pt>
                <c:pt idx="17">
                  <c:v>0.09</c:v>
                </c:pt>
                <c:pt idx="18">
                  <c:v>0.03</c:v>
                </c:pt>
              </c:numCache>
            </c:numRef>
          </c:val>
          <c:extLst>
            <c:ext xmlns:c16="http://schemas.microsoft.com/office/drawing/2014/chart" uri="{C3380CC4-5D6E-409C-BE32-E72D297353CC}">
              <c16:uniqueId val="{00000000-70B9-4E94-9289-45B56C331903}"/>
            </c:ext>
          </c:extLst>
        </c:ser>
        <c:ser>
          <c:idx val="27"/>
          <c:order val="27"/>
          <c:tx>
            <c:strRef>
              <c:f>'SAF pe țări'!$A$30</c:f>
              <c:strCache>
                <c:ptCount val="1"/>
                <c:pt idx="0">
                  <c:v>Uniunea Europeană</c:v>
                </c:pt>
              </c:strCache>
            </c:strRef>
          </c:tx>
          <c:spPr>
            <a:solidFill>
              <a:srgbClr val="C00000"/>
            </a:solidFill>
            <a:ln>
              <a:solidFill>
                <a:srgbClr val="C00000"/>
              </a:solidFill>
            </a:ln>
            <a:effectLst/>
            <a:sp3d>
              <a:contourClr>
                <a:srgbClr val="C00000"/>
              </a:contourClr>
            </a:sp3d>
          </c:spPr>
          <c:invertIfNegative val="0"/>
          <c:dLbls>
            <c:spPr>
              <a:noFill/>
              <a:ln>
                <a:noFill/>
              </a:ln>
              <a:effectLst/>
            </c:spPr>
            <c:txPr>
              <a:bodyPr rot="-5400000" spcFirstLastPara="1" vertOverflow="ellipsis" wrap="square" lIns="38100" tIns="19050" rIns="38100" bIns="19050" anchor="ctr" anchorCtr="1">
                <a:spAutoFit/>
              </a:bodyPr>
              <a:lstStyle/>
              <a:p>
                <a:pPr>
                  <a:defRPr sz="800" b="1" i="0" u="none" strike="noStrike" kern="1200" baseline="0">
                    <a:solidFill>
                      <a:schemeClr val="tx1">
                        <a:lumMod val="75000"/>
                        <a:lumOff val="25000"/>
                      </a:schemeClr>
                    </a:solidFill>
                    <a:latin typeface="+mn-lt"/>
                    <a:ea typeface="+mn-ea"/>
                    <a:cs typeface="+mn-cs"/>
                  </a:defRPr>
                </a:pPr>
                <a:endParaRPr lang="ro-R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'SAF pe țări'!$B$2:$T$2</c:f>
              <c:strCache>
                <c:ptCount val="19"/>
                <c:pt idx="0">
                  <c:v>Diabet zaharat</c:v>
                </c:pt>
                <c:pt idx="1">
                  <c:v>Fractura de șold </c:v>
                </c:pt>
                <c:pt idx="2">
                  <c:v>Artrita reumatoidă</c:v>
                </c:pt>
                <c:pt idx="3">
                  <c:v>Pneumonie</c:v>
                </c:pt>
                <c:pt idx="4">
                  <c:v>BPCO</c:v>
                </c:pt>
                <c:pt idx="5">
                  <c:v>BCI</c:v>
                </c:pt>
                <c:pt idx="6">
                  <c:v>AVC</c:v>
                </c:pt>
                <c:pt idx="7">
                  <c:v>Cancer oral</c:v>
                </c:pt>
                <c:pt idx="8">
                  <c:v>Cancer de esofag</c:v>
                </c:pt>
                <c:pt idx="9">
                  <c:v>Cancer de stomac</c:v>
                </c:pt>
                <c:pt idx="10">
                  <c:v>Cancer hepatic</c:v>
                </c:pt>
                <c:pt idx="11">
                  <c:v>Cancer de pancreas</c:v>
                </c:pt>
                <c:pt idx="12">
                  <c:v>Cancer de laringe</c:v>
                </c:pt>
                <c:pt idx="13">
                  <c:v>Cancer bronhopulmonar</c:v>
                </c:pt>
                <c:pt idx="14">
                  <c:v>Cancer de col uterin</c:v>
                </c:pt>
                <c:pt idx="15">
                  <c:v>Cancer renal</c:v>
                </c:pt>
                <c:pt idx="16">
                  <c:v>Cancer de vezică urinară</c:v>
                </c:pt>
                <c:pt idx="17">
                  <c:v>Leucemie</c:v>
                </c:pt>
                <c:pt idx="18">
                  <c:v>Cancer colorectal</c:v>
                </c:pt>
              </c:strCache>
            </c:strRef>
          </c:cat>
          <c:val>
            <c:numRef>
              <c:f>'SAF pe țări'!$B$30:$T$30</c:f>
              <c:numCache>
                <c:formatCode>0%</c:formatCode>
                <c:ptCount val="19"/>
                <c:pt idx="0">
                  <c:v>0.06</c:v>
                </c:pt>
                <c:pt idx="1">
                  <c:v>7.0000000000000007E-2</c:v>
                </c:pt>
                <c:pt idx="2">
                  <c:v>0.13</c:v>
                </c:pt>
                <c:pt idx="3">
                  <c:v>0.09</c:v>
                </c:pt>
                <c:pt idx="4">
                  <c:v>0.5</c:v>
                </c:pt>
                <c:pt idx="5">
                  <c:v>0.16</c:v>
                </c:pt>
                <c:pt idx="6">
                  <c:v>0.12</c:v>
                </c:pt>
                <c:pt idx="7">
                  <c:v>0.2</c:v>
                </c:pt>
                <c:pt idx="8">
                  <c:v>0.52</c:v>
                </c:pt>
                <c:pt idx="9">
                  <c:v>0.08</c:v>
                </c:pt>
                <c:pt idx="10">
                  <c:v>0.09</c:v>
                </c:pt>
                <c:pt idx="11">
                  <c:v>0.13</c:v>
                </c:pt>
                <c:pt idx="12">
                  <c:v>0.27</c:v>
                </c:pt>
                <c:pt idx="13">
                  <c:v>0.55000000000000004</c:v>
                </c:pt>
                <c:pt idx="14">
                  <c:v>0.12</c:v>
                </c:pt>
                <c:pt idx="15">
                  <c:v>0.08</c:v>
                </c:pt>
                <c:pt idx="16">
                  <c:v>0.27</c:v>
                </c:pt>
                <c:pt idx="17">
                  <c:v>0.09</c:v>
                </c:pt>
                <c:pt idx="18">
                  <c:v>0.03</c:v>
                </c:pt>
              </c:numCache>
            </c:numRef>
          </c:val>
          <c:extLst>
            <c:ext xmlns:c16="http://schemas.microsoft.com/office/drawing/2014/chart" uri="{C3380CC4-5D6E-409C-BE32-E72D297353CC}">
              <c16:uniqueId val="{00000001-70B9-4E94-9289-45B56C331903}"/>
            </c:ext>
          </c:extLst>
        </c:ser>
        <c:dLbls>
          <c:showLegendKey val="0"/>
          <c:showVal val="0"/>
          <c:showCatName val="0"/>
          <c:showSerName val="0"/>
          <c:showPercent val="0"/>
          <c:showBubbleSize val="0"/>
        </c:dLbls>
        <c:gapWidth val="150"/>
        <c:shape val="box"/>
        <c:axId val="232036528"/>
        <c:axId val="232037488"/>
        <c:axId val="0"/>
        <c:extLst>
          <c:ext xmlns:c15="http://schemas.microsoft.com/office/drawing/2012/chart" uri="{02D57815-91ED-43cb-92C2-25804820EDAC}">
            <c15:filteredBarSeries>
              <c15:ser>
                <c:idx val="0"/>
                <c:order val="0"/>
                <c:tx>
                  <c:strRef>
                    <c:extLst>
                      <c:ext uri="{02D57815-91ED-43cb-92C2-25804820EDAC}">
                        <c15:formulaRef>
                          <c15:sqref>'SAF pe țări'!$A$3</c15:sqref>
                        </c15:formulaRef>
                      </c:ext>
                    </c:extLst>
                    <c:strCache>
                      <c:ptCount val="1"/>
                      <c:pt idx="0">
                        <c:v>Austria</c:v>
                      </c:pt>
                    </c:strCache>
                  </c:strRef>
                </c:tx>
                <c:spPr>
                  <a:solidFill>
                    <a:schemeClr val="accent1"/>
                  </a:solidFill>
                  <a:ln>
                    <a:noFill/>
                  </a:ln>
                  <a:effectLst/>
                  <a:sp3d/>
                </c:spPr>
                <c:invertIfNegative val="0"/>
                <c:cat>
                  <c:strRef>
                    <c:extLst>
                      <c:ext uri="{02D57815-91ED-43cb-92C2-25804820EDAC}">
                        <c15:formulaRef>
                          <c15:sqref>'SAF pe țări'!$B$2:$T$2</c15:sqref>
                        </c15:formulaRef>
                      </c:ext>
                    </c:extLst>
                    <c:strCache>
                      <c:ptCount val="19"/>
                      <c:pt idx="0">
                        <c:v>Diabet zaharat</c:v>
                      </c:pt>
                      <c:pt idx="1">
                        <c:v>Fractura de șold </c:v>
                      </c:pt>
                      <c:pt idx="2">
                        <c:v>Artrita reumatoidă</c:v>
                      </c:pt>
                      <c:pt idx="3">
                        <c:v>Pneumonie</c:v>
                      </c:pt>
                      <c:pt idx="4">
                        <c:v>BPCO</c:v>
                      </c:pt>
                      <c:pt idx="5">
                        <c:v>BCI</c:v>
                      </c:pt>
                      <c:pt idx="6">
                        <c:v>AVC</c:v>
                      </c:pt>
                      <c:pt idx="7">
                        <c:v>Cancer oral</c:v>
                      </c:pt>
                      <c:pt idx="8">
                        <c:v>Cancer de esofag</c:v>
                      </c:pt>
                      <c:pt idx="9">
                        <c:v>Cancer de stomac</c:v>
                      </c:pt>
                      <c:pt idx="10">
                        <c:v>Cancer hepatic</c:v>
                      </c:pt>
                      <c:pt idx="11">
                        <c:v>Cancer de pancreas</c:v>
                      </c:pt>
                      <c:pt idx="12">
                        <c:v>Cancer de laringe</c:v>
                      </c:pt>
                      <c:pt idx="13">
                        <c:v>Cancer bronhopulmonar</c:v>
                      </c:pt>
                      <c:pt idx="14">
                        <c:v>Cancer de col uterin</c:v>
                      </c:pt>
                      <c:pt idx="15">
                        <c:v>Cancer renal</c:v>
                      </c:pt>
                      <c:pt idx="16">
                        <c:v>Cancer de vezică urinară</c:v>
                      </c:pt>
                      <c:pt idx="17">
                        <c:v>Leucemie</c:v>
                      </c:pt>
                      <c:pt idx="18">
                        <c:v>Cancer colorectal</c:v>
                      </c:pt>
                    </c:strCache>
                  </c:strRef>
                </c:cat>
                <c:val>
                  <c:numRef>
                    <c:extLst>
                      <c:ext uri="{02D57815-91ED-43cb-92C2-25804820EDAC}">
                        <c15:formulaRef>
                          <c15:sqref>'SAF pe țări'!$B$3:$T$3</c15:sqref>
                        </c15:formulaRef>
                      </c:ext>
                    </c:extLst>
                    <c:numCache>
                      <c:formatCode>0%</c:formatCode>
                      <c:ptCount val="19"/>
                      <c:pt idx="0">
                        <c:v>7.0000000000000007E-2</c:v>
                      </c:pt>
                      <c:pt idx="1">
                        <c:v>0.08</c:v>
                      </c:pt>
                      <c:pt idx="2">
                        <c:v>0.14000000000000001</c:v>
                      </c:pt>
                      <c:pt idx="3">
                        <c:v>0.1</c:v>
                      </c:pt>
                      <c:pt idx="4">
                        <c:v>0.52</c:v>
                      </c:pt>
                      <c:pt idx="5">
                        <c:v>0.17</c:v>
                      </c:pt>
                      <c:pt idx="6">
                        <c:v>0.13</c:v>
                      </c:pt>
                      <c:pt idx="7">
                        <c:v>0.22</c:v>
                      </c:pt>
                      <c:pt idx="8">
                        <c:v>0.55000000000000004</c:v>
                      </c:pt>
                      <c:pt idx="9">
                        <c:v>0.09</c:v>
                      </c:pt>
                      <c:pt idx="10">
                        <c:v>0.1</c:v>
                      </c:pt>
                      <c:pt idx="11">
                        <c:v>0.14000000000000001</c:v>
                      </c:pt>
                      <c:pt idx="12">
                        <c:v>0.28999999999999998</c:v>
                      </c:pt>
                      <c:pt idx="13">
                        <c:v>0.56999999999999995</c:v>
                      </c:pt>
                      <c:pt idx="14">
                        <c:v>0.13</c:v>
                      </c:pt>
                      <c:pt idx="15">
                        <c:v>0.09</c:v>
                      </c:pt>
                      <c:pt idx="16">
                        <c:v>0.28999999999999998</c:v>
                      </c:pt>
                      <c:pt idx="17">
                        <c:v>0.1</c:v>
                      </c:pt>
                      <c:pt idx="18">
                        <c:v>0.03</c:v>
                      </c:pt>
                    </c:numCache>
                  </c:numRef>
                </c:val>
                <c:extLst>
                  <c:ext xmlns:c16="http://schemas.microsoft.com/office/drawing/2014/chart" uri="{C3380CC4-5D6E-409C-BE32-E72D297353CC}">
                    <c16:uniqueId val="{00000002-70B9-4E94-9289-45B56C331903}"/>
                  </c:ext>
                </c:extLst>
              </c15:ser>
            </c15:filteredBarSeries>
            <c15:filteredBarSeries>
              <c15:ser>
                <c:idx val="1"/>
                <c:order val="1"/>
                <c:tx>
                  <c:strRef>
                    <c:extLst xmlns:c15="http://schemas.microsoft.com/office/drawing/2012/chart">
                      <c:ext xmlns:c15="http://schemas.microsoft.com/office/drawing/2012/chart" uri="{02D57815-91ED-43cb-92C2-25804820EDAC}">
                        <c15:formulaRef>
                          <c15:sqref>'SAF pe țări'!$A$4</c15:sqref>
                        </c15:formulaRef>
                      </c:ext>
                    </c:extLst>
                    <c:strCache>
                      <c:ptCount val="1"/>
                      <c:pt idx="0">
                        <c:v>Belgia</c:v>
                      </c:pt>
                    </c:strCache>
                  </c:strRef>
                </c:tx>
                <c:spPr>
                  <a:solidFill>
                    <a:schemeClr val="accent2"/>
                  </a:solidFill>
                  <a:ln>
                    <a:noFill/>
                  </a:ln>
                  <a:effectLst/>
                  <a:sp3d/>
                </c:spPr>
                <c:invertIfNegative val="0"/>
                <c:cat>
                  <c:strRef>
                    <c:extLst xmlns:c15="http://schemas.microsoft.com/office/drawing/2012/chart">
                      <c:ext xmlns:c15="http://schemas.microsoft.com/office/drawing/2012/chart" uri="{02D57815-91ED-43cb-92C2-25804820EDAC}">
                        <c15:formulaRef>
                          <c15:sqref>'SAF pe țări'!$B$2:$T$2</c15:sqref>
                        </c15:formulaRef>
                      </c:ext>
                    </c:extLst>
                    <c:strCache>
                      <c:ptCount val="19"/>
                      <c:pt idx="0">
                        <c:v>Diabet zaharat</c:v>
                      </c:pt>
                      <c:pt idx="1">
                        <c:v>Fractura de șold </c:v>
                      </c:pt>
                      <c:pt idx="2">
                        <c:v>Artrita reumatoidă</c:v>
                      </c:pt>
                      <c:pt idx="3">
                        <c:v>Pneumonie</c:v>
                      </c:pt>
                      <c:pt idx="4">
                        <c:v>BPCO</c:v>
                      </c:pt>
                      <c:pt idx="5">
                        <c:v>BCI</c:v>
                      </c:pt>
                      <c:pt idx="6">
                        <c:v>AVC</c:v>
                      </c:pt>
                      <c:pt idx="7">
                        <c:v>Cancer oral</c:v>
                      </c:pt>
                      <c:pt idx="8">
                        <c:v>Cancer de esofag</c:v>
                      </c:pt>
                      <c:pt idx="9">
                        <c:v>Cancer de stomac</c:v>
                      </c:pt>
                      <c:pt idx="10">
                        <c:v>Cancer hepatic</c:v>
                      </c:pt>
                      <c:pt idx="11">
                        <c:v>Cancer de pancreas</c:v>
                      </c:pt>
                      <c:pt idx="12">
                        <c:v>Cancer de laringe</c:v>
                      </c:pt>
                      <c:pt idx="13">
                        <c:v>Cancer bronhopulmonar</c:v>
                      </c:pt>
                      <c:pt idx="14">
                        <c:v>Cancer de col uterin</c:v>
                      </c:pt>
                      <c:pt idx="15">
                        <c:v>Cancer renal</c:v>
                      </c:pt>
                      <c:pt idx="16">
                        <c:v>Cancer de vezică urinară</c:v>
                      </c:pt>
                      <c:pt idx="17">
                        <c:v>Leucemie</c:v>
                      </c:pt>
                      <c:pt idx="18">
                        <c:v>Cancer colorectal</c:v>
                      </c:pt>
                    </c:strCache>
                  </c:strRef>
                </c:cat>
                <c:val>
                  <c:numRef>
                    <c:extLst xmlns:c15="http://schemas.microsoft.com/office/drawing/2012/chart">
                      <c:ext xmlns:c15="http://schemas.microsoft.com/office/drawing/2012/chart" uri="{02D57815-91ED-43cb-92C2-25804820EDAC}">
                        <c15:formulaRef>
                          <c15:sqref>'SAF pe țări'!$B$4:$T$4</c15:sqref>
                        </c15:formulaRef>
                      </c:ext>
                    </c:extLst>
                    <c:numCache>
                      <c:formatCode>0%</c:formatCode>
                      <c:ptCount val="19"/>
                      <c:pt idx="0">
                        <c:v>0.05</c:v>
                      </c:pt>
                      <c:pt idx="1">
                        <c:v>0.06</c:v>
                      </c:pt>
                      <c:pt idx="2">
                        <c:v>0.11</c:v>
                      </c:pt>
                      <c:pt idx="3">
                        <c:v>7.0000000000000007E-2</c:v>
                      </c:pt>
                      <c:pt idx="4">
                        <c:v>0.44</c:v>
                      </c:pt>
                      <c:pt idx="5">
                        <c:v>0.13</c:v>
                      </c:pt>
                      <c:pt idx="6">
                        <c:v>0.1</c:v>
                      </c:pt>
                      <c:pt idx="7">
                        <c:v>0.17</c:v>
                      </c:pt>
                      <c:pt idx="8">
                        <c:v>0.46</c:v>
                      </c:pt>
                      <c:pt idx="9">
                        <c:v>7.0000000000000007E-2</c:v>
                      </c:pt>
                      <c:pt idx="10">
                        <c:v>7.0000000000000007E-2</c:v>
                      </c:pt>
                      <c:pt idx="11">
                        <c:v>0.1</c:v>
                      </c:pt>
                      <c:pt idx="12">
                        <c:v>0.23</c:v>
                      </c:pt>
                      <c:pt idx="13">
                        <c:v>0.49</c:v>
                      </c:pt>
                      <c:pt idx="14">
                        <c:v>0.1</c:v>
                      </c:pt>
                      <c:pt idx="15">
                        <c:v>0.06</c:v>
                      </c:pt>
                      <c:pt idx="16">
                        <c:v>0.23</c:v>
                      </c:pt>
                      <c:pt idx="17">
                        <c:v>7.0000000000000007E-2</c:v>
                      </c:pt>
                      <c:pt idx="18">
                        <c:v>0.02</c:v>
                      </c:pt>
                    </c:numCache>
                  </c:numRef>
                </c:val>
                <c:extLst xmlns:c15="http://schemas.microsoft.com/office/drawing/2012/chart">
                  <c:ext xmlns:c16="http://schemas.microsoft.com/office/drawing/2014/chart" uri="{C3380CC4-5D6E-409C-BE32-E72D297353CC}">
                    <c16:uniqueId val="{00000003-70B9-4E94-9289-45B56C331903}"/>
                  </c:ext>
                </c:extLst>
              </c15:ser>
            </c15:filteredBarSeries>
            <c15:filteredBarSeries>
              <c15:ser>
                <c:idx val="2"/>
                <c:order val="2"/>
                <c:tx>
                  <c:strRef>
                    <c:extLst xmlns:c15="http://schemas.microsoft.com/office/drawing/2012/chart">
                      <c:ext xmlns:c15="http://schemas.microsoft.com/office/drawing/2012/chart" uri="{02D57815-91ED-43cb-92C2-25804820EDAC}">
                        <c15:formulaRef>
                          <c15:sqref>'SAF pe țări'!$A$5</c15:sqref>
                        </c15:formulaRef>
                      </c:ext>
                    </c:extLst>
                    <c:strCache>
                      <c:ptCount val="1"/>
                      <c:pt idx="0">
                        <c:v>Bulgaria</c:v>
                      </c:pt>
                    </c:strCache>
                  </c:strRef>
                </c:tx>
                <c:spPr>
                  <a:solidFill>
                    <a:schemeClr val="accent3"/>
                  </a:solidFill>
                  <a:ln>
                    <a:noFill/>
                  </a:ln>
                  <a:effectLst/>
                  <a:sp3d/>
                </c:spPr>
                <c:invertIfNegative val="0"/>
                <c:cat>
                  <c:strRef>
                    <c:extLst xmlns:c15="http://schemas.microsoft.com/office/drawing/2012/chart">
                      <c:ext xmlns:c15="http://schemas.microsoft.com/office/drawing/2012/chart" uri="{02D57815-91ED-43cb-92C2-25804820EDAC}">
                        <c15:formulaRef>
                          <c15:sqref>'SAF pe țări'!$B$2:$T$2</c15:sqref>
                        </c15:formulaRef>
                      </c:ext>
                    </c:extLst>
                    <c:strCache>
                      <c:ptCount val="19"/>
                      <c:pt idx="0">
                        <c:v>Diabet zaharat</c:v>
                      </c:pt>
                      <c:pt idx="1">
                        <c:v>Fractura de șold </c:v>
                      </c:pt>
                      <c:pt idx="2">
                        <c:v>Artrita reumatoidă</c:v>
                      </c:pt>
                      <c:pt idx="3">
                        <c:v>Pneumonie</c:v>
                      </c:pt>
                      <c:pt idx="4">
                        <c:v>BPCO</c:v>
                      </c:pt>
                      <c:pt idx="5">
                        <c:v>BCI</c:v>
                      </c:pt>
                      <c:pt idx="6">
                        <c:v>AVC</c:v>
                      </c:pt>
                      <c:pt idx="7">
                        <c:v>Cancer oral</c:v>
                      </c:pt>
                      <c:pt idx="8">
                        <c:v>Cancer de esofag</c:v>
                      </c:pt>
                      <c:pt idx="9">
                        <c:v>Cancer de stomac</c:v>
                      </c:pt>
                      <c:pt idx="10">
                        <c:v>Cancer hepatic</c:v>
                      </c:pt>
                      <c:pt idx="11">
                        <c:v>Cancer de pancreas</c:v>
                      </c:pt>
                      <c:pt idx="12">
                        <c:v>Cancer de laringe</c:v>
                      </c:pt>
                      <c:pt idx="13">
                        <c:v>Cancer bronhopulmonar</c:v>
                      </c:pt>
                      <c:pt idx="14">
                        <c:v>Cancer de col uterin</c:v>
                      </c:pt>
                      <c:pt idx="15">
                        <c:v>Cancer renal</c:v>
                      </c:pt>
                      <c:pt idx="16">
                        <c:v>Cancer de vezică urinară</c:v>
                      </c:pt>
                      <c:pt idx="17">
                        <c:v>Leucemie</c:v>
                      </c:pt>
                      <c:pt idx="18">
                        <c:v>Cancer colorectal</c:v>
                      </c:pt>
                    </c:strCache>
                  </c:strRef>
                </c:cat>
                <c:val>
                  <c:numRef>
                    <c:extLst xmlns:c15="http://schemas.microsoft.com/office/drawing/2012/chart">
                      <c:ext xmlns:c15="http://schemas.microsoft.com/office/drawing/2012/chart" uri="{02D57815-91ED-43cb-92C2-25804820EDAC}">
                        <c15:formulaRef>
                          <c15:sqref>'SAF pe țări'!$B$5:$T$5</c15:sqref>
                        </c15:formulaRef>
                      </c:ext>
                    </c:extLst>
                    <c:numCache>
                      <c:formatCode>0%</c:formatCode>
                      <c:ptCount val="19"/>
                      <c:pt idx="0">
                        <c:v>0.1</c:v>
                      </c:pt>
                      <c:pt idx="1">
                        <c:v>0.11</c:v>
                      </c:pt>
                      <c:pt idx="2">
                        <c:v>0.19</c:v>
                      </c:pt>
                      <c:pt idx="3">
                        <c:v>0.13</c:v>
                      </c:pt>
                      <c:pt idx="4">
                        <c:v>0.61</c:v>
                      </c:pt>
                      <c:pt idx="5">
                        <c:v>0.23</c:v>
                      </c:pt>
                      <c:pt idx="6">
                        <c:v>0.18</c:v>
                      </c:pt>
                      <c:pt idx="7">
                        <c:v>0.28000000000000003</c:v>
                      </c:pt>
                      <c:pt idx="8">
                        <c:v>0.63</c:v>
                      </c:pt>
                      <c:pt idx="9">
                        <c:v>0.13</c:v>
                      </c:pt>
                      <c:pt idx="10">
                        <c:v>0.13</c:v>
                      </c:pt>
                      <c:pt idx="11">
                        <c:v>0.19</c:v>
                      </c:pt>
                      <c:pt idx="12">
                        <c:v>0.37</c:v>
                      </c:pt>
                      <c:pt idx="13">
                        <c:v>0.66</c:v>
                      </c:pt>
                      <c:pt idx="14">
                        <c:v>0.18</c:v>
                      </c:pt>
                      <c:pt idx="15">
                        <c:v>0.12</c:v>
                      </c:pt>
                      <c:pt idx="16">
                        <c:v>0.36</c:v>
                      </c:pt>
                      <c:pt idx="17">
                        <c:v>0.13</c:v>
                      </c:pt>
                      <c:pt idx="18">
                        <c:v>0.05</c:v>
                      </c:pt>
                    </c:numCache>
                  </c:numRef>
                </c:val>
                <c:extLst xmlns:c15="http://schemas.microsoft.com/office/drawing/2012/chart">
                  <c:ext xmlns:c16="http://schemas.microsoft.com/office/drawing/2014/chart" uri="{C3380CC4-5D6E-409C-BE32-E72D297353CC}">
                    <c16:uniqueId val="{00000004-70B9-4E94-9289-45B56C331903}"/>
                  </c:ext>
                </c:extLst>
              </c15:ser>
            </c15:filteredBarSeries>
            <c15:filteredBarSeries>
              <c15:ser>
                <c:idx val="3"/>
                <c:order val="3"/>
                <c:tx>
                  <c:strRef>
                    <c:extLst xmlns:c15="http://schemas.microsoft.com/office/drawing/2012/chart">
                      <c:ext xmlns:c15="http://schemas.microsoft.com/office/drawing/2012/chart" uri="{02D57815-91ED-43cb-92C2-25804820EDAC}">
                        <c15:formulaRef>
                          <c15:sqref>'SAF pe țări'!$A$6</c15:sqref>
                        </c15:formulaRef>
                      </c:ext>
                    </c:extLst>
                    <c:strCache>
                      <c:ptCount val="1"/>
                      <c:pt idx="0">
                        <c:v>Croaţia</c:v>
                      </c:pt>
                    </c:strCache>
                  </c:strRef>
                </c:tx>
                <c:spPr>
                  <a:solidFill>
                    <a:schemeClr val="accent4"/>
                  </a:solidFill>
                  <a:ln>
                    <a:noFill/>
                  </a:ln>
                  <a:effectLst/>
                  <a:sp3d/>
                </c:spPr>
                <c:invertIfNegative val="0"/>
                <c:cat>
                  <c:strRef>
                    <c:extLst xmlns:c15="http://schemas.microsoft.com/office/drawing/2012/chart">
                      <c:ext xmlns:c15="http://schemas.microsoft.com/office/drawing/2012/chart" uri="{02D57815-91ED-43cb-92C2-25804820EDAC}">
                        <c15:formulaRef>
                          <c15:sqref>'SAF pe țări'!$B$2:$T$2</c15:sqref>
                        </c15:formulaRef>
                      </c:ext>
                    </c:extLst>
                    <c:strCache>
                      <c:ptCount val="19"/>
                      <c:pt idx="0">
                        <c:v>Diabet zaharat</c:v>
                      </c:pt>
                      <c:pt idx="1">
                        <c:v>Fractura de șold </c:v>
                      </c:pt>
                      <c:pt idx="2">
                        <c:v>Artrita reumatoidă</c:v>
                      </c:pt>
                      <c:pt idx="3">
                        <c:v>Pneumonie</c:v>
                      </c:pt>
                      <c:pt idx="4">
                        <c:v>BPCO</c:v>
                      </c:pt>
                      <c:pt idx="5">
                        <c:v>BCI</c:v>
                      </c:pt>
                      <c:pt idx="6">
                        <c:v>AVC</c:v>
                      </c:pt>
                      <c:pt idx="7">
                        <c:v>Cancer oral</c:v>
                      </c:pt>
                      <c:pt idx="8">
                        <c:v>Cancer de esofag</c:v>
                      </c:pt>
                      <c:pt idx="9">
                        <c:v>Cancer de stomac</c:v>
                      </c:pt>
                      <c:pt idx="10">
                        <c:v>Cancer hepatic</c:v>
                      </c:pt>
                      <c:pt idx="11">
                        <c:v>Cancer de pancreas</c:v>
                      </c:pt>
                      <c:pt idx="12">
                        <c:v>Cancer de laringe</c:v>
                      </c:pt>
                      <c:pt idx="13">
                        <c:v>Cancer bronhopulmonar</c:v>
                      </c:pt>
                      <c:pt idx="14">
                        <c:v>Cancer de col uterin</c:v>
                      </c:pt>
                      <c:pt idx="15">
                        <c:v>Cancer renal</c:v>
                      </c:pt>
                      <c:pt idx="16">
                        <c:v>Cancer de vezică urinară</c:v>
                      </c:pt>
                      <c:pt idx="17">
                        <c:v>Leucemie</c:v>
                      </c:pt>
                      <c:pt idx="18">
                        <c:v>Cancer colorectal</c:v>
                      </c:pt>
                    </c:strCache>
                  </c:strRef>
                </c:cat>
                <c:val>
                  <c:numRef>
                    <c:extLst xmlns:c15="http://schemas.microsoft.com/office/drawing/2012/chart">
                      <c:ext xmlns:c15="http://schemas.microsoft.com/office/drawing/2012/chart" uri="{02D57815-91ED-43cb-92C2-25804820EDAC}">
                        <c15:formulaRef>
                          <c15:sqref>'SAF pe țări'!$B$6:$T$6</c15:sqref>
                        </c15:formulaRef>
                      </c:ext>
                    </c:extLst>
                    <c:numCache>
                      <c:formatCode>0%</c:formatCode>
                      <c:ptCount val="19"/>
                      <c:pt idx="0">
                        <c:v>7.0000000000000007E-2</c:v>
                      </c:pt>
                      <c:pt idx="1">
                        <c:v>0.08</c:v>
                      </c:pt>
                      <c:pt idx="2">
                        <c:v>0.15</c:v>
                      </c:pt>
                      <c:pt idx="3">
                        <c:v>0.1</c:v>
                      </c:pt>
                      <c:pt idx="4">
                        <c:v>0.54</c:v>
                      </c:pt>
                      <c:pt idx="5">
                        <c:v>0.18</c:v>
                      </c:pt>
                      <c:pt idx="6">
                        <c:v>0.14000000000000001</c:v>
                      </c:pt>
                      <c:pt idx="7">
                        <c:v>0.23</c:v>
                      </c:pt>
                      <c:pt idx="8">
                        <c:v>0.56000000000000005</c:v>
                      </c:pt>
                      <c:pt idx="9">
                        <c:v>0.1</c:v>
                      </c:pt>
                      <c:pt idx="10">
                        <c:v>0.1</c:v>
                      </c:pt>
                      <c:pt idx="11">
                        <c:v>0.15</c:v>
                      </c:pt>
                      <c:pt idx="12">
                        <c:v>0.31</c:v>
                      </c:pt>
                      <c:pt idx="13">
                        <c:v>0.59</c:v>
                      </c:pt>
                      <c:pt idx="14">
                        <c:v>0.14000000000000001</c:v>
                      </c:pt>
                      <c:pt idx="15">
                        <c:v>0.09</c:v>
                      </c:pt>
                      <c:pt idx="16">
                        <c:v>0.3</c:v>
                      </c:pt>
                      <c:pt idx="17">
                        <c:v>0.1</c:v>
                      </c:pt>
                      <c:pt idx="18">
                        <c:v>0.04</c:v>
                      </c:pt>
                    </c:numCache>
                  </c:numRef>
                </c:val>
                <c:extLst xmlns:c15="http://schemas.microsoft.com/office/drawing/2012/chart">
                  <c:ext xmlns:c16="http://schemas.microsoft.com/office/drawing/2014/chart" uri="{C3380CC4-5D6E-409C-BE32-E72D297353CC}">
                    <c16:uniqueId val="{00000005-70B9-4E94-9289-45B56C331903}"/>
                  </c:ext>
                </c:extLst>
              </c15:ser>
            </c15:filteredBarSeries>
            <c15:filteredBarSeries>
              <c15:ser>
                <c:idx val="4"/>
                <c:order val="4"/>
                <c:tx>
                  <c:strRef>
                    <c:extLst xmlns:c15="http://schemas.microsoft.com/office/drawing/2012/chart">
                      <c:ext xmlns:c15="http://schemas.microsoft.com/office/drawing/2012/chart" uri="{02D57815-91ED-43cb-92C2-25804820EDAC}">
                        <c15:formulaRef>
                          <c15:sqref>'SAF pe țări'!$A$7</c15:sqref>
                        </c15:formulaRef>
                      </c:ext>
                    </c:extLst>
                    <c:strCache>
                      <c:ptCount val="1"/>
                      <c:pt idx="0">
                        <c:v>Cipru</c:v>
                      </c:pt>
                    </c:strCache>
                  </c:strRef>
                </c:tx>
                <c:spPr>
                  <a:solidFill>
                    <a:schemeClr val="accent5"/>
                  </a:solidFill>
                  <a:ln>
                    <a:noFill/>
                  </a:ln>
                  <a:effectLst/>
                  <a:sp3d/>
                </c:spPr>
                <c:invertIfNegative val="0"/>
                <c:cat>
                  <c:strRef>
                    <c:extLst xmlns:c15="http://schemas.microsoft.com/office/drawing/2012/chart">
                      <c:ext xmlns:c15="http://schemas.microsoft.com/office/drawing/2012/chart" uri="{02D57815-91ED-43cb-92C2-25804820EDAC}">
                        <c15:formulaRef>
                          <c15:sqref>'SAF pe țări'!$B$2:$T$2</c15:sqref>
                        </c15:formulaRef>
                      </c:ext>
                    </c:extLst>
                    <c:strCache>
                      <c:ptCount val="19"/>
                      <c:pt idx="0">
                        <c:v>Diabet zaharat</c:v>
                      </c:pt>
                      <c:pt idx="1">
                        <c:v>Fractura de șold </c:v>
                      </c:pt>
                      <c:pt idx="2">
                        <c:v>Artrita reumatoidă</c:v>
                      </c:pt>
                      <c:pt idx="3">
                        <c:v>Pneumonie</c:v>
                      </c:pt>
                      <c:pt idx="4">
                        <c:v>BPCO</c:v>
                      </c:pt>
                      <c:pt idx="5">
                        <c:v>BCI</c:v>
                      </c:pt>
                      <c:pt idx="6">
                        <c:v>AVC</c:v>
                      </c:pt>
                      <c:pt idx="7">
                        <c:v>Cancer oral</c:v>
                      </c:pt>
                      <c:pt idx="8">
                        <c:v>Cancer de esofag</c:v>
                      </c:pt>
                      <c:pt idx="9">
                        <c:v>Cancer de stomac</c:v>
                      </c:pt>
                      <c:pt idx="10">
                        <c:v>Cancer hepatic</c:v>
                      </c:pt>
                      <c:pt idx="11">
                        <c:v>Cancer de pancreas</c:v>
                      </c:pt>
                      <c:pt idx="12">
                        <c:v>Cancer de laringe</c:v>
                      </c:pt>
                      <c:pt idx="13">
                        <c:v>Cancer bronhopulmonar</c:v>
                      </c:pt>
                      <c:pt idx="14">
                        <c:v>Cancer de col uterin</c:v>
                      </c:pt>
                      <c:pt idx="15">
                        <c:v>Cancer renal</c:v>
                      </c:pt>
                      <c:pt idx="16">
                        <c:v>Cancer de vezică urinară</c:v>
                      </c:pt>
                      <c:pt idx="17">
                        <c:v>Leucemie</c:v>
                      </c:pt>
                      <c:pt idx="18">
                        <c:v>Cancer colorectal</c:v>
                      </c:pt>
                    </c:strCache>
                  </c:strRef>
                </c:cat>
                <c:val>
                  <c:numRef>
                    <c:extLst xmlns:c15="http://schemas.microsoft.com/office/drawing/2012/chart">
                      <c:ext xmlns:c15="http://schemas.microsoft.com/office/drawing/2012/chart" uri="{02D57815-91ED-43cb-92C2-25804820EDAC}">
                        <c15:formulaRef>
                          <c15:sqref>'SAF pe țări'!$B$7:$T$7</c15:sqref>
                        </c15:formulaRef>
                      </c:ext>
                    </c:extLst>
                    <c:numCache>
                      <c:formatCode>0%</c:formatCode>
                      <c:ptCount val="19"/>
                      <c:pt idx="0">
                        <c:v>7.0000000000000007E-2</c:v>
                      </c:pt>
                      <c:pt idx="1">
                        <c:v>0.08</c:v>
                      </c:pt>
                      <c:pt idx="2">
                        <c:v>0.15</c:v>
                      </c:pt>
                      <c:pt idx="3">
                        <c:v>0.1</c:v>
                      </c:pt>
                      <c:pt idx="4">
                        <c:v>0.54</c:v>
                      </c:pt>
                      <c:pt idx="5">
                        <c:v>0.18</c:v>
                      </c:pt>
                      <c:pt idx="6">
                        <c:v>0.14000000000000001</c:v>
                      </c:pt>
                      <c:pt idx="7">
                        <c:v>0.22</c:v>
                      </c:pt>
                      <c:pt idx="8">
                        <c:v>0.56000000000000005</c:v>
                      </c:pt>
                      <c:pt idx="9">
                        <c:v>0.1</c:v>
                      </c:pt>
                      <c:pt idx="10">
                        <c:v>0.1</c:v>
                      </c:pt>
                      <c:pt idx="11">
                        <c:v>0.15</c:v>
                      </c:pt>
                      <c:pt idx="12">
                        <c:v>0.3</c:v>
                      </c:pt>
                      <c:pt idx="13">
                        <c:v>0.59</c:v>
                      </c:pt>
                      <c:pt idx="14">
                        <c:v>0.14000000000000001</c:v>
                      </c:pt>
                      <c:pt idx="15">
                        <c:v>0.09</c:v>
                      </c:pt>
                      <c:pt idx="16">
                        <c:v>0.3</c:v>
                      </c:pt>
                      <c:pt idx="17">
                        <c:v>0.1</c:v>
                      </c:pt>
                      <c:pt idx="18">
                        <c:v>0.03</c:v>
                      </c:pt>
                    </c:numCache>
                  </c:numRef>
                </c:val>
                <c:extLst xmlns:c15="http://schemas.microsoft.com/office/drawing/2012/chart">
                  <c:ext xmlns:c16="http://schemas.microsoft.com/office/drawing/2014/chart" uri="{C3380CC4-5D6E-409C-BE32-E72D297353CC}">
                    <c16:uniqueId val="{00000006-70B9-4E94-9289-45B56C331903}"/>
                  </c:ext>
                </c:extLst>
              </c15:ser>
            </c15:filteredBarSeries>
            <c15:filteredBarSeries>
              <c15:ser>
                <c:idx val="5"/>
                <c:order val="5"/>
                <c:tx>
                  <c:strRef>
                    <c:extLst xmlns:c15="http://schemas.microsoft.com/office/drawing/2012/chart">
                      <c:ext xmlns:c15="http://schemas.microsoft.com/office/drawing/2012/chart" uri="{02D57815-91ED-43cb-92C2-25804820EDAC}">
                        <c15:formulaRef>
                          <c15:sqref>'SAF pe țări'!$A$8</c15:sqref>
                        </c15:formulaRef>
                      </c:ext>
                    </c:extLst>
                    <c:strCache>
                      <c:ptCount val="1"/>
                      <c:pt idx="0">
                        <c:v>Cehia</c:v>
                      </c:pt>
                    </c:strCache>
                  </c:strRef>
                </c:tx>
                <c:spPr>
                  <a:solidFill>
                    <a:schemeClr val="accent6"/>
                  </a:solidFill>
                  <a:ln>
                    <a:noFill/>
                  </a:ln>
                  <a:effectLst/>
                  <a:sp3d/>
                </c:spPr>
                <c:invertIfNegative val="0"/>
                <c:cat>
                  <c:strRef>
                    <c:extLst xmlns:c15="http://schemas.microsoft.com/office/drawing/2012/chart">
                      <c:ext xmlns:c15="http://schemas.microsoft.com/office/drawing/2012/chart" uri="{02D57815-91ED-43cb-92C2-25804820EDAC}">
                        <c15:formulaRef>
                          <c15:sqref>'SAF pe țări'!$B$2:$T$2</c15:sqref>
                        </c15:formulaRef>
                      </c:ext>
                    </c:extLst>
                    <c:strCache>
                      <c:ptCount val="19"/>
                      <c:pt idx="0">
                        <c:v>Diabet zaharat</c:v>
                      </c:pt>
                      <c:pt idx="1">
                        <c:v>Fractura de șold </c:v>
                      </c:pt>
                      <c:pt idx="2">
                        <c:v>Artrita reumatoidă</c:v>
                      </c:pt>
                      <c:pt idx="3">
                        <c:v>Pneumonie</c:v>
                      </c:pt>
                      <c:pt idx="4">
                        <c:v>BPCO</c:v>
                      </c:pt>
                      <c:pt idx="5">
                        <c:v>BCI</c:v>
                      </c:pt>
                      <c:pt idx="6">
                        <c:v>AVC</c:v>
                      </c:pt>
                      <c:pt idx="7">
                        <c:v>Cancer oral</c:v>
                      </c:pt>
                      <c:pt idx="8">
                        <c:v>Cancer de esofag</c:v>
                      </c:pt>
                      <c:pt idx="9">
                        <c:v>Cancer de stomac</c:v>
                      </c:pt>
                      <c:pt idx="10">
                        <c:v>Cancer hepatic</c:v>
                      </c:pt>
                      <c:pt idx="11">
                        <c:v>Cancer de pancreas</c:v>
                      </c:pt>
                      <c:pt idx="12">
                        <c:v>Cancer de laringe</c:v>
                      </c:pt>
                      <c:pt idx="13">
                        <c:v>Cancer bronhopulmonar</c:v>
                      </c:pt>
                      <c:pt idx="14">
                        <c:v>Cancer de col uterin</c:v>
                      </c:pt>
                      <c:pt idx="15">
                        <c:v>Cancer renal</c:v>
                      </c:pt>
                      <c:pt idx="16">
                        <c:v>Cancer de vezică urinară</c:v>
                      </c:pt>
                      <c:pt idx="17">
                        <c:v>Leucemie</c:v>
                      </c:pt>
                      <c:pt idx="18">
                        <c:v>Cancer colorectal</c:v>
                      </c:pt>
                    </c:strCache>
                  </c:strRef>
                </c:cat>
                <c:val>
                  <c:numRef>
                    <c:extLst xmlns:c15="http://schemas.microsoft.com/office/drawing/2012/chart">
                      <c:ext xmlns:c15="http://schemas.microsoft.com/office/drawing/2012/chart" uri="{02D57815-91ED-43cb-92C2-25804820EDAC}">
                        <c15:formulaRef>
                          <c15:sqref>'SAF pe țări'!$B$8:$T$8</c15:sqref>
                        </c15:formulaRef>
                      </c:ext>
                    </c:extLst>
                    <c:numCache>
                      <c:formatCode>0%</c:formatCode>
                      <c:ptCount val="19"/>
                      <c:pt idx="0">
                        <c:v>7.0000000000000007E-2</c:v>
                      </c:pt>
                      <c:pt idx="1">
                        <c:v>7.0000000000000007E-2</c:v>
                      </c:pt>
                      <c:pt idx="2">
                        <c:v>0.14000000000000001</c:v>
                      </c:pt>
                      <c:pt idx="3">
                        <c:v>0.09</c:v>
                      </c:pt>
                      <c:pt idx="4">
                        <c:v>0.51</c:v>
                      </c:pt>
                      <c:pt idx="5">
                        <c:v>0.17</c:v>
                      </c:pt>
                      <c:pt idx="6">
                        <c:v>0.13</c:v>
                      </c:pt>
                      <c:pt idx="7">
                        <c:v>0.21</c:v>
                      </c:pt>
                      <c:pt idx="8">
                        <c:v>0.53</c:v>
                      </c:pt>
                      <c:pt idx="9">
                        <c:v>0.09</c:v>
                      </c:pt>
                      <c:pt idx="10">
                        <c:v>0.09</c:v>
                      </c:pt>
                      <c:pt idx="11">
                        <c:v>0.13</c:v>
                      </c:pt>
                      <c:pt idx="12">
                        <c:v>0.28000000000000003</c:v>
                      </c:pt>
                      <c:pt idx="13">
                        <c:v>0.56000000000000005</c:v>
                      </c:pt>
                      <c:pt idx="14">
                        <c:v>0.13</c:v>
                      </c:pt>
                      <c:pt idx="15">
                        <c:v>0.08</c:v>
                      </c:pt>
                      <c:pt idx="16">
                        <c:v>0.28000000000000003</c:v>
                      </c:pt>
                      <c:pt idx="17">
                        <c:v>0.09</c:v>
                      </c:pt>
                      <c:pt idx="18">
                        <c:v>0.03</c:v>
                      </c:pt>
                    </c:numCache>
                  </c:numRef>
                </c:val>
                <c:extLst xmlns:c15="http://schemas.microsoft.com/office/drawing/2012/chart">
                  <c:ext xmlns:c16="http://schemas.microsoft.com/office/drawing/2014/chart" uri="{C3380CC4-5D6E-409C-BE32-E72D297353CC}">
                    <c16:uniqueId val="{00000007-70B9-4E94-9289-45B56C331903}"/>
                  </c:ext>
                </c:extLst>
              </c15:ser>
            </c15:filteredBarSeries>
            <c15:filteredBarSeries>
              <c15:ser>
                <c:idx val="6"/>
                <c:order val="6"/>
                <c:tx>
                  <c:strRef>
                    <c:extLst xmlns:c15="http://schemas.microsoft.com/office/drawing/2012/chart">
                      <c:ext xmlns:c15="http://schemas.microsoft.com/office/drawing/2012/chart" uri="{02D57815-91ED-43cb-92C2-25804820EDAC}">
                        <c15:formulaRef>
                          <c15:sqref>'SAF pe țări'!$A$9</c15:sqref>
                        </c15:formulaRef>
                      </c:ext>
                    </c:extLst>
                    <c:strCache>
                      <c:ptCount val="1"/>
                      <c:pt idx="0">
                        <c:v>Danemarca</c:v>
                      </c:pt>
                    </c:strCache>
                  </c:strRef>
                </c:tx>
                <c:spPr>
                  <a:solidFill>
                    <a:schemeClr val="accent1">
                      <a:lumMod val="60000"/>
                    </a:schemeClr>
                  </a:solidFill>
                  <a:ln>
                    <a:noFill/>
                  </a:ln>
                  <a:effectLst/>
                  <a:sp3d/>
                </c:spPr>
                <c:invertIfNegative val="0"/>
                <c:cat>
                  <c:strRef>
                    <c:extLst xmlns:c15="http://schemas.microsoft.com/office/drawing/2012/chart">
                      <c:ext xmlns:c15="http://schemas.microsoft.com/office/drawing/2012/chart" uri="{02D57815-91ED-43cb-92C2-25804820EDAC}">
                        <c15:formulaRef>
                          <c15:sqref>'SAF pe țări'!$B$2:$T$2</c15:sqref>
                        </c15:formulaRef>
                      </c:ext>
                    </c:extLst>
                    <c:strCache>
                      <c:ptCount val="19"/>
                      <c:pt idx="0">
                        <c:v>Diabet zaharat</c:v>
                      </c:pt>
                      <c:pt idx="1">
                        <c:v>Fractura de șold </c:v>
                      </c:pt>
                      <c:pt idx="2">
                        <c:v>Artrita reumatoidă</c:v>
                      </c:pt>
                      <c:pt idx="3">
                        <c:v>Pneumonie</c:v>
                      </c:pt>
                      <c:pt idx="4">
                        <c:v>BPCO</c:v>
                      </c:pt>
                      <c:pt idx="5">
                        <c:v>BCI</c:v>
                      </c:pt>
                      <c:pt idx="6">
                        <c:v>AVC</c:v>
                      </c:pt>
                      <c:pt idx="7">
                        <c:v>Cancer oral</c:v>
                      </c:pt>
                      <c:pt idx="8">
                        <c:v>Cancer de esofag</c:v>
                      </c:pt>
                      <c:pt idx="9">
                        <c:v>Cancer de stomac</c:v>
                      </c:pt>
                      <c:pt idx="10">
                        <c:v>Cancer hepatic</c:v>
                      </c:pt>
                      <c:pt idx="11">
                        <c:v>Cancer de pancreas</c:v>
                      </c:pt>
                      <c:pt idx="12">
                        <c:v>Cancer de laringe</c:v>
                      </c:pt>
                      <c:pt idx="13">
                        <c:v>Cancer bronhopulmonar</c:v>
                      </c:pt>
                      <c:pt idx="14">
                        <c:v>Cancer de col uterin</c:v>
                      </c:pt>
                      <c:pt idx="15">
                        <c:v>Cancer renal</c:v>
                      </c:pt>
                      <c:pt idx="16">
                        <c:v>Cancer de vezică urinară</c:v>
                      </c:pt>
                      <c:pt idx="17">
                        <c:v>Leucemie</c:v>
                      </c:pt>
                      <c:pt idx="18">
                        <c:v>Cancer colorectal</c:v>
                      </c:pt>
                    </c:strCache>
                  </c:strRef>
                </c:cat>
                <c:val>
                  <c:numRef>
                    <c:extLst xmlns:c15="http://schemas.microsoft.com/office/drawing/2012/chart">
                      <c:ext xmlns:c15="http://schemas.microsoft.com/office/drawing/2012/chart" uri="{02D57815-91ED-43cb-92C2-25804820EDAC}">
                        <c15:formulaRef>
                          <c15:sqref>'SAF pe țări'!$B$9:$T$9</c15:sqref>
                        </c15:formulaRef>
                      </c:ext>
                    </c:extLst>
                    <c:numCache>
                      <c:formatCode>0%</c:formatCode>
                      <c:ptCount val="19"/>
                      <c:pt idx="0">
                        <c:v>0.04</c:v>
                      </c:pt>
                      <c:pt idx="1">
                        <c:v>0.05</c:v>
                      </c:pt>
                      <c:pt idx="2">
                        <c:v>0.09</c:v>
                      </c:pt>
                      <c:pt idx="3">
                        <c:v>0.06</c:v>
                      </c:pt>
                      <c:pt idx="4">
                        <c:v>0.39</c:v>
                      </c:pt>
                      <c:pt idx="5">
                        <c:v>0.11</c:v>
                      </c:pt>
                      <c:pt idx="6">
                        <c:v>0.08</c:v>
                      </c:pt>
                      <c:pt idx="7">
                        <c:v>0.14000000000000001</c:v>
                      </c:pt>
                      <c:pt idx="8">
                        <c:v>0.41</c:v>
                      </c:pt>
                      <c:pt idx="9">
                        <c:v>0.06</c:v>
                      </c:pt>
                      <c:pt idx="10">
                        <c:v>0.06</c:v>
                      </c:pt>
                      <c:pt idx="11">
                        <c:v>0.09</c:v>
                      </c:pt>
                      <c:pt idx="12">
                        <c:v>0.19</c:v>
                      </c:pt>
                      <c:pt idx="13">
                        <c:v>0.44</c:v>
                      </c:pt>
                      <c:pt idx="14">
                        <c:v>0.08</c:v>
                      </c:pt>
                      <c:pt idx="15">
                        <c:v>0.05</c:v>
                      </c:pt>
                      <c:pt idx="16">
                        <c:v>0.19</c:v>
                      </c:pt>
                      <c:pt idx="17">
                        <c:v>0.06</c:v>
                      </c:pt>
                      <c:pt idx="18">
                        <c:v>0.02</c:v>
                      </c:pt>
                    </c:numCache>
                  </c:numRef>
                </c:val>
                <c:extLst xmlns:c15="http://schemas.microsoft.com/office/drawing/2012/chart">
                  <c:ext xmlns:c16="http://schemas.microsoft.com/office/drawing/2014/chart" uri="{C3380CC4-5D6E-409C-BE32-E72D297353CC}">
                    <c16:uniqueId val="{00000008-70B9-4E94-9289-45B56C331903}"/>
                  </c:ext>
                </c:extLst>
              </c15:ser>
            </c15:filteredBarSeries>
            <c15:filteredBarSeries>
              <c15:ser>
                <c:idx val="7"/>
                <c:order val="7"/>
                <c:tx>
                  <c:strRef>
                    <c:extLst xmlns:c15="http://schemas.microsoft.com/office/drawing/2012/chart">
                      <c:ext xmlns:c15="http://schemas.microsoft.com/office/drawing/2012/chart" uri="{02D57815-91ED-43cb-92C2-25804820EDAC}">
                        <c15:formulaRef>
                          <c15:sqref>'SAF pe țări'!$A$10</c15:sqref>
                        </c15:formulaRef>
                      </c:ext>
                    </c:extLst>
                    <c:strCache>
                      <c:ptCount val="1"/>
                      <c:pt idx="0">
                        <c:v>Estonia</c:v>
                      </c:pt>
                    </c:strCache>
                  </c:strRef>
                </c:tx>
                <c:spPr>
                  <a:solidFill>
                    <a:schemeClr val="accent2">
                      <a:lumMod val="60000"/>
                    </a:schemeClr>
                  </a:solidFill>
                  <a:ln>
                    <a:noFill/>
                  </a:ln>
                  <a:effectLst/>
                  <a:sp3d/>
                </c:spPr>
                <c:invertIfNegative val="0"/>
                <c:cat>
                  <c:strRef>
                    <c:extLst xmlns:c15="http://schemas.microsoft.com/office/drawing/2012/chart">
                      <c:ext xmlns:c15="http://schemas.microsoft.com/office/drawing/2012/chart" uri="{02D57815-91ED-43cb-92C2-25804820EDAC}">
                        <c15:formulaRef>
                          <c15:sqref>'SAF pe țări'!$B$2:$T$2</c15:sqref>
                        </c15:formulaRef>
                      </c:ext>
                    </c:extLst>
                    <c:strCache>
                      <c:ptCount val="19"/>
                      <c:pt idx="0">
                        <c:v>Diabet zaharat</c:v>
                      </c:pt>
                      <c:pt idx="1">
                        <c:v>Fractura de șold </c:v>
                      </c:pt>
                      <c:pt idx="2">
                        <c:v>Artrita reumatoidă</c:v>
                      </c:pt>
                      <c:pt idx="3">
                        <c:v>Pneumonie</c:v>
                      </c:pt>
                      <c:pt idx="4">
                        <c:v>BPCO</c:v>
                      </c:pt>
                      <c:pt idx="5">
                        <c:v>BCI</c:v>
                      </c:pt>
                      <c:pt idx="6">
                        <c:v>AVC</c:v>
                      </c:pt>
                      <c:pt idx="7">
                        <c:v>Cancer oral</c:v>
                      </c:pt>
                      <c:pt idx="8">
                        <c:v>Cancer de esofag</c:v>
                      </c:pt>
                      <c:pt idx="9">
                        <c:v>Cancer de stomac</c:v>
                      </c:pt>
                      <c:pt idx="10">
                        <c:v>Cancer hepatic</c:v>
                      </c:pt>
                      <c:pt idx="11">
                        <c:v>Cancer de pancreas</c:v>
                      </c:pt>
                      <c:pt idx="12">
                        <c:v>Cancer de laringe</c:v>
                      </c:pt>
                      <c:pt idx="13">
                        <c:v>Cancer bronhopulmonar</c:v>
                      </c:pt>
                      <c:pt idx="14">
                        <c:v>Cancer de col uterin</c:v>
                      </c:pt>
                      <c:pt idx="15">
                        <c:v>Cancer renal</c:v>
                      </c:pt>
                      <c:pt idx="16">
                        <c:v>Cancer de vezică urinară</c:v>
                      </c:pt>
                      <c:pt idx="17">
                        <c:v>Leucemie</c:v>
                      </c:pt>
                      <c:pt idx="18">
                        <c:v>Cancer colorectal</c:v>
                      </c:pt>
                    </c:strCache>
                  </c:strRef>
                </c:cat>
                <c:val>
                  <c:numRef>
                    <c:extLst xmlns:c15="http://schemas.microsoft.com/office/drawing/2012/chart">
                      <c:ext xmlns:c15="http://schemas.microsoft.com/office/drawing/2012/chart" uri="{02D57815-91ED-43cb-92C2-25804820EDAC}">
                        <c15:formulaRef>
                          <c15:sqref>'SAF pe țări'!$B$10:$T$10</c15:sqref>
                        </c15:formulaRef>
                      </c:ext>
                    </c:extLst>
                    <c:numCache>
                      <c:formatCode>0%</c:formatCode>
                      <c:ptCount val="19"/>
                      <c:pt idx="0">
                        <c:v>7.0000000000000007E-2</c:v>
                      </c:pt>
                      <c:pt idx="1">
                        <c:v>7.0000000000000007E-2</c:v>
                      </c:pt>
                      <c:pt idx="2">
                        <c:v>0.14000000000000001</c:v>
                      </c:pt>
                      <c:pt idx="3">
                        <c:v>0.09</c:v>
                      </c:pt>
                      <c:pt idx="4">
                        <c:v>0.51</c:v>
                      </c:pt>
                      <c:pt idx="5">
                        <c:v>0.16</c:v>
                      </c:pt>
                      <c:pt idx="6">
                        <c:v>0.12</c:v>
                      </c:pt>
                      <c:pt idx="7">
                        <c:v>0.2</c:v>
                      </c:pt>
                      <c:pt idx="8">
                        <c:v>0.53</c:v>
                      </c:pt>
                      <c:pt idx="9">
                        <c:v>0.09</c:v>
                      </c:pt>
                      <c:pt idx="10">
                        <c:v>0.09</c:v>
                      </c:pt>
                      <c:pt idx="11">
                        <c:v>0.13</c:v>
                      </c:pt>
                      <c:pt idx="12">
                        <c:v>0.28000000000000003</c:v>
                      </c:pt>
                      <c:pt idx="13">
                        <c:v>0.56000000000000005</c:v>
                      </c:pt>
                      <c:pt idx="14">
                        <c:v>0.13</c:v>
                      </c:pt>
                      <c:pt idx="15">
                        <c:v>0.08</c:v>
                      </c:pt>
                      <c:pt idx="16">
                        <c:v>0.27</c:v>
                      </c:pt>
                      <c:pt idx="17">
                        <c:v>0.09</c:v>
                      </c:pt>
                      <c:pt idx="18">
                        <c:v>0.03</c:v>
                      </c:pt>
                    </c:numCache>
                  </c:numRef>
                </c:val>
                <c:extLst xmlns:c15="http://schemas.microsoft.com/office/drawing/2012/chart">
                  <c:ext xmlns:c16="http://schemas.microsoft.com/office/drawing/2014/chart" uri="{C3380CC4-5D6E-409C-BE32-E72D297353CC}">
                    <c16:uniqueId val="{00000009-70B9-4E94-9289-45B56C331903}"/>
                  </c:ext>
                </c:extLst>
              </c15:ser>
            </c15:filteredBarSeries>
            <c15:filteredBarSeries>
              <c15:ser>
                <c:idx val="8"/>
                <c:order val="8"/>
                <c:tx>
                  <c:strRef>
                    <c:extLst xmlns:c15="http://schemas.microsoft.com/office/drawing/2012/chart">
                      <c:ext xmlns:c15="http://schemas.microsoft.com/office/drawing/2012/chart" uri="{02D57815-91ED-43cb-92C2-25804820EDAC}">
                        <c15:formulaRef>
                          <c15:sqref>'SAF pe țări'!$A$11</c15:sqref>
                        </c15:formulaRef>
                      </c:ext>
                    </c:extLst>
                    <c:strCache>
                      <c:ptCount val="1"/>
                      <c:pt idx="0">
                        <c:v>Finlanda</c:v>
                      </c:pt>
                    </c:strCache>
                  </c:strRef>
                </c:tx>
                <c:spPr>
                  <a:solidFill>
                    <a:schemeClr val="accent3">
                      <a:lumMod val="60000"/>
                    </a:schemeClr>
                  </a:solidFill>
                  <a:ln>
                    <a:noFill/>
                  </a:ln>
                  <a:effectLst/>
                  <a:sp3d/>
                </c:spPr>
                <c:invertIfNegative val="0"/>
                <c:cat>
                  <c:strRef>
                    <c:extLst xmlns:c15="http://schemas.microsoft.com/office/drawing/2012/chart">
                      <c:ext xmlns:c15="http://schemas.microsoft.com/office/drawing/2012/chart" uri="{02D57815-91ED-43cb-92C2-25804820EDAC}">
                        <c15:formulaRef>
                          <c15:sqref>'SAF pe țări'!$B$2:$T$2</c15:sqref>
                        </c15:formulaRef>
                      </c:ext>
                    </c:extLst>
                    <c:strCache>
                      <c:ptCount val="19"/>
                      <c:pt idx="0">
                        <c:v>Diabet zaharat</c:v>
                      </c:pt>
                      <c:pt idx="1">
                        <c:v>Fractura de șold </c:v>
                      </c:pt>
                      <c:pt idx="2">
                        <c:v>Artrita reumatoidă</c:v>
                      </c:pt>
                      <c:pt idx="3">
                        <c:v>Pneumonie</c:v>
                      </c:pt>
                      <c:pt idx="4">
                        <c:v>BPCO</c:v>
                      </c:pt>
                      <c:pt idx="5">
                        <c:v>BCI</c:v>
                      </c:pt>
                      <c:pt idx="6">
                        <c:v>AVC</c:v>
                      </c:pt>
                      <c:pt idx="7">
                        <c:v>Cancer oral</c:v>
                      </c:pt>
                      <c:pt idx="8">
                        <c:v>Cancer de esofag</c:v>
                      </c:pt>
                      <c:pt idx="9">
                        <c:v>Cancer de stomac</c:v>
                      </c:pt>
                      <c:pt idx="10">
                        <c:v>Cancer hepatic</c:v>
                      </c:pt>
                      <c:pt idx="11">
                        <c:v>Cancer de pancreas</c:v>
                      </c:pt>
                      <c:pt idx="12">
                        <c:v>Cancer de laringe</c:v>
                      </c:pt>
                      <c:pt idx="13">
                        <c:v>Cancer bronhopulmonar</c:v>
                      </c:pt>
                      <c:pt idx="14">
                        <c:v>Cancer de col uterin</c:v>
                      </c:pt>
                      <c:pt idx="15">
                        <c:v>Cancer renal</c:v>
                      </c:pt>
                      <c:pt idx="16">
                        <c:v>Cancer de vezică urinară</c:v>
                      </c:pt>
                      <c:pt idx="17">
                        <c:v>Leucemie</c:v>
                      </c:pt>
                      <c:pt idx="18">
                        <c:v>Cancer colorectal</c:v>
                      </c:pt>
                    </c:strCache>
                  </c:strRef>
                </c:cat>
                <c:val>
                  <c:numRef>
                    <c:extLst xmlns:c15="http://schemas.microsoft.com/office/drawing/2012/chart">
                      <c:ext xmlns:c15="http://schemas.microsoft.com/office/drawing/2012/chart" uri="{02D57815-91ED-43cb-92C2-25804820EDAC}">
                        <c15:formulaRef>
                          <c15:sqref>'SAF pe țări'!$B$11:$T$11</c15:sqref>
                        </c15:formulaRef>
                      </c:ext>
                    </c:extLst>
                    <c:numCache>
                      <c:formatCode>0%</c:formatCode>
                      <c:ptCount val="19"/>
                      <c:pt idx="0">
                        <c:v>0.04</c:v>
                      </c:pt>
                      <c:pt idx="1">
                        <c:v>0.04</c:v>
                      </c:pt>
                      <c:pt idx="2">
                        <c:v>0.08</c:v>
                      </c:pt>
                      <c:pt idx="3">
                        <c:v>0.05</c:v>
                      </c:pt>
                      <c:pt idx="4">
                        <c:v>0.35</c:v>
                      </c:pt>
                      <c:pt idx="5">
                        <c:v>0.09</c:v>
                      </c:pt>
                      <c:pt idx="6">
                        <c:v>7.0000000000000007E-2</c:v>
                      </c:pt>
                      <c:pt idx="7">
                        <c:v>0.12</c:v>
                      </c:pt>
                      <c:pt idx="8">
                        <c:v>0.37</c:v>
                      </c:pt>
                      <c:pt idx="9">
                        <c:v>0.05</c:v>
                      </c:pt>
                      <c:pt idx="10">
                        <c:v>0.05</c:v>
                      </c:pt>
                      <c:pt idx="11">
                        <c:v>7.0000000000000007E-2</c:v>
                      </c:pt>
                      <c:pt idx="12">
                        <c:v>0.17</c:v>
                      </c:pt>
                      <c:pt idx="13">
                        <c:v>0.4</c:v>
                      </c:pt>
                      <c:pt idx="14">
                        <c:v>7.0000000000000007E-2</c:v>
                      </c:pt>
                      <c:pt idx="15">
                        <c:v>0.04</c:v>
                      </c:pt>
                      <c:pt idx="16">
                        <c:v>0.17</c:v>
                      </c:pt>
                      <c:pt idx="17">
                        <c:v>0.05</c:v>
                      </c:pt>
                      <c:pt idx="18">
                        <c:v>0.02</c:v>
                      </c:pt>
                    </c:numCache>
                  </c:numRef>
                </c:val>
                <c:extLst xmlns:c15="http://schemas.microsoft.com/office/drawing/2012/chart">
                  <c:ext xmlns:c16="http://schemas.microsoft.com/office/drawing/2014/chart" uri="{C3380CC4-5D6E-409C-BE32-E72D297353CC}">
                    <c16:uniqueId val="{0000000A-70B9-4E94-9289-45B56C331903}"/>
                  </c:ext>
                </c:extLst>
              </c15:ser>
            </c15:filteredBarSeries>
            <c15:filteredBarSeries>
              <c15:ser>
                <c:idx val="9"/>
                <c:order val="9"/>
                <c:tx>
                  <c:strRef>
                    <c:extLst xmlns:c15="http://schemas.microsoft.com/office/drawing/2012/chart">
                      <c:ext xmlns:c15="http://schemas.microsoft.com/office/drawing/2012/chart" uri="{02D57815-91ED-43cb-92C2-25804820EDAC}">
                        <c15:formulaRef>
                          <c15:sqref>'SAF pe țări'!$A$12</c15:sqref>
                        </c15:formulaRef>
                      </c:ext>
                    </c:extLst>
                    <c:strCache>
                      <c:ptCount val="1"/>
                      <c:pt idx="0">
                        <c:v>Franța</c:v>
                      </c:pt>
                    </c:strCache>
                  </c:strRef>
                </c:tx>
                <c:spPr>
                  <a:solidFill>
                    <a:schemeClr val="accent4">
                      <a:lumMod val="60000"/>
                    </a:schemeClr>
                  </a:solidFill>
                  <a:ln>
                    <a:noFill/>
                  </a:ln>
                  <a:effectLst/>
                  <a:sp3d/>
                </c:spPr>
                <c:invertIfNegative val="0"/>
                <c:cat>
                  <c:strRef>
                    <c:extLst xmlns:c15="http://schemas.microsoft.com/office/drawing/2012/chart">
                      <c:ext xmlns:c15="http://schemas.microsoft.com/office/drawing/2012/chart" uri="{02D57815-91ED-43cb-92C2-25804820EDAC}">
                        <c15:formulaRef>
                          <c15:sqref>'SAF pe țări'!$B$2:$T$2</c15:sqref>
                        </c15:formulaRef>
                      </c:ext>
                    </c:extLst>
                    <c:strCache>
                      <c:ptCount val="19"/>
                      <c:pt idx="0">
                        <c:v>Diabet zaharat</c:v>
                      </c:pt>
                      <c:pt idx="1">
                        <c:v>Fractura de șold </c:v>
                      </c:pt>
                      <c:pt idx="2">
                        <c:v>Artrita reumatoidă</c:v>
                      </c:pt>
                      <c:pt idx="3">
                        <c:v>Pneumonie</c:v>
                      </c:pt>
                      <c:pt idx="4">
                        <c:v>BPCO</c:v>
                      </c:pt>
                      <c:pt idx="5">
                        <c:v>BCI</c:v>
                      </c:pt>
                      <c:pt idx="6">
                        <c:v>AVC</c:v>
                      </c:pt>
                      <c:pt idx="7">
                        <c:v>Cancer oral</c:v>
                      </c:pt>
                      <c:pt idx="8">
                        <c:v>Cancer de esofag</c:v>
                      </c:pt>
                      <c:pt idx="9">
                        <c:v>Cancer de stomac</c:v>
                      </c:pt>
                      <c:pt idx="10">
                        <c:v>Cancer hepatic</c:v>
                      </c:pt>
                      <c:pt idx="11">
                        <c:v>Cancer de pancreas</c:v>
                      </c:pt>
                      <c:pt idx="12">
                        <c:v>Cancer de laringe</c:v>
                      </c:pt>
                      <c:pt idx="13">
                        <c:v>Cancer bronhopulmonar</c:v>
                      </c:pt>
                      <c:pt idx="14">
                        <c:v>Cancer de col uterin</c:v>
                      </c:pt>
                      <c:pt idx="15">
                        <c:v>Cancer renal</c:v>
                      </c:pt>
                      <c:pt idx="16">
                        <c:v>Cancer de vezică urinară</c:v>
                      </c:pt>
                      <c:pt idx="17">
                        <c:v>Leucemie</c:v>
                      </c:pt>
                      <c:pt idx="18">
                        <c:v>Cancer colorectal</c:v>
                      </c:pt>
                    </c:strCache>
                  </c:strRef>
                </c:cat>
                <c:val>
                  <c:numRef>
                    <c:extLst xmlns:c15="http://schemas.microsoft.com/office/drawing/2012/chart">
                      <c:ext xmlns:c15="http://schemas.microsoft.com/office/drawing/2012/chart" uri="{02D57815-91ED-43cb-92C2-25804820EDAC}">
                        <c15:formulaRef>
                          <c15:sqref>'SAF pe țări'!$B$12:$T$12</c15:sqref>
                        </c15:formulaRef>
                      </c:ext>
                    </c:extLst>
                    <c:numCache>
                      <c:formatCode>0%</c:formatCode>
                      <c:ptCount val="19"/>
                      <c:pt idx="0">
                        <c:v>0.06</c:v>
                      </c:pt>
                      <c:pt idx="1">
                        <c:v>7.0000000000000007E-2</c:v>
                      </c:pt>
                      <c:pt idx="2">
                        <c:v>0.13</c:v>
                      </c:pt>
                      <c:pt idx="3">
                        <c:v>0.08</c:v>
                      </c:pt>
                      <c:pt idx="4">
                        <c:v>0.49</c:v>
                      </c:pt>
                      <c:pt idx="5">
                        <c:v>0.15</c:v>
                      </c:pt>
                      <c:pt idx="6">
                        <c:v>0.12</c:v>
                      </c:pt>
                      <c:pt idx="7">
                        <c:v>0.19</c:v>
                      </c:pt>
                      <c:pt idx="8">
                        <c:v>0.51</c:v>
                      </c:pt>
                      <c:pt idx="9">
                        <c:v>0.08</c:v>
                      </c:pt>
                      <c:pt idx="10">
                        <c:v>0.08</c:v>
                      </c:pt>
                      <c:pt idx="11">
                        <c:v>0.12</c:v>
                      </c:pt>
                      <c:pt idx="12">
                        <c:v>0.27</c:v>
                      </c:pt>
                      <c:pt idx="13">
                        <c:v>0.54</c:v>
                      </c:pt>
                      <c:pt idx="14">
                        <c:v>0.12</c:v>
                      </c:pt>
                      <c:pt idx="15">
                        <c:v>0.08</c:v>
                      </c:pt>
                      <c:pt idx="16">
                        <c:v>0.26</c:v>
                      </c:pt>
                      <c:pt idx="17">
                        <c:v>0.09</c:v>
                      </c:pt>
                      <c:pt idx="18">
                        <c:v>0.03</c:v>
                      </c:pt>
                    </c:numCache>
                  </c:numRef>
                </c:val>
                <c:extLst xmlns:c15="http://schemas.microsoft.com/office/drawing/2012/chart">
                  <c:ext xmlns:c16="http://schemas.microsoft.com/office/drawing/2014/chart" uri="{C3380CC4-5D6E-409C-BE32-E72D297353CC}">
                    <c16:uniqueId val="{0000000B-70B9-4E94-9289-45B56C331903}"/>
                  </c:ext>
                </c:extLst>
              </c15:ser>
            </c15:filteredBarSeries>
            <c15:filteredBarSeries>
              <c15:ser>
                <c:idx val="10"/>
                <c:order val="10"/>
                <c:tx>
                  <c:strRef>
                    <c:extLst xmlns:c15="http://schemas.microsoft.com/office/drawing/2012/chart">
                      <c:ext xmlns:c15="http://schemas.microsoft.com/office/drawing/2012/chart" uri="{02D57815-91ED-43cb-92C2-25804820EDAC}">
                        <c15:formulaRef>
                          <c15:sqref>'SAF pe țări'!$A$13</c15:sqref>
                        </c15:formulaRef>
                      </c:ext>
                    </c:extLst>
                    <c:strCache>
                      <c:ptCount val="1"/>
                      <c:pt idx="0">
                        <c:v>Germania</c:v>
                      </c:pt>
                    </c:strCache>
                  </c:strRef>
                </c:tx>
                <c:spPr>
                  <a:solidFill>
                    <a:schemeClr val="accent5">
                      <a:lumMod val="60000"/>
                    </a:schemeClr>
                  </a:solidFill>
                  <a:ln>
                    <a:noFill/>
                  </a:ln>
                  <a:effectLst/>
                  <a:sp3d/>
                </c:spPr>
                <c:invertIfNegative val="0"/>
                <c:cat>
                  <c:strRef>
                    <c:extLst xmlns:c15="http://schemas.microsoft.com/office/drawing/2012/chart">
                      <c:ext xmlns:c15="http://schemas.microsoft.com/office/drawing/2012/chart" uri="{02D57815-91ED-43cb-92C2-25804820EDAC}">
                        <c15:formulaRef>
                          <c15:sqref>'SAF pe țări'!$B$2:$T$2</c15:sqref>
                        </c15:formulaRef>
                      </c:ext>
                    </c:extLst>
                    <c:strCache>
                      <c:ptCount val="19"/>
                      <c:pt idx="0">
                        <c:v>Diabet zaharat</c:v>
                      </c:pt>
                      <c:pt idx="1">
                        <c:v>Fractura de șold </c:v>
                      </c:pt>
                      <c:pt idx="2">
                        <c:v>Artrita reumatoidă</c:v>
                      </c:pt>
                      <c:pt idx="3">
                        <c:v>Pneumonie</c:v>
                      </c:pt>
                      <c:pt idx="4">
                        <c:v>BPCO</c:v>
                      </c:pt>
                      <c:pt idx="5">
                        <c:v>BCI</c:v>
                      </c:pt>
                      <c:pt idx="6">
                        <c:v>AVC</c:v>
                      </c:pt>
                      <c:pt idx="7">
                        <c:v>Cancer oral</c:v>
                      </c:pt>
                      <c:pt idx="8">
                        <c:v>Cancer de esofag</c:v>
                      </c:pt>
                      <c:pt idx="9">
                        <c:v>Cancer de stomac</c:v>
                      </c:pt>
                      <c:pt idx="10">
                        <c:v>Cancer hepatic</c:v>
                      </c:pt>
                      <c:pt idx="11">
                        <c:v>Cancer de pancreas</c:v>
                      </c:pt>
                      <c:pt idx="12">
                        <c:v>Cancer de laringe</c:v>
                      </c:pt>
                      <c:pt idx="13">
                        <c:v>Cancer bronhopulmonar</c:v>
                      </c:pt>
                      <c:pt idx="14">
                        <c:v>Cancer de col uterin</c:v>
                      </c:pt>
                      <c:pt idx="15">
                        <c:v>Cancer renal</c:v>
                      </c:pt>
                      <c:pt idx="16">
                        <c:v>Cancer de vezică urinară</c:v>
                      </c:pt>
                      <c:pt idx="17">
                        <c:v>Leucemie</c:v>
                      </c:pt>
                      <c:pt idx="18">
                        <c:v>Cancer colorectal</c:v>
                      </c:pt>
                    </c:strCache>
                  </c:strRef>
                </c:cat>
                <c:val>
                  <c:numRef>
                    <c:extLst xmlns:c15="http://schemas.microsoft.com/office/drawing/2012/chart">
                      <c:ext xmlns:c15="http://schemas.microsoft.com/office/drawing/2012/chart" uri="{02D57815-91ED-43cb-92C2-25804820EDAC}">
                        <c15:formulaRef>
                          <c15:sqref>'SAF pe țări'!$B$13:$T$13</c15:sqref>
                        </c15:formulaRef>
                      </c:ext>
                    </c:extLst>
                    <c:numCache>
                      <c:formatCode>0%</c:formatCode>
                      <c:ptCount val="19"/>
                      <c:pt idx="0">
                        <c:v>7.0000000000000007E-2</c:v>
                      </c:pt>
                      <c:pt idx="1">
                        <c:v>0.08</c:v>
                      </c:pt>
                      <c:pt idx="2">
                        <c:v>0.15</c:v>
                      </c:pt>
                      <c:pt idx="3">
                        <c:v>0.1</c:v>
                      </c:pt>
                      <c:pt idx="4">
                        <c:v>0.54</c:v>
                      </c:pt>
                      <c:pt idx="5">
                        <c:v>0.18</c:v>
                      </c:pt>
                      <c:pt idx="6">
                        <c:v>0.14000000000000001</c:v>
                      </c:pt>
                      <c:pt idx="7">
                        <c:v>0.23</c:v>
                      </c:pt>
                      <c:pt idx="8">
                        <c:v>0.56999999999999995</c:v>
                      </c:pt>
                      <c:pt idx="9">
                        <c:v>0.1</c:v>
                      </c:pt>
                      <c:pt idx="10">
                        <c:v>0.1</c:v>
                      </c:pt>
                      <c:pt idx="11">
                        <c:v>0.15</c:v>
                      </c:pt>
                      <c:pt idx="12">
                        <c:v>0.31</c:v>
                      </c:pt>
                      <c:pt idx="13">
                        <c:v>0.59</c:v>
                      </c:pt>
                      <c:pt idx="14">
                        <c:v>0.14000000000000001</c:v>
                      </c:pt>
                      <c:pt idx="15">
                        <c:v>0.09</c:v>
                      </c:pt>
                      <c:pt idx="16">
                        <c:v>0.3</c:v>
                      </c:pt>
                      <c:pt idx="17">
                        <c:v>0.1</c:v>
                      </c:pt>
                      <c:pt idx="18">
                        <c:v>0.04</c:v>
                      </c:pt>
                    </c:numCache>
                  </c:numRef>
                </c:val>
                <c:extLst xmlns:c15="http://schemas.microsoft.com/office/drawing/2012/chart">
                  <c:ext xmlns:c16="http://schemas.microsoft.com/office/drawing/2014/chart" uri="{C3380CC4-5D6E-409C-BE32-E72D297353CC}">
                    <c16:uniqueId val="{0000000C-70B9-4E94-9289-45B56C331903}"/>
                  </c:ext>
                </c:extLst>
              </c15:ser>
            </c15:filteredBarSeries>
            <c15:filteredBarSeries>
              <c15:ser>
                <c:idx val="11"/>
                <c:order val="11"/>
                <c:tx>
                  <c:strRef>
                    <c:extLst xmlns:c15="http://schemas.microsoft.com/office/drawing/2012/chart">
                      <c:ext xmlns:c15="http://schemas.microsoft.com/office/drawing/2012/chart" uri="{02D57815-91ED-43cb-92C2-25804820EDAC}">
                        <c15:formulaRef>
                          <c15:sqref>'SAF pe țări'!$A$14</c15:sqref>
                        </c15:formulaRef>
                      </c:ext>
                    </c:extLst>
                    <c:strCache>
                      <c:ptCount val="1"/>
                      <c:pt idx="0">
                        <c:v>Grecia</c:v>
                      </c:pt>
                    </c:strCache>
                  </c:strRef>
                </c:tx>
                <c:spPr>
                  <a:solidFill>
                    <a:schemeClr val="accent6">
                      <a:lumMod val="60000"/>
                    </a:schemeClr>
                  </a:solidFill>
                  <a:ln>
                    <a:noFill/>
                  </a:ln>
                  <a:effectLst/>
                  <a:sp3d/>
                </c:spPr>
                <c:invertIfNegative val="0"/>
                <c:cat>
                  <c:strRef>
                    <c:extLst xmlns:c15="http://schemas.microsoft.com/office/drawing/2012/chart">
                      <c:ext xmlns:c15="http://schemas.microsoft.com/office/drawing/2012/chart" uri="{02D57815-91ED-43cb-92C2-25804820EDAC}">
                        <c15:formulaRef>
                          <c15:sqref>'SAF pe țări'!$B$2:$T$2</c15:sqref>
                        </c15:formulaRef>
                      </c:ext>
                    </c:extLst>
                    <c:strCache>
                      <c:ptCount val="19"/>
                      <c:pt idx="0">
                        <c:v>Diabet zaharat</c:v>
                      </c:pt>
                      <c:pt idx="1">
                        <c:v>Fractura de șold </c:v>
                      </c:pt>
                      <c:pt idx="2">
                        <c:v>Artrita reumatoidă</c:v>
                      </c:pt>
                      <c:pt idx="3">
                        <c:v>Pneumonie</c:v>
                      </c:pt>
                      <c:pt idx="4">
                        <c:v>BPCO</c:v>
                      </c:pt>
                      <c:pt idx="5">
                        <c:v>BCI</c:v>
                      </c:pt>
                      <c:pt idx="6">
                        <c:v>AVC</c:v>
                      </c:pt>
                      <c:pt idx="7">
                        <c:v>Cancer oral</c:v>
                      </c:pt>
                      <c:pt idx="8">
                        <c:v>Cancer de esofag</c:v>
                      </c:pt>
                      <c:pt idx="9">
                        <c:v>Cancer de stomac</c:v>
                      </c:pt>
                      <c:pt idx="10">
                        <c:v>Cancer hepatic</c:v>
                      </c:pt>
                      <c:pt idx="11">
                        <c:v>Cancer de pancreas</c:v>
                      </c:pt>
                      <c:pt idx="12">
                        <c:v>Cancer de laringe</c:v>
                      </c:pt>
                      <c:pt idx="13">
                        <c:v>Cancer bronhopulmonar</c:v>
                      </c:pt>
                      <c:pt idx="14">
                        <c:v>Cancer de col uterin</c:v>
                      </c:pt>
                      <c:pt idx="15">
                        <c:v>Cancer renal</c:v>
                      </c:pt>
                      <c:pt idx="16">
                        <c:v>Cancer de vezică urinară</c:v>
                      </c:pt>
                      <c:pt idx="17">
                        <c:v>Leucemie</c:v>
                      </c:pt>
                      <c:pt idx="18">
                        <c:v>Cancer colorectal</c:v>
                      </c:pt>
                    </c:strCache>
                  </c:strRef>
                </c:cat>
                <c:val>
                  <c:numRef>
                    <c:extLst xmlns:c15="http://schemas.microsoft.com/office/drawing/2012/chart">
                      <c:ext xmlns:c15="http://schemas.microsoft.com/office/drawing/2012/chart" uri="{02D57815-91ED-43cb-92C2-25804820EDAC}">
                        <c15:formulaRef>
                          <c15:sqref>'SAF pe țări'!$B$14:$T$14</c15:sqref>
                        </c15:formulaRef>
                      </c:ext>
                    </c:extLst>
                    <c:numCache>
                      <c:formatCode>0%</c:formatCode>
                      <c:ptCount val="19"/>
                      <c:pt idx="0">
                        <c:v>0.08</c:v>
                      </c:pt>
                      <c:pt idx="1">
                        <c:v>0.09</c:v>
                      </c:pt>
                      <c:pt idx="2">
                        <c:v>0.16</c:v>
                      </c:pt>
                      <c:pt idx="3">
                        <c:v>0.11</c:v>
                      </c:pt>
                      <c:pt idx="4">
                        <c:v>0.56000000000000005</c:v>
                      </c:pt>
                      <c:pt idx="5">
                        <c:v>0.2</c:v>
                      </c:pt>
                      <c:pt idx="6">
                        <c:v>0.15</c:v>
                      </c:pt>
                      <c:pt idx="7">
                        <c:v>0.24</c:v>
                      </c:pt>
                      <c:pt idx="8">
                        <c:v>0.57999999999999996</c:v>
                      </c:pt>
                      <c:pt idx="9">
                        <c:v>0.11</c:v>
                      </c:pt>
                      <c:pt idx="10">
                        <c:v>0.11</c:v>
                      </c:pt>
                      <c:pt idx="11">
                        <c:v>0.16</c:v>
                      </c:pt>
                      <c:pt idx="12">
                        <c:v>0.32</c:v>
                      </c:pt>
                      <c:pt idx="13">
                        <c:v>0.61</c:v>
                      </c:pt>
                      <c:pt idx="14">
                        <c:v>0.15</c:v>
                      </c:pt>
                      <c:pt idx="15">
                        <c:v>0.1</c:v>
                      </c:pt>
                      <c:pt idx="16">
                        <c:v>0.32</c:v>
                      </c:pt>
                      <c:pt idx="17">
                        <c:v>0.11</c:v>
                      </c:pt>
                      <c:pt idx="18">
                        <c:v>0.04</c:v>
                      </c:pt>
                    </c:numCache>
                  </c:numRef>
                </c:val>
                <c:extLst xmlns:c15="http://schemas.microsoft.com/office/drawing/2012/chart">
                  <c:ext xmlns:c16="http://schemas.microsoft.com/office/drawing/2014/chart" uri="{C3380CC4-5D6E-409C-BE32-E72D297353CC}">
                    <c16:uniqueId val="{0000000D-70B9-4E94-9289-45B56C331903}"/>
                  </c:ext>
                </c:extLst>
              </c15:ser>
            </c15:filteredBarSeries>
            <c15:filteredBarSeries>
              <c15:ser>
                <c:idx val="12"/>
                <c:order val="12"/>
                <c:tx>
                  <c:strRef>
                    <c:extLst xmlns:c15="http://schemas.microsoft.com/office/drawing/2012/chart">
                      <c:ext xmlns:c15="http://schemas.microsoft.com/office/drawing/2012/chart" uri="{02D57815-91ED-43cb-92C2-25804820EDAC}">
                        <c15:formulaRef>
                          <c15:sqref>'SAF pe țări'!$A$15</c15:sqref>
                        </c15:formulaRef>
                      </c:ext>
                    </c:extLst>
                    <c:strCache>
                      <c:ptCount val="1"/>
                      <c:pt idx="0">
                        <c:v>Ungaria</c:v>
                      </c:pt>
                    </c:strCache>
                  </c:strRef>
                </c:tx>
                <c:spPr>
                  <a:solidFill>
                    <a:schemeClr val="accent1">
                      <a:lumMod val="80000"/>
                      <a:lumOff val="20000"/>
                    </a:schemeClr>
                  </a:solidFill>
                  <a:ln>
                    <a:noFill/>
                  </a:ln>
                  <a:effectLst/>
                  <a:sp3d/>
                </c:spPr>
                <c:invertIfNegative val="0"/>
                <c:cat>
                  <c:strRef>
                    <c:extLst xmlns:c15="http://schemas.microsoft.com/office/drawing/2012/chart">
                      <c:ext xmlns:c15="http://schemas.microsoft.com/office/drawing/2012/chart" uri="{02D57815-91ED-43cb-92C2-25804820EDAC}">
                        <c15:formulaRef>
                          <c15:sqref>'SAF pe țări'!$B$2:$T$2</c15:sqref>
                        </c15:formulaRef>
                      </c:ext>
                    </c:extLst>
                    <c:strCache>
                      <c:ptCount val="19"/>
                      <c:pt idx="0">
                        <c:v>Diabet zaharat</c:v>
                      </c:pt>
                      <c:pt idx="1">
                        <c:v>Fractura de șold </c:v>
                      </c:pt>
                      <c:pt idx="2">
                        <c:v>Artrita reumatoidă</c:v>
                      </c:pt>
                      <c:pt idx="3">
                        <c:v>Pneumonie</c:v>
                      </c:pt>
                      <c:pt idx="4">
                        <c:v>BPCO</c:v>
                      </c:pt>
                      <c:pt idx="5">
                        <c:v>BCI</c:v>
                      </c:pt>
                      <c:pt idx="6">
                        <c:v>AVC</c:v>
                      </c:pt>
                      <c:pt idx="7">
                        <c:v>Cancer oral</c:v>
                      </c:pt>
                      <c:pt idx="8">
                        <c:v>Cancer de esofag</c:v>
                      </c:pt>
                      <c:pt idx="9">
                        <c:v>Cancer de stomac</c:v>
                      </c:pt>
                      <c:pt idx="10">
                        <c:v>Cancer hepatic</c:v>
                      </c:pt>
                      <c:pt idx="11">
                        <c:v>Cancer de pancreas</c:v>
                      </c:pt>
                      <c:pt idx="12">
                        <c:v>Cancer de laringe</c:v>
                      </c:pt>
                      <c:pt idx="13">
                        <c:v>Cancer bronhopulmonar</c:v>
                      </c:pt>
                      <c:pt idx="14">
                        <c:v>Cancer de col uterin</c:v>
                      </c:pt>
                      <c:pt idx="15">
                        <c:v>Cancer renal</c:v>
                      </c:pt>
                      <c:pt idx="16">
                        <c:v>Cancer de vezică urinară</c:v>
                      </c:pt>
                      <c:pt idx="17">
                        <c:v>Leucemie</c:v>
                      </c:pt>
                      <c:pt idx="18">
                        <c:v>Cancer colorectal</c:v>
                      </c:pt>
                    </c:strCache>
                  </c:strRef>
                </c:cat>
                <c:val>
                  <c:numRef>
                    <c:extLst xmlns:c15="http://schemas.microsoft.com/office/drawing/2012/chart">
                      <c:ext xmlns:c15="http://schemas.microsoft.com/office/drawing/2012/chart" uri="{02D57815-91ED-43cb-92C2-25804820EDAC}">
                        <c15:formulaRef>
                          <c15:sqref>'SAF pe țări'!$B$15:$T$15</c15:sqref>
                        </c15:formulaRef>
                      </c:ext>
                    </c:extLst>
                    <c:numCache>
                      <c:formatCode>0%</c:formatCode>
                      <c:ptCount val="19"/>
                      <c:pt idx="0">
                        <c:v>7.0000000000000007E-2</c:v>
                      </c:pt>
                      <c:pt idx="1">
                        <c:v>7.0000000000000007E-2</c:v>
                      </c:pt>
                      <c:pt idx="2">
                        <c:v>0.14000000000000001</c:v>
                      </c:pt>
                      <c:pt idx="3">
                        <c:v>0.09</c:v>
                      </c:pt>
                      <c:pt idx="4">
                        <c:v>0.51</c:v>
                      </c:pt>
                      <c:pt idx="5">
                        <c:v>0.17</c:v>
                      </c:pt>
                      <c:pt idx="6">
                        <c:v>0.13</c:v>
                      </c:pt>
                      <c:pt idx="7">
                        <c:v>0.21</c:v>
                      </c:pt>
                      <c:pt idx="8">
                        <c:v>0.53</c:v>
                      </c:pt>
                      <c:pt idx="9">
                        <c:v>0.09</c:v>
                      </c:pt>
                      <c:pt idx="10">
                        <c:v>0.09</c:v>
                      </c:pt>
                      <c:pt idx="11">
                        <c:v>0.13</c:v>
                      </c:pt>
                      <c:pt idx="12">
                        <c:v>0.28000000000000003</c:v>
                      </c:pt>
                      <c:pt idx="13">
                        <c:v>0.56000000000000005</c:v>
                      </c:pt>
                      <c:pt idx="14">
                        <c:v>0.13</c:v>
                      </c:pt>
                      <c:pt idx="15">
                        <c:v>0.08</c:v>
                      </c:pt>
                      <c:pt idx="16">
                        <c:v>0.28000000000000003</c:v>
                      </c:pt>
                      <c:pt idx="17">
                        <c:v>0.09</c:v>
                      </c:pt>
                      <c:pt idx="18">
                        <c:v>0.03</c:v>
                      </c:pt>
                    </c:numCache>
                  </c:numRef>
                </c:val>
                <c:extLst xmlns:c15="http://schemas.microsoft.com/office/drawing/2012/chart">
                  <c:ext xmlns:c16="http://schemas.microsoft.com/office/drawing/2014/chart" uri="{C3380CC4-5D6E-409C-BE32-E72D297353CC}">
                    <c16:uniqueId val="{0000000E-70B9-4E94-9289-45B56C331903}"/>
                  </c:ext>
                </c:extLst>
              </c15:ser>
            </c15:filteredBarSeries>
            <c15:filteredBarSeries>
              <c15:ser>
                <c:idx val="13"/>
                <c:order val="13"/>
                <c:tx>
                  <c:strRef>
                    <c:extLst xmlns:c15="http://schemas.microsoft.com/office/drawing/2012/chart">
                      <c:ext xmlns:c15="http://schemas.microsoft.com/office/drawing/2012/chart" uri="{02D57815-91ED-43cb-92C2-25804820EDAC}">
                        <c15:formulaRef>
                          <c15:sqref>'SAF pe țări'!$A$16</c15:sqref>
                        </c15:formulaRef>
                      </c:ext>
                    </c:extLst>
                    <c:strCache>
                      <c:ptCount val="1"/>
                      <c:pt idx="0">
                        <c:v>Irlanda</c:v>
                      </c:pt>
                    </c:strCache>
                  </c:strRef>
                </c:tx>
                <c:spPr>
                  <a:solidFill>
                    <a:schemeClr val="accent2">
                      <a:lumMod val="80000"/>
                      <a:lumOff val="20000"/>
                    </a:schemeClr>
                  </a:solidFill>
                  <a:ln>
                    <a:noFill/>
                  </a:ln>
                  <a:effectLst/>
                  <a:sp3d/>
                </c:spPr>
                <c:invertIfNegative val="0"/>
                <c:cat>
                  <c:strRef>
                    <c:extLst xmlns:c15="http://schemas.microsoft.com/office/drawing/2012/chart">
                      <c:ext xmlns:c15="http://schemas.microsoft.com/office/drawing/2012/chart" uri="{02D57815-91ED-43cb-92C2-25804820EDAC}">
                        <c15:formulaRef>
                          <c15:sqref>'SAF pe țări'!$B$2:$T$2</c15:sqref>
                        </c15:formulaRef>
                      </c:ext>
                    </c:extLst>
                    <c:strCache>
                      <c:ptCount val="19"/>
                      <c:pt idx="0">
                        <c:v>Diabet zaharat</c:v>
                      </c:pt>
                      <c:pt idx="1">
                        <c:v>Fractura de șold </c:v>
                      </c:pt>
                      <c:pt idx="2">
                        <c:v>Artrita reumatoidă</c:v>
                      </c:pt>
                      <c:pt idx="3">
                        <c:v>Pneumonie</c:v>
                      </c:pt>
                      <c:pt idx="4">
                        <c:v>BPCO</c:v>
                      </c:pt>
                      <c:pt idx="5">
                        <c:v>BCI</c:v>
                      </c:pt>
                      <c:pt idx="6">
                        <c:v>AVC</c:v>
                      </c:pt>
                      <c:pt idx="7">
                        <c:v>Cancer oral</c:v>
                      </c:pt>
                      <c:pt idx="8">
                        <c:v>Cancer de esofag</c:v>
                      </c:pt>
                      <c:pt idx="9">
                        <c:v>Cancer de stomac</c:v>
                      </c:pt>
                      <c:pt idx="10">
                        <c:v>Cancer hepatic</c:v>
                      </c:pt>
                      <c:pt idx="11">
                        <c:v>Cancer de pancreas</c:v>
                      </c:pt>
                      <c:pt idx="12">
                        <c:v>Cancer de laringe</c:v>
                      </c:pt>
                      <c:pt idx="13">
                        <c:v>Cancer bronhopulmonar</c:v>
                      </c:pt>
                      <c:pt idx="14">
                        <c:v>Cancer de col uterin</c:v>
                      </c:pt>
                      <c:pt idx="15">
                        <c:v>Cancer renal</c:v>
                      </c:pt>
                      <c:pt idx="16">
                        <c:v>Cancer de vezică urinară</c:v>
                      </c:pt>
                      <c:pt idx="17">
                        <c:v>Leucemie</c:v>
                      </c:pt>
                      <c:pt idx="18">
                        <c:v>Cancer colorectal</c:v>
                      </c:pt>
                    </c:strCache>
                  </c:strRef>
                </c:cat>
                <c:val>
                  <c:numRef>
                    <c:extLst xmlns:c15="http://schemas.microsoft.com/office/drawing/2012/chart">
                      <c:ext xmlns:c15="http://schemas.microsoft.com/office/drawing/2012/chart" uri="{02D57815-91ED-43cb-92C2-25804820EDAC}">
                        <c15:formulaRef>
                          <c15:sqref>'SAF pe țări'!$B$16:$T$16</c15:sqref>
                        </c15:formulaRef>
                      </c:ext>
                    </c:extLst>
                    <c:numCache>
                      <c:formatCode>0%</c:formatCode>
                      <c:ptCount val="19"/>
                      <c:pt idx="0">
                        <c:v>0.05</c:v>
                      </c:pt>
                      <c:pt idx="1">
                        <c:v>0.05</c:v>
                      </c:pt>
                      <c:pt idx="2">
                        <c:v>0.1</c:v>
                      </c:pt>
                      <c:pt idx="3">
                        <c:v>7.0000000000000007E-2</c:v>
                      </c:pt>
                      <c:pt idx="4">
                        <c:v>0.43</c:v>
                      </c:pt>
                      <c:pt idx="5">
                        <c:v>0.12</c:v>
                      </c:pt>
                      <c:pt idx="6">
                        <c:v>0.09</c:v>
                      </c:pt>
                      <c:pt idx="7">
                        <c:v>0.16</c:v>
                      </c:pt>
                      <c:pt idx="8">
                        <c:v>0.45</c:v>
                      </c:pt>
                      <c:pt idx="9">
                        <c:v>0.06</c:v>
                      </c:pt>
                      <c:pt idx="10">
                        <c:v>7.0000000000000007E-2</c:v>
                      </c:pt>
                      <c:pt idx="11">
                        <c:v>0.1</c:v>
                      </c:pt>
                      <c:pt idx="12">
                        <c:v>0.22</c:v>
                      </c:pt>
                      <c:pt idx="13">
                        <c:v>0.48</c:v>
                      </c:pt>
                      <c:pt idx="14">
                        <c:v>0.1</c:v>
                      </c:pt>
                      <c:pt idx="15">
                        <c:v>0.06</c:v>
                      </c:pt>
                      <c:pt idx="16">
                        <c:v>0.22</c:v>
                      </c:pt>
                      <c:pt idx="17">
                        <c:v>7.0000000000000007E-2</c:v>
                      </c:pt>
                      <c:pt idx="18">
                        <c:v>0.02</c:v>
                      </c:pt>
                    </c:numCache>
                  </c:numRef>
                </c:val>
                <c:extLst xmlns:c15="http://schemas.microsoft.com/office/drawing/2012/chart">
                  <c:ext xmlns:c16="http://schemas.microsoft.com/office/drawing/2014/chart" uri="{C3380CC4-5D6E-409C-BE32-E72D297353CC}">
                    <c16:uniqueId val="{0000000F-70B9-4E94-9289-45B56C331903}"/>
                  </c:ext>
                </c:extLst>
              </c15:ser>
            </c15:filteredBarSeries>
            <c15:filteredBarSeries>
              <c15:ser>
                <c:idx val="14"/>
                <c:order val="14"/>
                <c:tx>
                  <c:strRef>
                    <c:extLst xmlns:c15="http://schemas.microsoft.com/office/drawing/2012/chart">
                      <c:ext xmlns:c15="http://schemas.microsoft.com/office/drawing/2012/chart" uri="{02D57815-91ED-43cb-92C2-25804820EDAC}">
                        <c15:formulaRef>
                          <c15:sqref>'SAF pe țări'!$A$17</c15:sqref>
                        </c15:formulaRef>
                      </c:ext>
                    </c:extLst>
                    <c:strCache>
                      <c:ptCount val="1"/>
                      <c:pt idx="0">
                        <c:v>Italia</c:v>
                      </c:pt>
                    </c:strCache>
                  </c:strRef>
                </c:tx>
                <c:spPr>
                  <a:solidFill>
                    <a:schemeClr val="accent3">
                      <a:lumMod val="80000"/>
                      <a:lumOff val="20000"/>
                    </a:schemeClr>
                  </a:solidFill>
                  <a:ln>
                    <a:noFill/>
                  </a:ln>
                  <a:effectLst/>
                  <a:sp3d/>
                </c:spPr>
                <c:invertIfNegative val="0"/>
                <c:cat>
                  <c:strRef>
                    <c:extLst xmlns:c15="http://schemas.microsoft.com/office/drawing/2012/chart">
                      <c:ext xmlns:c15="http://schemas.microsoft.com/office/drawing/2012/chart" uri="{02D57815-91ED-43cb-92C2-25804820EDAC}">
                        <c15:formulaRef>
                          <c15:sqref>'SAF pe țări'!$B$2:$T$2</c15:sqref>
                        </c15:formulaRef>
                      </c:ext>
                    </c:extLst>
                    <c:strCache>
                      <c:ptCount val="19"/>
                      <c:pt idx="0">
                        <c:v>Diabet zaharat</c:v>
                      </c:pt>
                      <c:pt idx="1">
                        <c:v>Fractura de șold </c:v>
                      </c:pt>
                      <c:pt idx="2">
                        <c:v>Artrita reumatoidă</c:v>
                      </c:pt>
                      <c:pt idx="3">
                        <c:v>Pneumonie</c:v>
                      </c:pt>
                      <c:pt idx="4">
                        <c:v>BPCO</c:v>
                      </c:pt>
                      <c:pt idx="5">
                        <c:v>BCI</c:v>
                      </c:pt>
                      <c:pt idx="6">
                        <c:v>AVC</c:v>
                      </c:pt>
                      <c:pt idx="7">
                        <c:v>Cancer oral</c:v>
                      </c:pt>
                      <c:pt idx="8">
                        <c:v>Cancer de esofag</c:v>
                      </c:pt>
                      <c:pt idx="9">
                        <c:v>Cancer de stomac</c:v>
                      </c:pt>
                      <c:pt idx="10">
                        <c:v>Cancer hepatic</c:v>
                      </c:pt>
                      <c:pt idx="11">
                        <c:v>Cancer de pancreas</c:v>
                      </c:pt>
                      <c:pt idx="12">
                        <c:v>Cancer de laringe</c:v>
                      </c:pt>
                      <c:pt idx="13">
                        <c:v>Cancer bronhopulmonar</c:v>
                      </c:pt>
                      <c:pt idx="14">
                        <c:v>Cancer de col uterin</c:v>
                      </c:pt>
                      <c:pt idx="15">
                        <c:v>Cancer renal</c:v>
                      </c:pt>
                      <c:pt idx="16">
                        <c:v>Cancer de vezică urinară</c:v>
                      </c:pt>
                      <c:pt idx="17">
                        <c:v>Leucemie</c:v>
                      </c:pt>
                      <c:pt idx="18">
                        <c:v>Cancer colorectal</c:v>
                      </c:pt>
                    </c:strCache>
                  </c:strRef>
                </c:cat>
                <c:val>
                  <c:numRef>
                    <c:extLst xmlns:c15="http://schemas.microsoft.com/office/drawing/2012/chart">
                      <c:ext xmlns:c15="http://schemas.microsoft.com/office/drawing/2012/chart" uri="{02D57815-91ED-43cb-92C2-25804820EDAC}">
                        <c15:formulaRef>
                          <c15:sqref>'SAF pe țări'!$B$17:$T$17</c15:sqref>
                        </c15:formulaRef>
                      </c:ext>
                    </c:extLst>
                    <c:numCache>
                      <c:formatCode>0%</c:formatCode>
                      <c:ptCount val="19"/>
                      <c:pt idx="0">
                        <c:v>0.06</c:v>
                      </c:pt>
                      <c:pt idx="1">
                        <c:v>0.06</c:v>
                      </c:pt>
                      <c:pt idx="2">
                        <c:v>0.12</c:v>
                      </c:pt>
                      <c:pt idx="3">
                        <c:v>0.08</c:v>
                      </c:pt>
                      <c:pt idx="4">
                        <c:v>0.47</c:v>
                      </c:pt>
                      <c:pt idx="5">
                        <c:v>0.15</c:v>
                      </c:pt>
                      <c:pt idx="6">
                        <c:v>0.11</c:v>
                      </c:pt>
                      <c:pt idx="7">
                        <c:v>0.18</c:v>
                      </c:pt>
                      <c:pt idx="8">
                        <c:v>0.5</c:v>
                      </c:pt>
                      <c:pt idx="9">
                        <c:v>0.08</c:v>
                      </c:pt>
                      <c:pt idx="10">
                        <c:v>0.08</c:v>
                      </c:pt>
                      <c:pt idx="11">
                        <c:v>0.12</c:v>
                      </c:pt>
                      <c:pt idx="12">
                        <c:v>0.25</c:v>
                      </c:pt>
                      <c:pt idx="13">
                        <c:v>0.52</c:v>
                      </c:pt>
                      <c:pt idx="14">
                        <c:v>0.11</c:v>
                      </c:pt>
                      <c:pt idx="15">
                        <c:v>7.0000000000000007E-2</c:v>
                      </c:pt>
                      <c:pt idx="16">
                        <c:v>0.25</c:v>
                      </c:pt>
                      <c:pt idx="17">
                        <c:v>0.08</c:v>
                      </c:pt>
                      <c:pt idx="18">
                        <c:v>0.03</c:v>
                      </c:pt>
                    </c:numCache>
                  </c:numRef>
                </c:val>
                <c:extLst xmlns:c15="http://schemas.microsoft.com/office/drawing/2012/chart">
                  <c:ext xmlns:c16="http://schemas.microsoft.com/office/drawing/2014/chart" uri="{C3380CC4-5D6E-409C-BE32-E72D297353CC}">
                    <c16:uniqueId val="{00000010-70B9-4E94-9289-45B56C331903}"/>
                  </c:ext>
                </c:extLst>
              </c15:ser>
            </c15:filteredBarSeries>
            <c15:filteredBarSeries>
              <c15:ser>
                <c:idx val="15"/>
                <c:order val="15"/>
                <c:tx>
                  <c:strRef>
                    <c:extLst xmlns:c15="http://schemas.microsoft.com/office/drawing/2012/chart">
                      <c:ext xmlns:c15="http://schemas.microsoft.com/office/drawing/2012/chart" uri="{02D57815-91ED-43cb-92C2-25804820EDAC}">
                        <c15:formulaRef>
                          <c15:sqref>'SAF pe țări'!$A$18</c15:sqref>
                        </c15:formulaRef>
                      </c:ext>
                    </c:extLst>
                    <c:strCache>
                      <c:ptCount val="1"/>
                      <c:pt idx="0">
                        <c:v>Letonia</c:v>
                      </c:pt>
                    </c:strCache>
                  </c:strRef>
                </c:tx>
                <c:spPr>
                  <a:solidFill>
                    <a:schemeClr val="accent4">
                      <a:lumMod val="80000"/>
                      <a:lumOff val="20000"/>
                    </a:schemeClr>
                  </a:solidFill>
                  <a:ln>
                    <a:noFill/>
                  </a:ln>
                  <a:effectLst/>
                  <a:sp3d/>
                </c:spPr>
                <c:invertIfNegative val="0"/>
                <c:cat>
                  <c:strRef>
                    <c:extLst xmlns:c15="http://schemas.microsoft.com/office/drawing/2012/chart">
                      <c:ext xmlns:c15="http://schemas.microsoft.com/office/drawing/2012/chart" uri="{02D57815-91ED-43cb-92C2-25804820EDAC}">
                        <c15:formulaRef>
                          <c15:sqref>'SAF pe țări'!$B$2:$T$2</c15:sqref>
                        </c15:formulaRef>
                      </c:ext>
                    </c:extLst>
                    <c:strCache>
                      <c:ptCount val="19"/>
                      <c:pt idx="0">
                        <c:v>Diabet zaharat</c:v>
                      </c:pt>
                      <c:pt idx="1">
                        <c:v>Fractura de șold </c:v>
                      </c:pt>
                      <c:pt idx="2">
                        <c:v>Artrita reumatoidă</c:v>
                      </c:pt>
                      <c:pt idx="3">
                        <c:v>Pneumonie</c:v>
                      </c:pt>
                      <c:pt idx="4">
                        <c:v>BPCO</c:v>
                      </c:pt>
                      <c:pt idx="5">
                        <c:v>BCI</c:v>
                      </c:pt>
                      <c:pt idx="6">
                        <c:v>AVC</c:v>
                      </c:pt>
                      <c:pt idx="7">
                        <c:v>Cancer oral</c:v>
                      </c:pt>
                      <c:pt idx="8">
                        <c:v>Cancer de esofag</c:v>
                      </c:pt>
                      <c:pt idx="9">
                        <c:v>Cancer de stomac</c:v>
                      </c:pt>
                      <c:pt idx="10">
                        <c:v>Cancer hepatic</c:v>
                      </c:pt>
                      <c:pt idx="11">
                        <c:v>Cancer de pancreas</c:v>
                      </c:pt>
                      <c:pt idx="12">
                        <c:v>Cancer de laringe</c:v>
                      </c:pt>
                      <c:pt idx="13">
                        <c:v>Cancer bronhopulmonar</c:v>
                      </c:pt>
                      <c:pt idx="14">
                        <c:v>Cancer de col uterin</c:v>
                      </c:pt>
                      <c:pt idx="15">
                        <c:v>Cancer renal</c:v>
                      </c:pt>
                      <c:pt idx="16">
                        <c:v>Cancer de vezică urinară</c:v>
                      </c:pt>
                      <c:pt idx="17">
                        <c:v>Leucemie</c:v>
                      </c:pt>
                      <c:pt idx="18">
                        <c:v>Cancer colorectal</c:v>
                      </c:pt>
                    </c:strCache>
                  </c:strRef>
                </c:cat>
                <c:val>
                  <c:numRef>
                    <c:extLst xmlns:c15="http://schemas.microsoft.com/office/drawing/2012/chart">
                      <c:ext xmlns:c15="http://schemas.microsoft.com/office/drawing/2012/chart" uri="{02D57815-91ED-43cb-92C2-25804820EDAC}">
                        <c15:formulaRef>
                          <c15:sqref>'SAF pe țări'!$B$18:$T$18</c15:sqref>
                        </c15:formulaRef>
                      </c:ext>
                    </c:extLst>
                    <c:numCache>
                      <c:formatCode>0%</c:formatCode>
                      <c:ptCount val="19"/>
                      <c:pt idx="0">
                        <c:v>0.08</c:v>
                      </c:pt>
                      <c:pt idx="1">
                        <c:v>0.08</c:v>
                      </c:pt>
                      <c:pt idx="2">
                        <c:v>0.15</c:v>
                      </c:pt>
                      <c:pt idx="3">
                        <c:v>0.1</c:v>
                      </c:pt>
                      <c:pt idx="4">
                        <c:v>0.55000000000000004</c:v>
                      </c:pt>
                      <c:pt idx="5">
                        <c:v>0.19</c:v>
                      </c:pt>
                      <c:pt idx="6">
                        <c:v>0.14000000000000001</c:v>
                      </c:pt>
                      <c:pt idx="7">
                        <c:v>0.23</c:v>
                      </c:pt>
                      <c:pt idx="8">
                        <c:v>0.56999999999999995</c:v>
                      </c:pt>
                      <c:pt idx="9">
                        <c:v>0.1</c:v>
                      </c:pt>
                      <c:pt idx="10">
                        <c:v>0.1</c:v>
                      </c:pt>
                      <c:pt idx="11">
                        <c:v>0.15</c:v>
                      </c:pt>
                      <c:pt idx="12">
                        <c:v>0.31</c:v>
                      </c:pt>
                      <c:pt idx="13">
                        <c:v>0.6</c:v>
                      </c:pt>
                      <c:pt idx="14">
                        <c:v>0.15</c:v>
                      </c:pt>
                      <c:pt idx="15">
                        <c:v>0.09</c:v>
                      </c:pt>
                      <c:pt idx="16">
                        <c:v>0.31</c:v>
                      </c:pt>
                      <c:pt idx="17">
                        <c:v>0.1</c:v>
                      </c:pt>
                      <c:pt idx="18">
                        <c:v>0.04</c:v>
                      </c:pt>
                    </c:numCache>
                  </c:numRef>
                </c:val>
                <c:extLst xmlns:c15="http://schemas.microsoft.com/office/drawing/2012/chart">
                  <c:ext xmlns:c16="http://schemas.microsoft.com/office/drawing/2014/chart" uri="{C3380CC4-5D6E-409C-BE32-E72D297353CC}">
                    <c16:uniqueId val="{00000011-70B9-4E94-9289-45B56C331903}"/>
                  </c:ext>
                </c:extLst>
              </c15:ser>
            </c15:filteredBarSeries>
            <c15:filteredBarSeries>
              <c15:ser>
                <c:idx val="16"/>
                <c:order val="16"/>
                <c:tx>
                  <c:strRef>
                    <c:extLst xmlns:c15="http://schemas.microsoft.com/office/drawing/2012/chart">
                      <c:ext xmlns:c15="http://schemas.microsoft.com/office/drawing/2012/chart" uri="{02D57815-91ED-43cb-92C2-25804820EDAC}">
                        <c15:formulaRef>
                          <c15:sqref>'SAF pe țări'!$A$19</c15:sqref>
                        </c15:formulaRef>
                      </c:ext>
                    </c:extLst>
                    <c:strCache>
                      <c:ptCount val="1"/>
                      <c:pt idx="0">
                        <c:v>Lituania</c:v>
                      </c:pt>
                    </c:strCache>
                  </c:strRef>
                </c:tx>
                <c:spPr>
                  <a:solidFill>
                    <a:schemeClr val="accent5">
                      <a:lumMod val="80000"/>
                      <a:lumOff val="20000"/>
                    </a:schemeClr>
                  </a:solidFill>
                  <a:ln>
                    <a:noFill/>
                  </a:ln>
                  <a:effectLst/>
                  <a:sp3d/>
                </c:spPr>
                <c:invertIfNegative val="0"/>
                <c:cat>
                  <c:strRef>
                    <c:extLst xmlns:c15="http://schemas.microsoft.com/office/drawing/2012/chart">
                      <c:ext xmlns:c15="http://schemas.microsoft.com/office/drawing/2012/chart" uri="{02D57815-91ED-43cb-92C2-25804820EDAC}">
                        <c15:formulaRef>
                          <c15:sqref>'SAF pe țări'!$B$2:$T$2</c15:sqref>
                        </c15:formulaRef>
                      </c:ext>
                    </c:extLst>
                    <c:strCache>
                      <c:ptCount val="19"/>
                      <c:pt idx="0">
                        <c:v>Diabet zaharat</c:v>
                      </c:pt>
                      <c:pt idx="1">
                        <c:v>Fractura de șold </c:v>
                      </c:pt>
                      <c:pt idx="2">
                        <c:v>Artrita reumatoidă</c:v>
                      </c:pt>
                      <c:pt idx="3">
                        <c:v>Pneumonie</c:v>
                      </c:pt>
                      <c:pt idx="4">
                        <c:v>BPCO</c:v>
                      </c:pt>
                      <c:pt idx="5">
                        <c:v>BCI</c:v>
                      </c:pt>
                      <c:pt idx="6">
                        <c:v>AVC</c:v>
                      </c:pt>
                      <c:pt idx="7">
                        <c:v>Cancer oral</c:v>
                      </c:pt>
                      <c:pt idx="8">
                        <c:v>Cancer de esofag</c:v>
                      </c:pt>
                      <c:pt idx="9">
                        <c:v>Cancer de stomac</c:v>
                      </c:pt>
                      <c:pt idx="10">
                        <c:v>Cancer hepatic</c:v>
                      </c:pt>
                      <c:pt idx="11">
                        <c:v>Cancer de pancreas</c:v>
                      </c:pt>
                      <c:pt idx="12">
                        <c:v>Cancer de laringe</c:v>
                      </c:pt>
                      <c:pt idx="13">
                        <c:v>Cancer bronhopulmonar</c:v>
                      </c:pt>
                      <c:pt idx="14">
                        <c:v>Cancer de col uterin</c:v>
                      </c:pt>
                      <c:pt idx="15">
                        <c:v>Cancer renal</c:v>
                      </c:pt>
                      <c:pt idx="16">
                        <c:v>Cancer de vezică urinară</c:v>
                      </c:pt>
                      <c:pt idx="17">
                        <c:v>Leucemie</c:v>
                      </c:pt>
                      <c:pt idx="18">
                        <c:v>Cancer colorectal</c:v>
                      </c:pt>
                    </c:strCache>
                  </c:strRef>
                </c:cat>
                <c:val>
                  <c:numRef>
                    <c:extLst xmlns:c15="http://schemas.microsoft.com/office/drawing/2012/chart">
                      <c:ext xmlns:c15="http://schemas.microsoft.com/office/drawing/2012/chart" uri="{02D57815-91ED-43cb-92C2-25804820EDAC}">
                        <c15:formulaRef>
                          <c15:sqref>'SAF pe țări'!$B$19:$T$19</c15:sqref>
                        </c15:formulaRef>
                      </c:ext>
                    </c:extLst>
                    <c:numCache>
                      <c:formatCode>0%</c:formatCode>
                      <c:ptCount val="19"/>
                      <c:pt idx="0">
                        <c:v>0.06</c:v>
                      </c:pt>
                      <c:pt idx="1">
                        <c:v>7.0000000000000007E-2</c:v>
                      </c:pt>
                      <c:pt idx="2">
                        <c:v>0.13</c:v>
                      </c:pt>
                      <c:pt idx="3">
                        <c:v>0.09</c:v>
                      </c:pt>
                      <c:pt idx="4">
                        <c:v>0.5</c:v>
                      </c:pt>
                      <c:pt idx="5">
                        <c:v>0.16</c:v>
                      </c:pt>
                      <c:pt idx="6">
                        <c:v>0.12</c:v>
                      </c:pt>
                      <c:pt idx="7">
                        <c:v>0.2</c:v>
                      </c:pt>
                      <c:pt idx="8">
                        <c:v>0.52</c:v>
                      </c:pt>
                      <c:pt idx="9">
                        <c:v>0.08</c:v>
                      </c:pt>
                      <c:pt idx="10">
                        <c:v>0.09</c:v>
                      </c:pt>
                      <c:pt idx="11">
                        <c:v>0.13</c:v>
                      </c:pt>
                      <c:pt idx="12">
                        <c:v>0.27</c:v>
                      </c:pt>
                      <c:pt idx="13">
                        <c:v>0.55000000000000004</c:v>
                      </c:pt>
                      <c:pt idx="14">
                        <c:v>0.12</c:v>
                      </c:pt>
                      <c:pt idx="15">
                        <c:v>0.08</c:v>
                      </c:pt>
                      <c:pt idx="16">
                        <c:v>0.27</c:v>
                      </c:pt>
                      <c:pt idx="17">
                        <c:v>0.09</c:v>
                      </c:pt>
                      <c:pt idx="18">
                        <c:v>0.03</c:v>
                      </c:pt>
                    </c:numCache>
                  </c:numRef>
                </c:val>
                <c:extLst xmlns:c15="http://schemas.microsoft.com/office/drawing/2012/chart">
                  <c:ext xmlns:c16="http://schemas.microsoft.com/office/drawing/2014/chart" uri="{C3380CC4-5D6E-409C-BE32-E72D297353CC}">
                    <c16:uniqueId val="{00000012-70B9-4E94-9289-45B56C331903}"/>
                  </c:ext>
                </c:extLst>
              </c15:ser>
            </c15:filteredBarSeries>
            <c15:filteredBarSeries>
              <c15:ser>
                <c:idx val="17"/>
                <c:order val="17"/>
                <c:tx>
                  <c:strRef>
                    <c:extLst xmlns:c15="http://schemas.microsoft.com/office/drawing/2012/chart">
                      <c:ext xmlns:c15="http://schemas.microsoft.com/office/drawing/2012/chart" uri="{02D57815-91ED-43cb-92C2-25804820EDAC}">
                        <c15:formulaRef>
                          <c15:sqref>'SAF pe țări'!$A$20</c15:sqref>
                        </c15:formulaRef>
                      </c:ext>
                    </c:extLst>
                    <c:strCache>
                      <c:ptCount val="1"/>
                      <c:pt idx="0">
                        <c:v>Luxemburg</c:v>
                      </c:pt>
                    </c:strCache>
                  </c:strRef>
                </c:tx>
                <c:spPr>
                  <a:solidFill>
                    <a:schemeClr val="accent6">
                      <a:lumMod val="80000"/>
                      <a:lumOff val="20000"/>
                    </a:schemeClr>
                  </a:solidFill>
                  <a:ln>
                    <a:noFill/>
                  </a:ln>
                  <a:effectLst/>
                  <a:sp3d/>
                </c:spPr>
                <c:invertIfNegative val="0"/>
                <c:cat>
                  <c:strRef>
                    <c:extLst xmlns:c15="http://schemas.microsoft.com/office/drawing/2012/chart">
                      <c:ext xmlns:c15="http://schemas.microsoft.com/office/drawing/2012/chart" uri="{02D57815-91ED-43cb-92C2-25804820EDAC}">
                        <c15:formulaRef>
                          <c15:sqref>'SAF pe țări'!$B$2:$T$2</c15:sqref>
                        </c15:formulaRef>
                      </c:ext>
                    </c:extLst>
                    <c:strCache>
                      <c:ptCount val="19"/>
                      <c:pt idx="0">
                        <c:v>Diabet zaharat</c:v>
                      </c:pt>
                      <c:pt idx="1">
                        <c:v>Fractura de șold </c:v>
                      </c:pt>
                      <c:pt idx="2">
                        <c:v>Artrita reumatoidă</c:v>
                      </c:pt>
                      <c:pt idx="3">
                        <c:v>Pneumonie</c:v>
                      </c:pt>
                      <c:pt idx="4">
                        <c:v>BPCO</c:v>
                      </c:pt>
                      <c:pt idx="5">
                        <c:v>BCI</c:v>
                      </c:pt>
                      <c:pt idx="6">
                        <c:v>AVC</c:v>
                      </c:pt>
                      <c:pt idx="7">
                        <c:v>Cancer oral</c:v>
                      </c:pt>
                      <c:pt idx="8">
                        <c:v>Cancer de esofag</c:v>
                      </c:pt>
                      <c:pt idx="9">
                        <c:v>Cancer de stomac</c:v>
                      </c:pt>
                      <c:pt idx="10">
                        <c:v>Cancer hepatic</c:v>
                      </c:pt>
                      <c:pt idx="11">
                        <c:v>Cancer de pancreas</c:v>
                      </c:pt>
                      <c:pt idx="12">
                        <c:v>Cancer de laringe</c:v>
                      </c:pt>
                      <c:pt idx="13">
                        <c:v>Cancer bronhopulmonar</c:v>
                      </c:pt>
                      <c:pt idx="14">
                        <c:v>Cancer de col uterin</c:v>
                      </c:pt>
                      <c:pt idx="15">
                        <c:v>Cancer renal</c:v>
                      </c:pt>
                      <c:pt idx="16">
                        <c:v>Cancer de vezică urinară</c:v>
                      </c:pt>
                      <c:pt idx="17">
                        <c:v>Leucemie</c:v>
                      </c:pt>
                      <c:pt idx="18">
                        <c:v>Cancer colorectal</c:v>
                      </c:pt>
                    </c:strCache>
                  </c:strRef>
                </c:cat>
                <c:val>
                  <c:numRef>
                    <c:extLst xmlns:c15="http://schemas.microsoft.com/office/drawing/2012/chart">
                      <c:ext xmlns:c15="http://schemas.microsoft.com/office/drawing/2012/chart" uri="{02D57815-91ED-43cb-92C2-25804820EDAC}">
                        <c15:formulaRef>
                          <c15:sqref>'SAF pe țări'!$B$20:$T$20</c15:sqref>
                        </c15:formulaRef>
                      </c:ext>
                    </c:extLst>
                    <c:numCache>
                      <c:formatCode>0%</c:formatCode>
                      <c:ptCount val="19"/>
                      <c:pt idx="0">
                        <c:v>0.04</c:v>
                      </c:pt>
                      <c:pt idx="1">
                        <c:v>0.04</c:v>
                      </c:pt>
                      <c:pt idx="2">
                        <c:v>0.08</c:v>
                      </c:pt>
                      <c:pt idx="3">
                        <c:v>0.05</c:v>
                      </c:pt>
                      <c:pt idx="4">
                        <c:v>0.36</c:v>
                      </c:pt>
                      <c:pt idx="5">
                        <c:v>0.1</c:v>
                      </c:pt>
                      <c:pt idx="6">
                        <c:v>7.0000000000000007E-2</c:v>
                      </c:pt>
                      <c:pt idx="7">
                        <c:v>0.12</c:v>
                      </c:pt>
                      <c:pt idx="8">
                        <c:v>0.38</c:v>
                      </c:pt>
                      <c:pt idx="9">
                        <c:v>0.05</c:v>
                      </c:pt>
                      <c:pt idx="10">
                        <c:v>0.05</c:v>
                      </c:pt>
                      <c:pt idx="11">
                        <c:v>0.08</c:v>
                      </c:pt>
                      <c:pt idx="12">
                        <c:v>0.18</c:v>
                      </c:pt>
                      <c:pt idx="13">
                        <c:v>0.41</c:v>
                      </c:pt>
                      <c:pt idx="14">
                        <c:v>7.0000000000000007E-2</c:v>
                      </c:pt>
                      <c:pt idx="15">
                        <c:v>0.05</c:v>
                      </c:pt>
                      <c:pt idx="16">
                        <c:v>0.17</c:v>
                      </c:pt>
                      <c:pt idx="17">
                        <c:v>0.05</c:v>
                      </c:pt>
                      <c:pt idx="18">
                        <c:v>0.02</c:v>
                      </c:pt>
                    </c:numCache>
                  </c:numRef>
                </c:val>
                <c:extLst xmlns:c15="http://schemas.microsoft.com/office/drawing/2012/chart">
                  <c:ext xmlns:c16="http://schemas.microsoft.com/office/drawing/2014/chart" uri="{C3380CC4-5D6E-409C-BE32-E72D297353CC}">
                    <c16:uniqueId val="{00000013-70B9-4E94-9289-45B56C331903}"/>
                  </c:ext>
                </c:extLst>
              </c15:ser>
            </c15:filteredBarSeries>
            <c15:filteredBarSeries>
              <c15:ser>
                <c:idx val="18"/>
                <c:order val="18"/>
                <c:tx>
                  <c:strRef>
                    <c:extLst xmlns:c15="http://schemas.microsoft.com/office/drawing/2012/chart">
                      <c:ext xmlns:c15="http://schemas.microsoft.com/office/drawing/2012/chart" uri="{02D57815-91ED-43cb-92C2-25804820EDAC}">
                        <c15:formulaRef>
                          <c15:sqref>'SAF pe țări'!$A$21</c15:sqref>
                        </c15:formulaRef>
                      </c:ext>
                    </c:extLst>
                    <c:strCache>
                      <c:ptCount val="1"/>
                      <c:pt idx="0">
                        <c:v>Malta</c:v>
                      </c:pt>
                    </c:strCache>
                  </c:strRef>
                </c:tx>
                <c:spPr>
                  <a:solidFill>
                    <a:schemeClr val="accent1">
                      <a:lumMod val="80000"/>
                    </a:schemeClr>
                  </a:solidFill>
                  <a:ln>
                    <a:noFill/>
                  </a:ln>
                  <a:effectLst/>
                  <a:sp3d/>
                </c:spPr>
                <c:invertIfNegative val="0"/>
                <c:cat>
                  <c:strRef>
                    <c:extLst xmlns:c15="http://schemas.microsoft.com/office/drawing/2012/chart">
                      <c:ext xmlns:c15="http://schemas.microsoft.com/office/drawing/2012/chart" uri="{02D57815-91ED-43cb-92C2-25804820EDAC}">
                        <c15:formulaRef>
                          <c15:sqref>'SAF pe țări'!$B$2:$T$2</c15:sqref>
                        </c15:formulaRef>
                      </c:ext>
                    </c:extLst>
                    <c:strCache>
                      <c:ptCount val="19"/>
                      <c:pt idx="0">
                        <c:v>Diabet zaharat</c:v>
                      </c:pt>
                      <c:pt idx="1">
                        <c:v>Fractura de șold </c:v>
                      </c:pt>
                      <c:pt idx="2">
                        <c:v>Artrita reumatoidă</c:v>
                      </c:pt>
                      <c:pt idx="3">
                        <c:v>Pneumonie</c:v>
                      </c:pt>
                      <c:pt idx="4">
                        <c:v>BPCO</c:v>
                      </c:pt>
                      <c:pt idx="5">
                        <c:v>BCI</c:v>
                      </c:pt>
                      <c:pt idx="6">
                        <c:v>AVC</c:v>
                      </c:pt>
                      <c:pt idx="7">
                        <c:v>Cancer oral</c:v>
                      </c:pt>
                      <c:pt idx="8">
                        <c:v>Cancer de esofag</c:v>
                      </c:pt>
                      <c:pt idx="9">
                        <c:v>Cancer de stomac</c:v>
                      </c:pt>
                      <c:pt idx="10">
                        <c:v>Cancer hepatic</c:v>
                      </c:pt>
                      <c:pt idx="11">
                        <c:v>Cancer de pancreas</c:v>
                      </c:pt>
                      <c:pt idx="12">
                        <c:v>Cancer de laringe</c:v>
                      </c:pt>
                      <c:pt idx="13">
                        <c:v>Cancer bronhopulmonar</c:v>
                      </c:pt>
                      <c:pt idx="14">
                        <c:v>Cancer de col uterin</c:v>
                      </c:pt>
                      <c:pt idx="15">
                        <c:v>Cancer renal</c:v>
                      </c:pt>
                      <c:pt idx="16">
                        <c:v>Cancer de vezică urinară</c:v>
                      </c:pt>
                      <c:pt idx="17">
                        <c:v>Leucemie</c:v>
                      </c:pt>
                      <c:pt idx="18">
                        <c:v>Cancer colorectal</c:v>
                      </c:pt>
                    </c:strCache>
                  </c:strRef>
                </c:cat>
                <c:val>
                  <c:numRef>
                    <c:extLst xmlns:c15="http://schemas.microsoft.com/office/drawing/2012/chart">
                      <c:ext xmlns:c15="http://schemas.microsoft.com/office/drawing/2012/chart" uri="{02D57815-91ED-43cb-92C2-25804820EDAC}">
                        <c15:formulaRef>
                          <c15:sqref>'SAF pe țări'!$B$21:$T$21</c15:sqref>
                        </c15:formulaRef>
                      </c:ext>
                    </c:extLst>
                    <c:numCache>
                      <c:formatCode>0%</c:formatCode>
                      <c:ptCount val="19"/>
                      <c:pt idx="0">
                        <c:v>7.0000000000000007E-2</c:v>
                      </c:pt>
                      <c:pt idx="1">
                        <c:v>7.0000000000000007E-2</c:v>
                      </c:pt>
                      <c:pt idx="2">
                        <c:v>0.14000000000000001</c:v>
                      </c:pt>
                      <c:pt idx="3">
                        <c:v>0.09</c:v>
                      </c:pt>
                      <c:pt idx="4">
                        <c:v>0.51</c:v>
                      </c:pt>
                      <c:pt idx="5">
                        <c:v>0.17</c:v>
                      </c:pt>
                      <c:pt idx="6">
                        <c:v>0.13</c:v>
                      </c:pt>
                      <c:pt idx="7">
                        <c:v>0.21</c:v>
                      </c:pt>
                      <c:pt idx="8">
                        <c:v>0.54</c:v>
                      </c:pt>
                      <c:pt idx="9">
                        <c:v>0.09</c:v>
                      </c:pt>
                      <c:pt idx="10">
                        <c:v>0.09</c:v>
                      </c:pt>
                      <c:pt idx="11">
                        <c:v>0.13</c:v>
                      </c:pt>
                      <c:pt idx="12">
                        <c:v>0.28000000000000003</c:v>
                      </c:pt>
                      <c:pt idx="13">
                        <c:v>0.56000000000000005</c:v>
                      </c:pt>
                      <c:pt idx="14">
                        <c:v>0.13</c:v>
                      </c:pt>
                      <c:pt idx="15">
                        <c:v>0.08</c:v>
                      </c:pt>
                      <c:pt idx="16">
                        <c:v>0.28000000000000003</c:v>
                      </c:pt>
                      <c:pt idx="17">
                        <c:v>0.09</c:v>
                      </c:pt>
                      <c:pt idx="18">
                        <c:v>0.03</c:v>
                      </c:pt>
                    </c:numCache>
                  </c:numRef>
                </c:val>
                <c:extLst xmlns:c15="http://schemas.microsoft.com/office/drawing/2012/chart">
                  <c:ext xmlns:c16="http://schemas.microsoft.com/office/drawing/2014/chart" uri="{C3380CC4-5D6E-409C-BE32-E72D297353CC}">
                    <c16:uniqueId val="{00000014-70B9-4E94-9289-45B56C331903}"/>
                  </c:ext>
                </c:extLst>
              </c15:ser>
            </c15:filteredBarSeries>
            <c15:filteredBarSeries>
              <c15:ser>
                <c:idx val="19"/>
                <c:order val="19"/>
                <c:tx>
                  <c:strRef>
                    <c:extLst xmlns:c15="http://schemas.microsoft.com/office/drawing/2012/chart">
                      <c:ext xmlns:c15="http://schemas.microsoft.com/office/drawing/2012/chart" uri="{02D57815-91ED-43cb-92C2-25804820EDAC}">
                        <c15:formulaRef>
                          <c15:sqref>'SAF pe țări'!$A$22</c15:sqref>
                        </c15:formulaRef>
                      </c:ext>
                    </c:extLst>
                    <c:strCache>
                      <c:ptCount val="1"/>
                      <c:pt idx="0">
                        <c:v>Țările de Jos</c:v>
                      </c:pt>
                    </c:strCache>
                  </c:strRef>
                </c:tx>
                <c:spPr>
                  <a:solidFill>
                    <a:schemeClr val="accent2">
                      <a:lumMod val="80000"/>
                    </a:schemeClr>
                  </a:solidFill>
                  <a:ln>
                    <a:noFill/>
                  </a:ln>
                  <a:effectLst/>
                  <a:sp3d/>
                </c:spPr>
                <c:invertIfNegative val="0"/>
                <c:cat>
                  <c:strRef>
                    <c:extLst xmlns:c15="http://schemas.microsoft.com/office/drawing/2012/chart">
                      <c:ext xmlns:c15="http://schemas.microsoft.com/office/drawing/2012/chart" uri="{02D57815-91ED-43cb-92C2-25804820EDAC}">
                        <c15:formulaRef>
                          <c15:sqref>'SAF pe țări'!$B$2:$T$2</c15:sqref>
                        </c15:formulaRef>
                      </c:ext>
                    </c:extLst>
                    <c:strCache>
                      <c:ptCount val="19"/>
                      <c:pt idx="0">
                        <c:v>Diabet zaharat</c:v>
                      </c:pt>
                      <c:pt idx="1">
                        <c:v>Fractura de șold </c:v>
                      </c:pt>
                      <c:pt idx="2">
                        <c:v>Artrita reumatoidă</c:v>
                      </c:pt>
                      <c:pt idx="3">
                        <c:v>Pneumonie</c:v>
                      </c:pt>
                      <c:pt idx="4">
                        <c:v>BPCO</c:v>
                      </c:pt>
                      <c:pt idx="5">
                        <c:v>BCI</c:v>
                      </c:pt>
                      <c:pt idx="6">
                        <c:v>AVC</c:v>
                      </c:pt>
                      <c:pt idx="7">
                        <c:v>Cancer oral</c:v>
                      </c:pt>
                      <c:pt idx="8">
                        <c:v>Cancer de esofag</c:v>
                      </c:pt>
                      <c:pt idx="9">
                        <c:v>Cancer de stomac</c:v>
                      </c:pt>
                      <c:pt idx="10">
                        <c:v>Cancer hepatic</c:v>
                      </c:pt>
                      <c:pt idx="11">
                        <c:v>Cancer de pancreas</c:v>
                      </c:pt>
                      <c:pt idx="12">
                        <c:v>Cancer de laringe</c:v>
                      </c:pt>
                      <c:pt idx="13">
                        <c:v>Cancer bronhopulmonar</c:v>
                      </c:pt>
                      <c:pt idx="14">
                        <c:v>Cancer de col uterin</c:v>
                      </c:pt>
                      <c:pt idx="15">
                        <c:v>Cancer renal</c:v>
                      </c:pt>
                      <c:pt idx="16">
                        <c:v>Cancer de vezică urinară</c:v>
                      </c:pt>
                      <c:pt idx="17">
                        <c:v>Leucemie</c:v>
                      </c:pt>
                      <c:pt idx="18">
                        <c:v>Cancer colorectal</c:v>
                      </c:pt>
                    </c:strCache>
                  </c:strRef>
                </c:cat>
                <c:val>
                  <c:numRef>
                    <c:extLst xmlns:c15="http://schemas.microsoft.com/office/drawing/2012/chart">
                      <c:ext xmlns:c15="http://schemas.microsoft.com/office/drawing/2012/chart" uri="{02D57815-91ED-43cb-92C2-25804820EDAC}">
                        <c15:formulaRef>
                          <c15:sqref>'SAF pe țări'!$B$22:$T$22</c15:sqref>
                        </c15:formulaRef>
                      </c:ext>
                    </c:extLst>
                    <c:numCache>
                      <c:formatCode>0%</c:formatCode>
                      <c:ptCount val="19"/>
                      <c:pt idx="0">
                        <c:v>0.05</c:v>
                      </c:pt>
                      <c:pt idx="1">
                        <c:v>0.06</c:v>
                      </c:pt>
                      <c:pt idx="2">
                        <c:v>0.11</c:v>
                      </c:pt>
                      <c:pt idx="3">
                        <c:v>7.0000000000000007E-2</c:v>
                      </c:pt>
                      <c:pt idx="4">
                        <c:v>0.44</c:v>
                      </c:pt>
                      <c:pt idx="5">
                        <c:v>0.13</c:v>
                      </c:pt>
                      <c:pt idx="6">
                        <c:v>0.1</c:v>
                      </c:pt>
                      <c:pt idx="7">
                        <c:v>0.17</c:v>
                      </c:pt>
                      <c:pt idx="8">
                        <c:v>0.46</c:v>
                      </c:pt>
                      <c:pt idx="9">
                        <c:v>7.0000000000000007E-2</c:v>
                      </c:pt>
                      <c:pt idx="10">
                        <c:v>7.0000000000000007E-2</c:v>
                      </c:pt>
                      <c:pt idx="11">
                        <c:v>0.1</c:v>
                      </c:pt>
                      <c:pt idx="12">
                        <c:v>0.23</c:v>
                      </c:pt>
                      <c:pt idx="13">
                        <c:v>0.49</c:v>
                      </c:pt>
                      <c:pt idx="14">
                        <c:v>0.1</c:v>
                      </c:pt>
                      <c:pt idx="15">
                        <c:v>0.06</c:v>
                      </c:pt>
                      <c:pt idx="16">
                        <c:v>0.23</c:v>
                      </c:pt>
                      <c:pt idx="17">
                        <c:v>7.0000000000000007E-2</c:v>
                      </c:pt>
                      <c:pt idx="18">
                        <c:v>0.02</c:v>
                      </c:pt>
                    </c:numCache>
                  </c:numRef>
                </c:val>
                <c:extLst xmlns:c15="http://schemas.microsoft.com/office/drawing/2012/chart">
                  <c:ext xmlns:c16="http://schemas.microsoft.com/office/drawing/2014/chart" uri="{C3380CC4-5D6E-409C-BE32-E72D297353CC}">
                    <c16:uniqueId val="{00000015-70B9-4E94-9289-45B56C331903}"/>
                  </c:ext>
                </c:extLst>
              </c15:ser>
            </c15:filteredBarSeries>
            <c15:filteredBarSeries>
              <c15:ser>
                <c:idx val="20"/>
                <c:order val="20"/>
                <c:tx>
                  <c:strRef>
                    <c:extLst xmlns:c15="http://schemas.microsoft.com/office/drawing/2012/chart">
                      <c:ext xmlns:c15="http://schemas.microsoft.com/office/drawing/2012/chart" uri="{02D57815-91ED-43cb-92C2-25804820EDAC}">
                        <c15:formulaRef>
                          <c15:sqref>'SAF pe țări'!$A$23</c15:sqref>
                        </c15:formulaRef>
                      </c:ext>
                    </c:extLst>
                    <c:strCache>
                      <c:ptCount val="1"/>
                      <c:pt idx="0">
                        <c:v>Polonia</c:v>
                      </c:pt>
                    </c:strCache>
                  </c:strRef>
                </c:tx>
                <c:spPr>
                  <a:solidFill>
                    <a:schemeClr val="accent3">
                      <a:lumMod val="80000"/>
                    </a:schemeClr>
                  </a:solidFill>
                  <a:ln>
                    <a:noFill/>
                  </a:ln>
                  <a:effectLst/>
                  <a:sp3d/>
                </c:spPr>
                <c:invertIfNegative val="0"/>
                <c:cat>
                  <c:strRef>
                    <c:extLst xmlns:c15="http://schemas.microsoft.com/office/drawing/2012/chart">
                      <c:ext xmlns:c15="http://schemas.microsoft.com/office/drawing/2012/chart" uri="{02D57815-91ED-43cb-92C2-25804820EDAC}">
                        <c15:formulaRef>
                          <c15:sqref>'SAF pe țări'!$B$2:$T$2</c15:sqref>
                        </c15:formulaRef>
                      </c:ext>
                    </c:extLst>
                    <c:strCache>
                      <c:ptCount val="19"/>
                      <c:pt idx="0">
                        <c:v>Diabet zaharat</c:v>
                      </c:pt>
                      <c:pt idx="1">
                        <c:v>Fractura de șold </c:v>
                      </c:pt>
                      <c:pt idx="2">
                        <c:v>Artrita reumatoidă</c:v>
                      </c:pt>
                      <c:pt idx="3">
                        <c:v>Pneumonie</c:v>
                      </c:pt>
                      <c:pt idx="4">
                        <c:v>BPCO</c:v>
                      </c:pt>
                      <c:pt idx="5">
                        <c:v>BCI</c:v>
                      </c:pt>
                      <c:pt idx="6">
                        <c:v>AVC</c:v>
                      </c:pt>
                      <c:pt idx="7">
                        <c:v>Cancer oral</c:v>
                      </c:pt>
                      <c:pt idx="8">
                        <c:v>Cancer de esofag</c:v>
                      </c:pt>
                      <c:pt idx="9">
                        <c:v>Cancer de stomac</c:v>
                      </c:pt>
                      <c:pt idx="10">
                        <c:v>Cancer hepatic</c:v>
                      </c:pt>
                      <c:pt idx="11">
                        <c:v>Cancer de pancreas</c:v>
                      </c:pt>
                      <c:pt idx="12">
                        <c:v>Cancer de laringe</c:v>
                      </c:pt>
                      <c:pt idx="13">
                        <c:v>Cancer bronhopulmonar</c:v>
                      </c:pt>
                      <c:pt idx="14">
                        <c:v>Cancer de col uterin</c:v>
                      </c:pt>
                      <c:pt idx="15">
                        <c:v>Cancer renal</c:v>
                      </c:pt>
                      <c:pt idx="16">
                        <c:v>Cancer de vezică urinară</c:v>
                      </c:pt>
                      <c:pt idx="17">
                        <c:v>Leucemie</c:v>
                      </c:pt>
                      <c:pt idx="18">
                        <c:v>Cancer colorectal</c:v>
                      </c:pt>
                    </c:strCache>
                  </c:strRef>
                </c:cat>
                <c:val>
                  <c:numRef>
                    <c:extLst xmlns:c15="http://schemas.microsoft.com/office/drawing/2012/chart">
                      <c:ext xmlns:c15="http://schemas.microsoft.com/office/drawing/2012/chart" uri="{02D57815-91ED-43cb-92C2-25804820EDAC}">
                        <c15:formulaRef>
                          <c15:sqref>'SAF pe țări'!$B$23:$T$23</c15:sqref>
                        </c15:formulaRef>
                      </c:ext>
                    </c:extLst>
                    <c:numCache>
                      <c:formatCode>0%</c:formatCode>
                      <c:ptCount val="19"/>
                      <c:pt idx="0">
                        <c:v>0.06</c:v>
                      </c:pt>
                      <c:pt idx="1">
                        <c:v>7.0000000000000007E-2</c:v>
                      </c:pt>
                      <c:pt idx="2">
                        <c:v>0.13</c:v>
                      </c:pt>
                      <c:pt idx="3">
                        <c:v>0.09</c:v>
                      </c:pt>
                      <c:pt idx="4">
                        <c:v>0.5</c:v>
                      </c:pt>
                      <c:pt idx="5">
                        <c:v>0.16</c:v>
                      </c:pt>
                      <c:pt idx="6">
                        <c:v>0.12</c:v>
                      </c:pt>
                      <c:pt idx="7">
                        <c:v>0.2</c:v>
                      </c:pt>
                      <c:pt idx="8">
                        <c:v>0.52</c:v>
                      </c:pt>
                      <c:pt idx="9">
                        <c:v>0.08</c:v>
                      </c:pt>
                      <c:pt idx="10">
                        <c:v>0.09</c:v>
                      </c:pt>
                      <c:pt idx="11">
                        <c:v>0.13</c:v>
                      </c:pt>
                      <c:pt idx="12">
                        <c:v>0.27</c:v>
                      </c:pt>
                      <c:pt idx="13">
                        <c:v>0.55000000000000004</c:v>
                      </c:pt>
                      <c:pt idx="14">
                        <c:v>0.12</c:v>
                      </c:pt>
                      <c:pt idx="15">
                        <c:v>0.08</c:v>
                      </c:pt>
                      <c:pt idx="16">
                        <c:v>0.27</c:v>
                      </c:pt>
                      <c:pt idx="17">
                        <c:v>0.09</c:v>
                      </c:pt>
                      <c:pt idx="18">
                        <c:v>0.03</c:v>
                      </c:pt>
                    </c:numCache>
                  </c:numRef>
                </c:val>
                <c:extLst xmlns:c15="http://schemas.microsoft.com/office/drawing/2012/chart">
                  <c:ext xmlns:c16="http://schemas.microsoft.com/office/drawing/2014/chart" uri="{C3380CC4-5D6E-409C-BE32-E72D297353CC}">
                    <c16:uniqueId val="{00000016-70B9-4E94-9289-45B56C331903}"/>
                  </c:ext>
                </c:extLst>
              </c15:ser>
            </c15:filteredBarSeries>
            <c15:filteredBarSeries>
              <c15:ser>
                <c:idx val="21"/>
                <c:order val="21"/>
                <c:tx>
                  <c:strRef>
                    <c:extLst xmlns:c15="http://schemas.microsoft.com/office/drawing/2012/chart">
                      <c:ext xmlns:c15="http://schemas.microsoft.com/office/drawing/2012/chart" uri="{02D57815-91ED-43cb-92C2-25804820EDAC}">
                        <c15:formulaRef>
                          <c15:sqref>'SAF pe țări'!$A$24</c15:sqref>
                        </c15:formulaRef>
                      </c:ext>
                    </c:extLst>
                    <c:strCache>
                      <c:ptCount val="1"/>
                      <c:pt idx="0">
                        <c:v>Portugalia</c:v>
                      </c:pt>
                    </c:strCache>
                  </c:strRef>
                </c:tx>
                <c:spPr>
                  <a:solidFill>
                    <a:schemeClr val="accent4">
                      <a:lumMod val="80000"/>
                    </a:schemeClr>
                  </a:solidFill>
                  <a:ln>
                    <a:noFill/>
                  </a:ln>
                  <a:effectLst/>
                  <a:sp3d/>
                </c:spPr>
                <c:invertIfNegative val="0"/>
                <c:cat>
                  <c:strRef>
                    <c:extLst xmlns:c15="http://schemas.microsoft.com/office/drawing/2012/chart">
                      <c:ext xmlns:c15="http://schemas.microsoft.com/office/drawing/2012/chart" uri="{02D57815-91ED-43cb-92C2-25804820EDAC}">
                        <c15:formulaRef>
                          <c15:sqref>'SAF pe țări'!$B$2:$T$2</c15:sqref>
                        </c15:formulaRef>
                      </c:ext>
                    </c:extLst>
                    <c:strCache>
                      <c:ptCount val="19"/>
                      <c:pt idx="0">
                        <c:v>Diabet zaharat</c:v>
                      </c:pt>
                      <c:pt idx="1">
                        <c:v>Fractura de șold </c:v>
                      </c:pt>
                      <c:pt idx="2">
                        <c:v>Artrita reumatoidă</c:v>
                      </c:pt>
                      <c:pt idx="3">
                        <c:v>Pneumonie</c:v>
                      </c:pt>
                      <c:pt idx="4">
                        <c:v>BPCO</c:v>
                      </c:pt>
                      <c:pt idx="5">
                        <c:v>BCI</c:v>
                      </c:pt>
                      <c:pt idx="6">
                        <c:v>AVC</c:v>
                      </c:pt>
                      <c:pt idx="7">
                        <c:v>Cancer oral</c:v>
                      </c:pt>
                      <c:pt idx="8">
                        <c:v>Cancer de esofag</c:v>
                      </c:pt>
                      <c:pt idx="9">
                        <c:v>Cancer de stomac</c:v>
                      </c:pt>
                      <c:pt idx="10">
                        <c:v>Cancer hepatic</c:v>
                      </c:pt>
                      <c:pt idx="11">
                        <c:v>Cancer de pancreas</c:v>
                      </c:pt>
                      <c:pt idx="12">
                        <c:v>Cancer de laringe</c:v>
                      </c:pt>
                      <c:pt idx="13">
                        <c:v>Cancer bronhopulmonar</c:v>
                      </c:pt>
                      <c:pt idx="14">
                        <c:v>Cancer de col uterin</c:v>
                      </c:pt>
                      <c:pt idx="15">
                        <c:v>Cancer renal</c:v>
                      </c:pt>
                      <c:pt idx="16">
                        <c:v>Cancer de vezică urinară</c:v>
                      </c:pt>
                      <c:pt idx="17">
                        <c:v>Leucemie</c:v>
                      </c:pt>
                      <c:pt idx="18">
                        <c:v>Cancer colorectal</c:v>
                      </c:pt>
                    </c:strCache>
                  </c:strRef>
                </c:cat>
                <c:val>
                  <c:numRef>
                    <c:extLst xmlns:c15="http://schemas.microsoft.com/office/drawing/2012/chart">
                      <c:ext xmlns:c15="http://schemas.microsoft.com/office/drawing/2012/chart" uri="{02D57815-91ED-43cb-92C2-25804820EDAC}">
                        <c15:formulaRef>
                          <c15:sqref>'SAF pe țări'!$B$24:$T$24</c15:sqref>
                        </c15:formulaRef>
                      </c:ext>
                    </c:extLst>
                    <c:numCache>
                      <c:formatCode>0%</c:formatCode>
                      <c:ptCount val="19"/>
                      <c:pt idx="0">
                        <c:v>0.04</c:v>
                      </c:pt>
                      <c:pt idx="1">
                        <c:v>0.05</c:v>
                      </c:pt>
                      <c:pt idx="2">
                        <c:v>0.09</c:v>
                      </c:pt>
                      <c:pt idx="3">
                        <c:v>0.06</c:v>
                      </c:pt>
                      <c:pt idx="4">
                        <c:v>0.39</c:v>
                      </c:pt>
                      <c:pt idx="5">
                        <c:v>0.11</c:v>
                      </c:pt>
                      <c:pt idx="6">
                        <c:v>0.08</c:v>
                      </c:pt>
                      <c:pt idx="7">
                        <c:v>0.14000000000000001</c:v>
                      </c:pt>
                      <c:pt idx="8">
                        <c:v>0.41</c:v>
                      </c:pt>
                      <c:pt idx="9">
                        <c:v>0.05</c:v>
                      </c:pt>
                      <c:pt idx="10">
                        <c:v>0.06</c:v>
                      </c:pt>
                      <c:pt idx="11">
                        <c:v>0.08</c:v>
                      </c:pt>
                      <c:pt idx="12">
                        <c:v>0.19</c:v>
                      </c:pt>
                      <c:pt idx="13">
                        <c:v>0.43</c:v>
                      </c:pt>
                      <c:pt idx="14">
                        <c:v>0.08</c:v>
                      </c:pt>
                      <c:pt idx="15">
                        <c:v>0.05</c:v>
                      </c:pt>
                      <c:pt idx="16">
                        <c:v>0.19</c:v>
                      </c:pt>
                      <c:pt idx="17">
                        <c:v>0.06</c:v>
                      </c:pt>
                      <c:pt idx="18">
                        <c:v>0.02</c:v>
                      </c:pt>
                    </c:numCache>
                  </c:numRef>
                </c:val>
                <c:extLst xmlns:c15="http://schemas.microsoft.com/office/drawing/2012/chart">
                  <c:ext xmlns:c16="http://schemas.microsoft.com/office/drawing/2014/chart" uri="{C3380CC4-5D6E-409C-BE32-E72D297353CC}">
                    <c16:uniqueId val="{00000017-70B9-4E94-9289-45B56C331903}"/>
                  </c:ext>
                </c:extLst>
              </c15:ser>
            </c15:filteredBarSeries>
            <c15:filteredBarSeries>
              <c15:ser>
                <c:idx val="23"/>
                <c:order val="23"/>
                <c:tx>
                  <c:strRef>
                    <c:extLst xmlns:c15="http://schemas.microsoft.com/office/drawing/2012/chart">
                      <c:ext xmlns:c15="http://schemas.microsoft.com/office/drawing/2012/chart" uri="{02D57815-91ED-43cb-92C2-25804820EDAC}">
                        <c15:formulaRef>
                          <c15:sqref>'SAF pe țări'!$A$26</c15:sqref>
                        </c15:formulaRef>
                      </c:ext>
                    </c:extLst>
                    <c:strCache>
                      <c:ptCount val="1"/>
                      <c:pt idx="0">
                        <c:v>Slovacia</c:v>
                      </c:pt>
                    </c:strCache>
                  </c:strRef>
                </c:tx>
                <c:spPr>
                  <a:solidFill>
                    <a:schemeClr val="accent6">
                      <a:lumMod val="80000"/>
                    </a:schemeClr>
                  </a:solidFill>
                  <a:ln>
                    <a:noFill/>
                  </a:ln>
                  <a:effectLst/>
                  <a:sp3d/>
                </c:spPr>
                <c:invertIfNegative val="0"/>
                <c:cat>
                  <c:strRef>
                    <c:extLst xmlns:c15="http://schemas.microsoft.com/office/drawing/2012/chart">
                      <c:ext xmlns:c15="http://schemas.microsoft.com/office/drawing/2012/chart" uri="{02D57815-91ED-43cb-92C2-25804820EDAC}">
                        <c15:formulaRef>
                          <c15:sqref>'SAF pe țări'!$B$2:$T$2</c15:sqref>
                        </c15:formulaRef>
                      </c:ext>
                    </c:extLst>
                    <c:strCache>
                      <c:ptCount val="19"/>
                      <c:pt idx="0">
                        <c:v>Diabet zaharat</c:v>
                      </c:pt>
                      <c:pt idx="1">
                        <c:v>Fractura de șold </c:v>
                      </c:pt>
                      <c:pt idx="2">
                        <c:v>Artrita reumatoidă</c:v>
                      </c:pt>
                      <c:pt idx="3">
                        <c:v>Pneumonie</c:v>
                      </c:pt>
                      <c:pt idx="4">
                        <c:v>BPCO</c:v>
                      </c:pt>
                      <c:pt idx="5">
                        <c:v>BCI</c:v>
                      </c:pt>
                      <c:pt idx="6">
                        <c:v>AVC</c:v>
                      </c:pt>
                      <c:pt idx="7">
                        <c:v>Cancer oral</c:v>
                      </c:pt>
                      <c:pt idx="8">
                        <c:v>Cancer de esofag</c:v>
                      </c:pt>
                      <c:pt idx="9">
                        <c:v>Cancer de stomac</c:v>
                      </c:pt>
                      <c:pt idx="10">
                        <c:v>Cancer hepatic</c:v>
                      </c:pt>
                      <c:pt idx="11">
                        <c:v>Cancer de pancreas</c:v>
                      </c:pt>
                      <c:pt idx="12">
                        <c:v>Cancer de laringe</c:v>
                      </c:pt>
                      <c:pt idx="13">
                        <c:v>Cancer bronhopulmonar</c:v>
                      </c:pt>
                      <c:pt idx="14">
                        <c:v>Cancer de col uterin</c:v>
                      </c:pt>
                      <c:pt idx="15">
                        <c:v>Cancer renal</c:v>
                      </c:pt>
                      <c:pt idx="16">
                        <c:v>Cancer de vezică urinară</c:v>
                      </c:pt>
                      <c:pt idx="17">
                        <c:v>Leucemie</c:v>
                      </c:pt>
                      <c:pt idx="18">
                        <c:v>Cancer colorectal</c:v>
                      </c:pt>
                    </c:strCache>
                  </c:strRef>
                </c:cat>
                <c:val>
                  <c:numRef>
                    <c:extLst xmlns:c15="http://schemas.microsoft.com/office/drawing/2012/chart">
                      <c:ext xmlns:c15="http://schemas.microsoft.com/office/drawing/2012/chart" uri="{02D57815-91ED-43cb-92C2-25804820EDAC}">
                        <c15:formulaRef>
                          <c15:sqref>'SAF pe țări'!$B$26:$T$26</c15:sqref>
                        </c15:formulaRef>
                      </c:ext>
                    </c:extLst>
                    <c:numCache>
                      <c:formatCode>0%</c:formatCode>
                      <c:ptCount val="19"/>
                      <c:pt idx="0">
                        <c:v>7.0000000000000007E-2</c:v>
                      </c:pt>
                      <c:pt idx="1">
                        <c:v>0.08</c:v>
                      </c:pt>
                      <c:pt idx="2">
                        <c:v>0.14000000000000001</c:v>
                      </c:pt>
                      <c:pt idx="3">
                        <c:v>0.1</c:v>
                      </c:pt>
                      <c:pt idx="4">
                        <c:v>0.53</c:v>
                      </c:pt>
                      <c:pt idx="5">
                        <c:v>0.17</c:v>
                      </c:pt>
                      <c:pt idx="6">
                        <c:v>0.13</c:v>
                      </c:pt>
                      <c:pt idx="7">
                        <c:v>0.22</c:v>
                      </c:pt>
                      <c:pt idx="8">
                        <c:v>0.55000000000000004</c:v>
                      </c:pt>
                      <c:pt idx="9">
                        <c:v>0.09</c:v>
                      </c:pt>
                      <c:pt idx="10">
                        <c:v>0.1</c:v>
                      </c:pt>
                      <c:pt idx="11">
                        <c:v>0.14000000000000001</c:v>
                      </c:pt>
                      <c:pt idx="12">
                        <c:v>0.28999999999999998</c:v>
                      </c:pt>
                      <c:pt idx="13">
                        <c:v>0.57999999999999996</c:v>
                      </c:pt>
                      <c:pt idx="14">
                        <c:v>0.14000000000000001</c:v>
                      </c:pt>
                      <c:pt idx="15">
                        <c:v>0.09</c:v>
                      </c:pt>
                      <c:pt idx="16">
                        <c:v>0.28999999999999998</c:v>
                      </c:pt>
                      <c:pt idx="17">
                        <c:v>0.1</c:v>
                      </c:pt>
                      <c:pt idx="18">
                        <c:v>0.03</c:v>
                      </c:pt>
                    </c:numCache>
                  </c:numRef>
                </c:val>
                <c:extLst xmlns:c15="http://schemas.microsoft.com/office/drawing/2012/chart">
                  <c:ext xmlns:c16="http://schemas.microsoft.com/office/drawing/2014/chart" uri="{C3380CC4-5D6E-409C-BE32-E72D297353CC}">
                    <c16:uniqueId val="{00000018-70B9-4E94-9289-45B56C331903}"/>
                  </c:ext>
                </c:extLst>
              </c15:ser>
            </c15:filteredBarSeries>
            <c15:filteredBarSeries>
              <c15:ser>
                <c:idx val="24"/>
                <c:order val="24"/>
                <c:tx>
                  <c:strRef>
                    <c:extLst xmlns:c15="http://schemas.microsoft.com/office/drawing/2012/chart">
                      <c:ext xmlns:c15="http://schemas.microsoft.com/office/drawing/2012/chart" uri="{02D57815-91ED-43cb-92C2-25804820EDAC}">
                        <c15:formulaRef>
                          <c15:sqref>'SAF pe țări'!$A$27</c15:sqref>
                        </c15:formulaRef>
                      </c:ext>
                    </c:extLst>
                    <c:strCache>
                      <c:ptCount val="1"/>
                      <c:pt idx="0">
                        <c:v>Slovenia</c:v>
                      </c:pt>
                    </c:strCache>
                  </c:strRef>
                </c:tx>
                <c:spPr>
                  <a:solidFill>
                    <a:schemeClr val="accent1">
                      <a:lumMod val="60000"/>
                      <a:lumOff val="40000"/>
                    </a:schemeClr>
                  </a:solidFill>
                  <a:ln>
                    <a:noFill/>
                  </a:ln>
                  <a:effectLst/>
                  <a:sp3d/>
                </c:spPr>
                <c:invertIfNegative val="0"/>
                <c:cat>
                  <c:strRef>
                    <c:extLst xmlns:c15="http://schemas.microsoft.com/office/drawing/2012/chart">
                      <c:ext xmlns:c15="http://schemas.microsoft.com/office/drawing/2012/chart" uri="{02D57815-91ED-43cb-92C2-25804820EDAC}">
                        <c15:formulaRef>
                          <c15:sqref>'SAF pe țări'!$B$2:$T$2</c15:sqref>
                        </c15:formulaRef>
                      </c:ext>
                    </c:extLst>
                    <c:strCache>
                      <c:ptCount val="19"/>
                      <c:pt idx="0">
                        <c:v>Diabet zaharat</c:v>
                      </c:pt>
                      <c:pt idx="1">
                        <c:v>Fractura de șold </c:v>
                      </c:pt>
                      <c:pt idx="2">
                        <c:v>Artrita reumatoidă</c:v>
                      </c:pt>
                      <c:pt idx="3">
                        <c:v>Pneumonie</c:v>
                      </c:pt>
                      <c:pt idx="4">
                        <c:v>BPCO</c:v>
                      </c:pt>
                      <c:pt idx="5">
                        <c:v>BCI</c:v>
                      </c:pt>
                      <c:pt idx="6">
                        <c:v>AVC</c:v>
                      </c:pt>
                      <c:pt idx="7">
                        <c:v>Cancer oral</c:v>
                      </c:pt>
                      <c:pt idx="8">
                        <c:v>Cancer de esofag</c:v>
                      </c:pt>
                      <c:pt idx="9">
                        <c:v>Cancer de stomac</c:v>
                      </c:pt>
                      <c:pt idx="10">
                        <c:v>Cancer hepatic</c:v>
                      </c:pt>
                      <c:pt idx="11">
                        <c:v>Cancer de pancreas</c:v>
                      </c:pt>
                      <c:pt idx="12">
                        <c:v>Cancer de laringe</c:v>
                      </c:pt>
                      <c:pt idx="13">
                        <c:v>Cancer bronhopulmonar</c:v>
                      </c:pt>
                      <c:pt idx="14">
                        <c:v>Cancer de col uterin</c:v>
                      </c:pt>
                      <c:pt idx="15">
                        <c:v>Cancer renal</c:v>
                      </c:pt>
                      <c:pt idx="16">
                        <c:v>Cancer de vezică urinară</c:v>
                      </c:pt>
                      <c:pt idx="17">
                        <c:v>Leucemie</c:v>
                      </c:pt>
                      <c:pt idx="18">
                        <c:v>Cancer colorectal</c:v>
                      </c:pt>
                    </c:strCache>
                  </c:strRef>
                </c:cat>
                <c:val>
                  <c:numRef>
                    <c:extLst xmlns:c15="http://schemas.microsoft.com/office/drawing/2012/chart">
                      <c:ext xmlns:c15="http://schemas.microsoft.com/office/drawing/2012/chart" uri="{02D57815-91ED-43cb-92C2-25804820EDAC}">
                        <c15:formulaRef>
                          <c15:sqref>'SAF pe țări'!$B$27:$T$27</c15:sqref>
                        </c15:formulaRef>
                      </c:ext>
                    </c:extLst>
                    <c:numCache>
                      <c:formatCode>0%</c:formatCode>
                      <c:ptCount val="19"/>
                      <c:pt idx="0">
                        <c:v>0.06</c:v>
                      </c:pt>
                      <c:pt idx="1">
                        <c:v>0.06</c:v>
                      </c:pt>
                      <c:pt idx="2">
                        <c:v>0.12</c:v>
                      </c:pt>
                      <c:pt idx="3">
                        <c:v>0.08</c:v>
                      </c:pt>
                      <c:pt idx="4">
                        <c:v>0.48</c:v>
                      </c:pt>
                      <c:pt idx="5">
                        <c:v>0.15</c:v>
                      </c:pt>
                      <c:pt idx="6">
                        <c:v>0.11</c:v>
                      </c:pt>
                      <c:pt idx="7">
                        <c:v>0.18</c:v>
                      </c:pt>
                      <c:pt idx="8">
                        <c:v>0.5</c:v>
                      </c:pt>
                      <c:pt idx="9">
                        <c:v>0.08</c:v>
                      </c:pt>
                      <c:pt idx="10">
                        <c:v>0.08</c:v>
                      </c:pt>
                      <c:pt idx="11">
                        <c:v>0.12</c:v>
                      </c:pt>
                      <c:pt idx="12">
                        <c:v>0.25</c:v>
                      </c:pt>
                      <c:pt idx="13">
                        <c:v>0.53</c:v>
                      </c:pt>
                      <c:pt idx="14">
                        <c:v>0.11</c:v>
                      </c:pt>
                      <c:pt idx="15">
                        <c:v>7.0000000000000007E-2</c:v>
                      </c:pt>
                      <c:pt idx="16">
                        <c:v>0.25</c:v>
                      </c:pt>
                      <c:pt idx="17">
                        <c:v>0.08</c:v>
                      </c:pt>
                      <c:pt idx="18">
                        <c:v>0.03</c:v>
                      </c:pt>
                    </c:numCache>
                  </c:numRef>
                </c:val>
                <c:extLst xmlns:c15="http://schemas.microsoft.com/office/drawing/2012/chart">
                  <c:ext xmlns:c16="http://schemas.microsoft.com/office/drawing/2014/chart" uri="{C3380CC4-5D6E-409C-BE32-E72D297353CC}">
                    <c16:uniqueId val="{00000019-70B9-4E94-9289-45B56C331903}"/>
                  </c:ext>
                </c:extLst>
              </c15:ser>
            </c15:filteredBarSeries>
            <c15:filteredBarSeries>
              <c15:ser>
                <c:idx val="25"/>
                <c:order val="25"/>
                <c:tx>
                  <c:strRef>
                    <c:extLst xmlns:c15="http://schemas.microsoft.com/office/drawing/2012/chart">
                      <c:ext xmlns:c15="http://schemas.microsoft.com/office/drawing/2012/chart" uri="{02D57815-91ED-43cb-92C2-25804820EDAC}">
                        <c15:formulaRef>
                          <c15:sqref>'SAF pe țări'!$A$28</c15:sqref>
                        </c15:formulaRef>
                      </c:ext>
                    </c:extLst>
                    <c:strCache>
                      <c:ptCount val="1"/>
                      <c:pt idx="0">
                        <c:v>Spania</c:v>
                      </c:pt>
                    </c:strCache>
                  </c:strRef>
                </c:tx>
                <c:spPr>
                  <a:solidFill>
                    <a:schemeClr val="accent2">
                      <a:lumMod val="60000"/>
                      <a:lumOff val="40000"/>
                    </a:schemeClr>
                  </a:solidFill>
                  <a:ln>
                    <a:noFill/>
                  </a:ln>
                  <a:effectLst/>
                  <a:sp3d/>
                </c:spPr>
                <c:invertIfNegative val="0"/>
                <c:cat>
                  <c:strRef>
                    <c:extLst xmlns:c15="http://schemas.microsoft.com/office/drawing/2012/chart">
                      <c:ext xmlns:c15="http://schemas.microsoft.com/office/drawing/2012/chart" uri="{02D57815-91ED-43cb-92C2-25804820EDAC}">
                        <c15:formulaRef>
                          <c15:sqref>'SAF pe țări'!$B$2:$T$2</c15:sqref>
                        </c15:formulaRef>
                      </c:ext>
                    </c:extLst>
                    <c:strCache>
                      <c:ptCount val="19"/>
                      <c:pt idx="0">
                        <c:v>Diabet zaharat</c:v>
                      </c:pt>
                      <c:pt idx="1">
                        <c:v>Fractura de șold </c:v>
                      </c:pt>
                      <c:pt idx="2">
                        <c:v>Artrita reumatoidă</c:v>
                      </c:pt>
                      <c:pt idx="3">
                        <c:v>Pneumonie</c:v>
                      </c:pt>
                      <c:pt idx="4">
                        <c:v>BPCO</c:v>
                      </c:pt>
                      <c:pt idx="5">
                        <c:v>BCI</c:v>
                      </c:pt>
                      <c:pt idx="6">
                        <c:v>AVC</c:v>
                      </c:pt>
                      <c:pt idx="7">
                        <c:v>Cancer oral</c:v>
                      </c:pt>
                      <c:pt idx="8">
                        <c:v>Cancer de esofag</c:v>
                      </c:pt>
                      <c:pt idx="9">
                        <c:v>Cancer de stomac</c:v>
                      </c:pt>
                      <c:pt idx="10">
                        <c:v>Cancer hepatic</c:v>
                      </c:pt>
                      <c:pt idx="11">
                        <c:v>Cancer de pancreas</c:v>
                      </c:pt>
                      <c:pt idx="12">
                        <c:v>Cancer de laringe</c:v>
                      </c:pt>
                      <c:pt idx="13">
                        <c:v>Cancer bronhopulmonar</c:v>
                      </c:pt>
                      <c:pt idx="14">
                        <c:v>Cancer de col uterin</c:v>
                      </c:pt>
                      <c:pt idx="15">
                        <c:v>Cancer renal</c:v>
                      </c:pt>
                      <c:pt idx="16">
                        <c:v>Cancer de vezică urinară</c:v>
                      </c:pt>
                      <c:pt idx="17">
                        <c:v>Leucemie</c:v>
                      </c:pt>
                      <c:pt idx="18">
                        <c:v>Cancer colorectal</c:v>
                      </c:pt>
                    </c:strCache>
                  </c:strRef>
                </c:cat>
                <c:val>
                  <c:numRef>
                    <c:extLst xmlns:c15="http://schemas.microsoft.com/office/drawing/2012/chart">
                      <c:ext xmlns:c15="http://schemas.microsoft.com/office/drawing/2012/chart" uri="{02D57815-91ED-43cb-92C2-25804820EDAC}">
                        <c15:formulaRef>
                          <c15:sqref>'SAF pe țări'!$B$28:$T$28</c15:sqref>
                        </c15:formulaRef>
                      </c:ext>
                    </c:extLst>
                    <c:numCache>
                      <c:formatCode>0%</c:formatCode>
                      <c:ptCount val="19"/>
                      <c:pt idx="0">
                        <c:v>7.0000000000000007E-2</c:v>
                      </c:pt>
                      <c:pt idx="1">
                        <c:v>0.08</c:v>
                      </c:pt>
                      <c:pt idx="2">
                        <c:v>0.14000000000000001</c:v>
                      </c:pt>
                      <c:pt idx="3">
                        <c:v>0.09</c:v>
                      </c:pt>
                      <c:pt idx="4">
                        <c:v>0.52</c:v>
                      </c:pt>
                      <c:pt idx="5">
                        <c:v>0.17</c:v>
                      </c:pt>
                      <c:pt idx="6">
                        <c:v>0.13</c:v>
                      </c:pt>
                      <c:pt idx="7">
                        <c:v>0.21</c:v>
                      </c:pt>
                      <c:pt idx="8">
                        <c:v>0.54</c:v>
                      </c:pt>
                      <c:pt idx="9">
                        <c:v>0.09</c:v>
                      </c:pt>
                      <c:pt idx="10">
                        <c:v>0.09</c:v>
                      </c:pt>
                      <c:pt idx="11">
                        <c:v>0.14000000000000001</c:v>
                      </c:pt>
                      <c:pt idx="12">
                        <c:v>0.28999999999999998</c:v>
                      </c:pt>
                      <c:pt idx="13">
                        <c:v>0.56999999999999995</c:v>
                      </c:pt>
                      <c:pt idx="14">
                        <c:v>0.13</c:v>
                      </c:pt>
                      <c:pt idx="15">
                        <c:v>0.08</c:v>
                      </c:pt>
                      <c:pt idx="16">
                        <c:v>0.28000000000000003</c:v>
                      </c:pt>
                      <c:pt idx="17">
                        <c:v>0.09</c:v>
                      </c:pt>
                      <c:pt idx="18">
                        <c:v>0.03</c:v>
                      </c:pt>
                    </c:numCache>
                  </c:numRef>
                </c:val>
                <c:extLst xmlns:c15="http://schemas.microsoft.com/office/drawing/2012/chart">
                  <c:ext xmlns:c16="http://schemas.microsoft.com/office/drawing/2014/chart" uri="{C3380CC4-5D6E-409C-BE32-E72D297353CC}">
                    <c16:uniqueId val="{0000001A-70B9-4E94-9289-45B56C331903}"/>
                  </c:ext>
                </c:extLst>
              </c15:ser>
            </c15:filteredBarSeries>
            <c15:filteredBarSeries>
              <c15:ser>
                <c:idx val="26"/>
                <c:order val="26"/>
                <c:tx>
                  <c:strRef>
                    <c:extLst xmlns:c15="http://schemas.microsoft.com/office/drawing/2012/chart">
                      <c:ext xmlns:c15="http://schemas.microsoft.com/office/drawing/2012/chart" uri="{02D57815-91ED-43cb-92C2-25804820EDAC}">
                        <c15:formulaRef>
                          <c15:sqref>'SAF pe țări'!$A$29</c15:sqref>
                        </c15:formulaRef>
                      </c:ext>
                    </c:extLst>
                    <c:strCache>
                      <c:ptCount val="1"/>
                      <c:pt idx="0">
                        <c:v>Suedia</c:v>
                      </c:pt>
                    </c:strCache>
                  </c:strRef>
                </c:tx>
                <c:spPr>
                  <a:solidFill>
                    <a:schemeClr val="accent3">
                      <a:lumMod val="60000"/>
                      <a:lumOff val="40000"/>
                    </a:schemeClr>
                  </a:solidFill>
                  <a:ln>
                    <a:noFill/>
                  </a:ln>
                  <a:effectLst/>
                  <a:sp3d/>
                </c:spPr>
                <c:invertIfNegative val="0"/>
                <c:cat>
                  <c:strRef>
                    <c:extLst xmlns:c15="http://schemas.microsoft.com/office/drawing/2012/chart">
                      <c:ext xmlns:c15="http://schemas.microsoft.com/office/drawing/2012/chart" uri="{02D57815-91ED-43cb-92C2-25804820EDAC}">
                        <c15:formulaRef>
                          <c15:sqref>'SAF pe țări'!$B$2:$T$2</c15:sqref>
                        </c15:formulaRef>
                      </c:ext>
                    </c:extLst>
                    <c:strCache>
                      <c:ptCount val="19"/>
                      <c:pt idx="0">
                        <c:v>Diabet zaharat</c:v>
                      </c:pt>
                      <c:pt idx="1">
                        <c:v>Fractura de șold </c:v>
                      </c:pt>
                      <c:pt idx="2">
                        <c:v>Artrita reumatoidă</c:v>
                      </c:pt>
                      <c:pt idx="3">
                        <c:v>Pneumonie</c:v>
                      </c:pt>
                      <c:pt idx="4">
                        <c:v>BPCO</c:v>
                      </c:pt>
                      <c:pt idx="5">
                        <c:v>BCI</c:v>
                      </c:pt>
                      <c:pt idx="6">
                        <c:v>AVC</c:v>
                      </c:pt>
                      <c:pt idx="7">
                        <c:v>Cancer oral</c:v>
                      </c:pt>
                      <c:pt idx="8">
                        <c:v>Cancer de esofag</c:v>
                      </c:pt>
                      <c:pt idx="9">
                        <c:v>Cancer de stomac</c:v>
                      </c:pt>
                      <c:pt idx="10">
                        <c:v>Cancer hepatic</c:v>
                      </c:pt>
                      <c:pt idx="11">
                        <c:v>Cancer de pancreas</c:v>
                      </c:pt>
                      <c:pt idx="12">
                        <c:v>Cancer de laringe</c:v>
                      </c:pt>
                      <c:pt idx="13">
                        <c:v>Cancer bronhopulmonar</c:v>
                      </c:pt>
                      <c:pt idx="14">
                        <c:v>Cancer de col uterin</c:v>
                      </c:pt>
                      <c:pt idx="15">
                        <c:v>Cancer renal</c:v>
                      </c:pt>
                      <c:pt idx="16">
                        <c:v>Cancer de vezică urinară</c:v>
                      </c:pt>
                      <c:pt idx="17">
                        <c:v>Leucemie</c:v>
                      </c:pt>
                      <c:pt idx="18">
                        <c:v>Cancer colorectal</c:v>
                      </c:pt>
                    </c:strCache>
                  </c:strRef>
                </c:cat>
                <c:val>
                  <c:numRef>
                    <c:extLst xmlns:c15="http://schemas.microsoft.com/office/drawing/2012/chart">
                      <c:ext xmlns:c15="http://schemas.microsoft.com/office/drawing/2012/chart" uri="{02D57815-91ED-43cb-92C2-25804820EDAC}">
                        <c15:formulaRef>
                          <c15:sqref>'SAF pe țări'!$B$29:$T$29</c15:sqref>
                        </c15:formulaRef>
                      </c:ext>
                    </c:extLst>
                    <c:numCache>
                      <c:formatCode>0%</c:formatCode>
                      <c:ptCount val="19"/>
                      <c:pt idx="0">
                        <c:v>0.02</c:v>
                      </c:pt>
                      <c:pt idx="1">
                        <c:v>0.03</c:v>
                      </c:pt>
                      <c:pt idx="2">
                        <c:v>0.05</c:v>
                      </c:pt>
                      <c:pt idx="3">
                        <c:v>0.03</c:v>
                      </c:pt>
                      <c:pt idx="4">
                        <c:v>0.26</c:v>
                      </c:pt>
                      <c:pt idx="5">
                        <c:v>0.06</c:v>
                      </c:pt>
                      <c:pt idx="6">
                        <c:v>0.05</c:v>
                      </c:pt>
                      <c:pt idx="7">
                        <c:v>0.08</c:v>
                      </c:pt>
                      <c:pt idx="8">
                        <c:v>0.28000000000000003</c:v>
                      </c:pt>
                      <c:pt idx="9">
                        <c:v>0.03</c:v>
                      </c:pt>
                      <c:pt idx="10">
                        <c:v>0.03</c:v>
                      </c:pt>
                      <c:pt idx="11">
                        <c:v>0.05</c:v>
                      </c:pt>
                      <c:pt idx="12">
                        <c:v>0.11</c:v>
                      </c:pt>
                      <c:pt idx="13">
                        <c:v>0.3</c:v>
                      </c:pt>
                      <c:pt idx="14">
                        <c:v>0.05</c:v>
                      </c:pt>
                      <c:pt idx="15">
                        <c:v>0.03</c:v>
                      </c:pt>
                      <c:pt idx="16">
                        <c:v>0.11</c:v>
                      </c:pt>
                      <c:pt idx="17">
                        <c:v>0.03</c:v>
                      </c:pt>
                      <c:pt idx="18">
                        <c:v>0.01</c:v>
                      </c:pt>
                    </c:numCache>
                  </c:numRef>
                </c:val>
                <c:extLst xmlns:c15="http://schemas.microsoft.com/office/drawing/2012/chart">
                  <c:ext xmlns:c16="http://schemas.microsoft.com/office/drawing/2014/chart" uri="{C3380CC4-5D6E-409C-BE32-E72D297353CC}">
                    <c16:uniqueId val="{0000001B-70B9-4E94-9289-45B56C331903}"/>
                  </c:ext>
                </c:extLst>
              </c15:ser>
            </c15:filteredBarSeries>
          </c:ext>
        </c:extLst>
      </c:bar3DChart>
      <c:catAx>
        <c:axId val="232036528"/>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o-RO"/>
          </a:p>
        </c:txPr>
        <c:crossAx val="232037488"/>
        <c:crosses val="autoZero"/>
        <c:auto val="1"/>
        <c:lblAlgn val="ctr"/>
        <c:lblOffset val="100"/>
        <c:noMultiLvlLbl val="0"/>
      </c:catAx>
      <c:valAx>
        <c:axId val="232037488"/>
        <c:scaling>
          <c:orientation val="minMax"/>
        </c:scaling>
        <c:delete val="0"/>
        <c:axPos val="l"/>
        <c:majorGridlines>
          <c:spPr>
            <a:ln w="9525" cap="flat" cmpd="sng" algn="ctr">
              <a:solidFill>
                <a:srgbClr val="E41D48">
                  <a:lumMod val="20000"/>
                  <a:lumOff val="80000"/>
                </a:srgb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o-RO"/>
          </a:p>
        </c:txPr>
        <c:crossAx val="232036528"/>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o-RO"/>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o-RO"/>
    </a:p>
  </c:txPr>
  <c:externalData r:id="rId4">
    <c:autoUpdate val="0"/>
  </c:externalData>
</c:chartSpace>
</file>

<file path=word/charts/chart6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22"/>
          <c:order val="22"/>
          <c:tx>
            <c:strRef>
              <c:f>'Costuri per boală pe țară (mil '!$A$25</c:f>
              <c:strCache>
                <c:ptCount val="1"/>
                <c:pt idx="0">
                  <c:v>România</c:v>
                </c:pt>
              </c:strCache>
            </c:strRef>
          </c:tx>
          <c:spPr>
            <a:solidFill>
              <a:srgbClr val="E41D48">
                <a:lumMod val="20000"/>
                <a:lumOff val="80000"/>
              </a:srgbClr>
            </a:solidFill>
            <a:ln>
              <a:solidFill>
                <a:srgbClr val="E41D48">
                  <a:lumMod val="20000"/>
                  <a:lumOff val="80000"/>
                </a:srgbClr>
              </a:solidFill>
            </a:ln>
            <a:effectLst/>
            <a:sp3d/>
          </c:spPr>
          <c:invertIfNegative val="0"/>
          <c:dLbls>
            <c:spPr>
              <a:noFill/>
              <a:ln>
                <a:noFill/>
              </a:ln>
              <a:effectLst/>
            </c:spPr>
            <c:txPr>
              <a:bodyPr rot="-5400000" spcFirstLastPara="1" vertOverflow="ellipsis" vert="horz" wrap="non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ro-RO"/>
              </a:p>
            </c:txPr>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rect">
                    <a:avLst/>
                  </a:prstGeom>
                </c15:spPr>
                <c15:showLeaderLines val="1"/>
                <c15:leaderLines>
                  <c:spPr>
                    <a:ln w="9525" cap="flat" cmpd="sng" algn="ctr">
                      <a:solidFill>
                        <a:schemeClr val="tx1">
                          <a:lumMod val="35000"/>
                          <a:lumOff val="65000"/>
                        </a:schemeClr>
                      </a:solidFill>
                      <a:round/>
                    </a:ln>
                    <a:effectLst/>
                  </c:spPr>
                </c15:leaderLines>
              </c:ext>
            </c:extLst>
          </c:dLbls>
          <c:cat>
            <c:strRef>
              <c:f>'Costuri per boală pe țară (mil '!$B$2:$T$2</c:f>
              <c:strCache>
                <c:ptCount val="19"/>
                <c:pt idx="0">
                  <c:v>Diabet zaharat</c:v>
                </c:pt>
                <c:pt idx="1">
                  <c:v>Fractura de șold</c:v>
                </c:pt>
                <c:pt idx="2">
                  <c:v>Artrita reumatoidă</c:v>
                </c:pt>
                <c:pt idx="3">
                  <c:v>Pneumonie</c:v>
                </c:pt>
                <c:pt idx="4">
                  <c:v>BPCO</c:v>
                </c:pt>
                <c:pt idx="5">
                  <c:v>BCI</c:v>
                </c:pt>
                <c:pt idx="6">
                  <c:v>AVC</c:v>
                </c:pt>
                <c:pt idx="7">
                  <c:v>Cancer oral</c:v>
                </c:pt>
                <c:pt idx="8">
                  <c:v>Cancer de esofag</c:v>
                </c:pt>
                <c:pt idx="9">
                  <c:v>Cancer de stomac</c:v>
                </c:pt>
                <c:pt idx="10">
                  <c:v>Cancer hepatic</c:v>
                </c:pt>
                <c:pt idx="11">
                  <c:v>Cancer de pancreas</c:v>
                </c:pt>
                <c:pt idx="12">
                  <c:v>Cancer de laringe</c:v>
                </c:pt>
                <c:pt idx="13">
                  <c:v>Cancer bronhopulmonar</c:v>
                </c:pt>
                <c:pt idx="14">
                  <c:v>Cancer de col uterin</c:v>
                </c:pt>
                <c:pt idx="15">
                  <c:v>Cancer rinichi</c:v>
                </c:pt>
                <c:pt idx="16">
                  <c:v>Cancer de vezică urinară</c:v>
                </c:pt>
                <c:pt idx="17">
                  <c:v>Leucemie</c:v>
                </c:pt>
                <c:pt idx="18">
                  <c:v>Cancer colorectal</c:v>
                </c:pt>
              </c:strCache>
            </c:strRef>
          </c:cat>
          <c:val>
            <c:numRef>
              <c:f>'Costuri per boală pe țară (mil '!$B$25:$T$25</c:f>
              <c:numCache>
                <c:formatCode>General</c:formatCode>
                <c:ptCount val="19"/>
                <c:pt idx="0">
                  <c:v>1869</c:v>
                </c:pt>
                <c:pt idx="1">
                  <c:v>110</c:v>
                </c:pt>
                <c:pt idx="2">
                  <c:v>1194</c:v>
                </c:pt>
                <c:pt idx="3">
                  <c:v>141</c:v>
                </c:pt>
                <c:pt idx="4">
                  <c:v>590</c:v>
                </c:pt>
                <c:pt idx="5">
                  <c:v>804</c:v>
                </c:pt>
                <c:pt idx="6">
                  <c:v>586</c:v>
                </c:pt>
                <c:pt idx="7">
                  <c:v>33</c:v>
                </c:pt>
                <c:pt idx="8">
                  <c:v>5</c:v>
                </c:pt>
                <c:pt idx="9">
                  <c:v>42</c:v>
                </c:pt>
                <c:pt idx="10">
                  <c:v>7</c:v>
                </c:pt>
                <c:pt idx="11">
                  <c:v>12</c:v>
                </c:pt>
                <c:pt idx="12">
                  <c:v>30</c:v>
                </c:pt>
                <c:pt idx="13">
                  <c:v>88</c:v>
                </c:pt>
                <c:pt idx="14">
                  <c:v>127</c:v>
                </c:pt>
                <c:pt idx="15">
                  <c:v>113</c:v>
                </c:pt>
                <c:pt idx="16">
                  <c:v>121</c:v>
                </c:pt>
                <c:pt idx="17">
                  <c:v>23</c:v>
                </c:pt>
                <c:pt idx="18">
                  <c:v>282</c:v>
                </c:pt>
              </c:numCache>
            </c:numRef>
          </c:val>
          <c:extLst>
            <c:ext xmlns:c16="http://schemas.microsoft.com/office/drawing/2014/chart" uri="{C3380CC4-5D6E-409C-BE32-E72D297353CC}">
              <c16:uniqueId val="{00000000-733E-4B7C-B902-8D9E2D30C0E3}"/>
            </c:ext>
          </c:extLst>
        </c:ser>
        <c:ser>
          <c:idx val="27"/>
          <c:order val="27"/>
          <c:tx>
            <c:strRef>
              <c:f>'Costuri per boală pe țară (mil '!$A$30</c:f>
              <c:strCache>
                <c:ptCount val="1"/>
                <c:pt idx="0">
                  <c:v>Uniunea Europeană</c:v>
                </c:pt>
              </c:strCache>
            </c:strRef>
          </c:tx>
          <c:spPr>
            <a:solidFill>
              <a:srgbClr val="C00000"/>
            </a:solidFill>
            <a:ln>
              <a:solidFill>
                <a:srgbClr val="C00000"/>
              </a:solidFill>
            </a:ln>
            <a:effectLst/>
            <a:sp3d/>
          </c:spPr>
          <c:invertIfNegative val="0"/>
          <c:dLbls>
            <c:spPr>
              <a:noFill/>
              <a:ln>
                <a:noFill/>
              </a:ln>
              <a:effectLst/>
            </c:spPr>
            <c:txPr>
              <a:bodyPr rot="-5400000" spcFirstLastPara="1" vertOverflow="ellipsis" vert="horz" wrap="square" lIns="38100" tIns="19050" rIns="38100" bIns="19050" anchor="t" anchorCtr="1">
                <a:spAutoFit/>
              </a:bodyPr>
              <a:lstStyle/>
              <a:p>
                <a:pPr>
                  <a:defRPr sz="900" b="1" i="0" u="none" strike="noStrike" kern="1200" baseline="0">
                    <a:solidFill>
                      <a:schemeClr val="tx1">
                        <a:lumMod val="75000"/>
                        <a:lumOff val="25000"/>
                      </a:schemeClr>
                    </a:solidFill>
                    <a:latin typeface="+mn-lt"/>
                    <a:ea typeface="+mn-ea"/>
                    <a:cs typeface="+mn-cs"/>
                  </a:defRPr>
                </a:pPr>
                <a:endParaRPr lang="ro-R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'Costuri per boală pe țară (mil '!$B$2:$T$2</c:f>
              <c:strCache>
                <c:ptCount val="19"/>
                <c:pt idx="0">
                  <c:v>Diabet zaharat</c:v>
                </c:pt>
                <c:pt idx="1">
                  <c:v>Fractura de șold</c:v>
                </c:pt>
                <c:pt idx="2">
                  <c:v>Artrita reumatoidă</c:v>
                </c:pt>
                <c:pt idx="3">
                  <c:v>Pneumonie</c:v>
                </c:pt>
                <c:pt idx="4">
                  <c:v>BPCO</c:v>
                </c:pt>
                <c:pt idx="5">
                  <c:v>BCI</c:v>
                </c:pt>
                <c:pt idx="6">
                  <c:v>AVC</c:v>
                </c:pt>
                <c:pt idx="7">
                  <c:v>Cancer oral</c:v>
                </c:pt>
                <c:pt idx="8">
                  <c:v>Cancer de esofag</c:v>
                </c:pt>
                <c:pt idx="9">
                  <c:v>Cancer de stomac</c:v>
                </c:pt>
                <c:pt idx="10">
                  <c:v>Cancer hepatic</c:v>
                </c:pt>
                <c:pt idx="11">
                  <c:v>Cancer de pancreas</c:v>
                </c:pt>
                <c:pt idx="12">
                  <c:v>Cancer de laringe</c:v>
                </c:pt>
                <c:pt idx="13">
                  <c:v>Cancer bronhopulmonar</c:v>
                </c:pt>
                <c:pt idx="14">
                  <c:v>Cancer de col uterin</c:v>
                </c:pt>
                <c:pt idx="15">
                  <c:v>Cancer rinichi</c:v>
                </c:pt>
                <c:pt idx="16">
                  <c:v>Cancer de vezică urinară</c:v>
                </c:pt>
                <c:pt idx="17">
                  <c:v>Leucemie</c:v>
                </c:pt>
                <c:pt idx="18">
                  <c:v>Cancer colorectal</c:v>
                </c:pt>
              </c:strCache>
            </c:strRef>
          </c:cat>
          <c:val>
            <c:numRef>
              <c:f>'Costuri per boală pe țară (mil '!$B$30:$T$30</c:f>
              <c:numCache>
                <c:formatCode>General</c:formatCode>
                <c:ptCount val="19"/>
                <c:pt idx="0">
                  <c:v>202241</c:v>
                </c:pt>
                <c:pt idx="1">
                  <c:v>23497</c:v>
                </c:pt>
                <c:pt idx="2">
                  <c:v>54456</c:v>
                </c:pt>
                <c:pt idx="3">
                  <c:v>13359</c:v>
                </c:pt>
                <c:pt idx="4">
                  <c:v>55227</c:v>
                </c:pt>
                <c:pt idx="5">
                  <c:v>50227</c:v>
                </c:pt>
                <c:pt idx="6">
                  <c:v>39370</c:v>
                </c:pt>
                <c:pt idx="7">
                  <c:v>3700</c:v>
                </c:pt>
                <c:pt idx="8">
                  <c:v>786</c:v>
                </c:pt>
                <c:pt idx="9">
                  <c:v>3172</c:v>
                </c:pt>
                <c:pt idx="10">
                  <c:v>1183</c:v>
                </c:pt>
                <c:pt idx="11">
                  <c:v>1230</c:v>
                </c:pt>
                <c:pt idx="12">
                  <c:v>1869</c:v>
                </c:pt>
                <c:pt idx="13">
                  <c:v>7074</c:v>
                </c:pt>
                <c:pt idx="14">
                  <c:v>5122</c:v>
                </c:pt>
                <c:pt idx="15">
                  <c:v>8221</c:v>
                </c:pt>
                <c:pt idx="16">
                  <c:v>11210</c:v>
                </c:pt>
                <c:pt idx="17">
                  <c:v>2470</c:v>
                </c:pt>
                <c:pt idx="18">
                  <c:v>24227</c:v>
                </c:pt>
              </c:numCache>
            </c:numRef>
          </c:val>
          <c:extLst>
            <c:ext xmlns:c16="http://schemas.microsoft.com/office/drawing/2014/chart" uri="{C3380CC4-5D6E-409C-BE32-E72D297353CC}">
              <c16:uniqueId val="{00000001-733E-4B7C-B902-8D9E2D30C0E3}"/>
            </c:ext>
          </c:extLst>
        </c:ser>
        <c:dLbls>
          <c:showLegendKey val="0"/>
          <c:showVal val="0"/>
          <c:showCatName val="0"/>
          <c:showSerName val="0"/>
          <c:showPercent val="0"/>
          <c:showBubbleSize val="0"/>
        </c:dLbls>
        <c:gapWidth val="150"/>
        <c:shape val="box"/>
        <c:axId val="298068800"/>
        <c:axId val="177177760"/>
        <c:axId val="0"/>
        <c:extLst>
          <c:ext xmlns:c15="http://schemas.microsoft.com/office/drawing/2012/chart" uri="{02D57815-91ED-43cb-92C2-25804820EDAC}">
            <c15:filteredBarSeries>
              <c15:ser>
                <c:idx val="0"/>
                <c:order val="0"/>
                <c:tx>
                  <c:strRef>
                    <c:extLst>
                      <c:ext uri="{02D57815-91ED-43cb-92C2-25804820EDAC}">
                        <c15:formulaRef>
                          <c15:sqref>'Costuri per boală pe țară (mil '!$A$3</c15:sqref>
                        </c15:formulaRef>
                      </c:ext>
                    </c:extLst>
                    <c:strCache>
                      <c:ptCount val="1"/>
                      <c:pt idx="0">
                        <c:v>Belgia</c:v>
                      </c:pt>
                    </c:strCache>
                  </c:strRef>
                </c:tx>
                <c:spPr>
                  <a:solidFill>
                    <a:schemeClr val="accent1"/>
                  </a:solidFill>
                  <a:ln>
                    <a:noFill/>
                  </a:ln>
                  <a:effectLst/>
                  <a:sp3d/>
                </c:spPr>
                <c:invertIfNegative val="0"/>
                <c:cat>
                  <c:strRef>
                    <c:extLst>
                      <c:ext uri="{02D57815-91ED-43cb-92C2-25804820EDAC}">
                        <c15:formulaRef>
                          <c15:sqref>'Costuri per boală pe țară (mil '!$B$2:$T$2</c15:sqref>
                        </c15:formulaRef>
                      </c:ext>
                    </c:extLst>
                    <c:strCache>
                      <c:ptCount val="19"/>
                      <c:pt idx="0">
                        <c:v>Diabet zaharat</c:v>
                      </c:pt>
                      <c:pt idx="1">
                        <c:v>Fractura de șold</c:v>
                      </c:pt>
                      <c:pt idx="2">
                        <c:v>Artrita reumatoidă</c:v>
                      </c:pt>
                      <c:pt idx="3">
                        <c:v>Pneumonie</c:v>
                      </c:pt>
                      <c:pt idx="4">
                        <c:v>BPCO</c:v>
                      </c:pt>
                      <c:pt idx="5">
                        <c:v>BCI</c:v>
                      </c:pt>
                      <c:pt idx="6">
                        <c:v>AVC</c:v>
                      </c:pt>
                      <c:pt idx="7">
                        <c:v>Cancer oral</c:v>
                      </c:pt>
                      <c:pt idx="8">
                        <c:v>Cancer de esofag</c:v>
                      </c:pt>
                      <c:pt idx="9">
                        <c:v>Cancer de stomac</c:v>
                      </c:pt>
                      <c:pt idx="10">
                        <c:v>Cancer hepatic</c:v>
                      </c:pt>
                      <c:pt idx="11">
                        <c:v>Cancer de pancreas</c:v>
                      </c:pt>
                      <c:pt idx="12">
                        <c:v>Cancer de laringe</c:v>
                      </c:pt>
                      <c:pt idx="13">
                        <c:v>Cancer bronhopulmonar</c:v>
                      </c:pt>
                      <c:pt idx="14">
                        <c:v>Cancer de col uterin</c:v>
                      </c:pt>
                      <c:pt idx="15">
                        <c:v>Cancer rinichi</c:v>
                      </c:pt>
                      <c:pt idx="16">
                        <c:v>Cancer de vezică urinară</c:v>
                      </c:pt>
                      <c:pt idx="17">
                        <c:v>Leucemie</c:v>
                      </c:pt>
                      <c:pt idx="18">
                        <c:v>Cancer colorectal</c:v>
                      </c:pt>
                    </c:strCache>
                  </c:strRef>
                </c:cat>
                <c:val>
                  <c:numRef>
                    <c:extLst>
                      <c:ext uri="{02D57815-91ED-43cb-92C2-25804820EDAC}">
                        <c15:formulaRef>
                          <c15:sqref>'Costuri per boală pe țară (mil '!$B$3:$T$3</c15:sqref>
                        </c15:formulaRef>
                      </c:ext>
                    </c:extLst>
                    <c:numCache>
                      <c:formatCode>General</c:formatCode>
                      <c:ptCount val="19"/>
                      <c:pt idx="0">
                        <c:v>3988</c:v>
                      </c:pt>
                      <c:pt idx="1">
                        <c:v>443</c:v>
                      </c:pt>
                      <c:pt idx="2">
                        <c:v>1777</c:v>
                      </c:pt>
                      <c:pt idx="3">
                        <c:v>369</c:v>
                      </c:pt>
                      <c:pt idx="4">
                        <c:v>1526</c:v>
                      </c:pt>
                      <c:pt idx="5">
                        <c:v>1218</c:v>
                      </c:pt>
                      <c:pt idx="6">
                        <c:v>961</c:v>
                      </c:pt>
                      <c:pt idx="7">
                        <c:v>144</c:v>
                      </c:pt>
                      <c:pt idx="8">
                        <c:v>50</c:v>
                      </c:pt>
                      <c:pt idx="9">
                        <c:v>115</c:v>
                      </c:pt>
                      <c:pt idx="10">
                        <c:v>38</c:v>
                      </c:pt>
                      <c:pt idx="11">
                        <c:v>48</c:v>
                      </c:pt>
                      <c:pt idx="12">
                        <c:v>69</c:v>
                      </c:pt>
                      <c:pt idx="13">
                        <c:v>325</c:v>
                      </c:pt>
                      <c:pt idx="14">
                        <c:v>178</c:v>
                      </c:pt>
                      <c:pt idx="15">
                        <c:v>260</c:v>
                      </c:pt>
                      <c:pt idx="16">
                        <c:v>479</c:v>
                      </c:pt>
                      <c:pt idx="17">
                        <c:v>112</c:v>
                      </c:pt>
                      <c:pt idx="18">
                        <c:v>932</c:v>
                      </c:pt>
                    </c:numCache>
                  </c:numRef>
                </c:val>
                <c:extLst>
                  <c:ext xmlns:c16="http://schemas.microsoft.com/office/drawing/2014/chart" uri="{C3380CC4-5D6E-409C-BE32-E72D297353CC}">
                    <c16:uniqueId val="{00000002-733E-4B7C-B902-8D9E2D30C0E3}"/>
                  </c:ext>
                </c:extLst>
              </c15:ser>
            </c15:filteredBarSeries>
            <c15:filteredBarSeries>
              <c15:ser>
                <c:idx val="1"/>
                <c:order val="1"/>
                <c:tx>
                  <c:strRef>
                    <c:extLst xmlns:c15="http://schemas.microsoft.com/office/drawing/2012/chart">
                      <c:ext xmlns:c15="http://schemas.microsoft.com/office/drawing/2012/chart" uri="{02D57815-91ED-43cb-92C2-25804820EDAC}">
                        <c15:formulaRef>
                          <c15:sqref>'Costuri per boală pe țară (mil '!$A$4</c15:sqref>
                        </c15:formulaRef>
                      </c:ext>
                    </c:extLst>
                    <c:strCache>
                      <c:ptCount val="1"/>
                      <c:pt idx="0">
                        <c:v>Bulgaria</c:v>
                      </c:pt>
                    </c:strCache>
                  </c:strRef>
                </c:tx>
                <c:spPr>
                  <a:solidFill>
                    <a:schemeClr val="accent2"/>
                  </a:solidFill>
                  <a:ln>
                    <a:noFill/>
                  </a:ln>
                  <a:effectLst/>
                  <a:sp3d/>
                </c:spPr>
                <c:invertIfNegative val="0"/>
                <c:cat>
                  <c:strRef>
                    <c:extLst xmlns:c15="http://schemas.microsoft.com/office/drawing/2012/chart">
                      <c:ext xmlns:c15="http://schemas.microsoft.com/office/drawing/2012/chart" uri="{02D57815-91ED-43cb-92C2-25804820EDAC}">
                        <c15:formulaRef>
                          <c15:sqref>'Costuri per boală pe țară (mil '!$B$2:$T$2</c15:sqref>
                        </c15:formulaRef>
                      </c:ext>
                    </c:extLst>
                    <c:strCache>
                      <c:ptCount val="19"/>
                      <c:pt idx="0">
                        <c:v>Diabet zaharat</c:v>
                      </c:pt>
                      <c:pt idx="1">
                        <c:v>Fractura de șold</c:v>
                      </c:pt>
                      <c:pt idx="2">
                        <c:v>Artrita reumatoidă</c:v>
                      </c:pt>
                      <c:pt idx="3">
                        <c:v>Pneumonie</c:v>
                      </c:pt>
                      <c:pt idx="4">
                        <c:v>BPCO</c:v>
                      </c:pt>
                      <c:pt idx="5">
                        <c:v>BCI</c:v>
                      </c:pt>
                      <c:pt idx="6">
                        <c:v>AVC</c:v>
                      </c:pt>
                      <c:pt idx="7">
                        <c:v>Cancer oral</c:v>
                      </c:pt>
                      <c:pt idx="8">
                        <c:v>Cancer de esofag</c:v>
                      </c:pt>
                      <c:pt idx="9">
                        <c:v>Cancer de stomac</c:v>
                      </c:pt>
                      <c:pt idx="10">
                        <c:v>Cancer hepatic</c:v>
                      </c:pt>
                      <c:pt idx="11">
                        <c:v>Cancer de pancreas</c:v>
                      </c:pt>
                      <c:pt idx="12">
                        <c:v>Cancer de laringe</c:v>
                      </c:pt>
                      <c:pt idx="13">
                        <c:v>Cancer bronhopulmonar</c:v>
                      </c:pt>
                      <c:pt idx="14">
                        <c:v>Cancer de col uterin</c:v>
                      </c:pt>
                      <c:pt idx="15">
                        <c:v>Cancer rinichi</c:v>
                      </c:pt>
                      <c:pt idx="16">
                        <c:v>Cancer de vezică urinară</c:v>
                      </c:pt>
                      <c:pt idx="17">
                        <c:v>Leucemie</c:v>
                      </c:pt>
                      <c:pt idx="18">
                        <c:v>Cancer colorectal</c:v>
                      </c:pt>
                    </c:strCache>
                  </c:strRef>
                </c:cat>
                <c:val>
                  <c:numRef>
                    <c:extLst xmlns:c15="http://schemas.microsoft.com/office/drawing/2012/chart">
                      <c:ext xmlns:c15="http://schemas.microsoft.com/office/drawing/2012/chart" uri="{02D57815-91ED-43cb-92C2-25804820EDAC}">
                        <c15:formulaRef>
                          <c15:sqref>'Costuri per boală pe țară (mil '!$B$4:$T$4</c15:sqref>
                        </c15:formulaRef>
                      </c:ext>
                    </c:extLst>
                    <c:numCache>
                      <c:formatCode>General</c:formatCode>
                      <c:ptCount val="19"/>
                      <c:pt idx="0">
                        <c:v>1650</c:v>
                      </c:pt>
                      <c:pt idx="1">
                        <c:v>32</c:v>
                      </c:pt>
                      <c:pt idx="2">
                        <c:v>252</c:v>
                      </c:pt>
                      <c:pt idx="3">
                        <c:v>67</c:v>
                      </c:pt>
                      <c:pt idx="4">
                        <c:v>276</c:v>
                      </c:pt>
                      <c:pt idx="5">
                        <c:v>243</c:v>
                      </c:pt>
                      <c:pt idx="6">
                        <c:v>198</c:v>
                      </c:pt>
                      <c:pt idx="7">
                        <c:v>8</c:v>
                      </c:pt>
                      <c:pt idx="8">
                        <c:v>1</c:v>
                      </c:pt>
                      <c:pt idx="9">
                        <c:v>12</c:v>
                      </c:pt>
                      <c:pt idx="10">
                        <c:v>2</c:v>
                      </c:pt>
                      <c:pt idx="11">
                        <c:v>4</c:v>
                      </c:pt>
                      <c:pt idx="12">
                        <c:v>17</c:v>
                      </c:pt>
                      <c:pt idx="13">
                        <c:v>21</c:v>
                      </c:pt>
                      <c:pt idx="14">
                        <c:v>72</c:v>
                      </c:pt>
                      <c:pt idx="15">
                        <c:v>24</c:v>
                      </c:pt>
                      <c:pt idx="16">
                        <c:v>51</c:v>
                      </c:pt>
                      <c:pt idx="17">
                        <c:v>5</c:v>
                      </c:pt>
                      <c:pt idx="18">
                        <c:v>114</c:v>
                      </c:pt>
                    </c:numCache>
                  </c:numRef>
                </c:val>
                <c:extLst xmlns:c15="http://schemas.microsoft.com/office/drawing/2012/chart">
                  <c:ext xmlns:c16="http://schemas.microsoft.com/office/drawing/2014/chart" uri="{C3380CC4-5D6E-409C-BE32-E72D297353CC}">
                    <c16:uniqueId val="{00000003-733E-4B7C-B902-8D9E2D30C0E3}"/>
                  </c:ext>
                </c:extLst>
              </c15:ser>
            </c15:filteredBarSeries>
            <c15:filteredBarSeries>
              <c15:ser>
                <c:idx val="2"/>
                <c:order val="2"/>
                <c:tx>
                  <c:strRef>
                    <c:extLst xmlns:c15="http://schemas.microsoft.com/office/drawing/2012/chart">
                      <c:ext xmlns:c15="http://schemas.microsoft.com/office/drawing/2012/chart" uri="{02D57815-91ED-43cb-92C2-25804820EDAC}">
                        <c15:formulaRef>
                          <c15:sqref>'Costuri per boală pe țară (mil '!$A$5</c15:sqref>
                        </c15:formulaRef>
                      </c:ext>
                    </c:extLst>
                    <c:strCache>
                      <c:ptCount val="1"/>
                      <c:pt idx="0">
                        <c:v>Cehia</c:v>
                      </c:pt>
                    </c:strCache>
                  </c:strRef>
                </c:tx>
                <c:spPr>
                  <a:solidFill>
                    <a:schemeClr val="accent3"/>
                  </a:solidFill>
                  <a:ln>
                    <a:noFill/>
                  </a:ln>
                  <a:effectLst/>
                  <a:sp3d/>
                </c:spPr>
                <c:invertIfNegative val="0"/>
                <c:cat>
                  <c:strRef>
                    <c:extLst xmlns:c15="http://schemas.microsoft.com/office/drawing/2012/chart">
                      <c:ext xmlns:c15="http://schemas.microsoft.com/office/drawing/2012/chart" uri="{02D57815-91ED-43cb-92C2-25804820EDAC}">
                        <c15:formulaRef>
                          <c15:sqref>'Costuri per boală pe țară (mil '!$B$2:$T$2</c15:sqref>
                        </c15:formulaRef>
                      </c:ext>
                    </c:extLst>
                    <c:strCache>
                      <c:ptCount val="19"/>
                      <c:pt idx="0">
                        <c:v>Diabet zaharat</c:v>
                      </c:pt>
                      <c:pt idx="1">
                        <c:v>Fractura de șold</c:v>
                      </c:pt>
                      <c:pt idx="2">
                        <c:v>Artrita reumatoidă</c:v>
                      </c:pt>
                      <c:pt idx="3">
                        <c:v>Pneumonie</c:v>
                      </c:pt>
                      <c:pt idx="4">
                        <c:v>BPCO</c:v>
                      </c:pt>
                      <c:pt idx="5">
                        <c:v>BCI</c:v>
                      </c:pt>
                      <c:pt idx="6">
                        <c:v>AVC</c:v>
                      </c:pt>
                      <c:pt idx="7">
                        <c:v>Cancer oral</c:v>
                      </c:pt>
                      <c:pt idx="8">
                        <c:v>Cancer de esofag</c:v>
                      </c:pt>
                      <c:pt idx="9">
                        <c:v>Cancer de stomac</c:v>
                      </c:pt>
                      <c:pt idx="10">
                        <c:v>Cancer hepatic</c:v>
                      </c:pt>
                      <c:pt idx="11">
                        <c:v>Cancer de pancreas</c:v>
                      </c:pt>
                      <c:pt idx="12">
                        <c:v>Cancer de laringe</c:v>
                      </c:pt>
                      <c:pt idx="13">
                        <c:v>Cancer bronhopulmonar</c:v>
                      </c:pt>
                      <c:pt idx="14">
                        <c:v>Cancer de col uterin</c:v>
                      </c:pt>
                      <c:pt idx="15">
                        <c:v>Cancer rinichi</c:v>
                      </c:pt>
                      <c:pt idx="16">
                        <c:v>Cancer de vezică urinară</c:v>
                      </c:pt>
                      <c:pt idx="17">
                        <c:v>Leucemie</c:v>
                      </c:pt>
                      <c:pt idx="18">
                        <c:v>Cancer colorectal</c:v>
                      </c:pt>
                    </c:strCache>
                  </c:strRef>
                </c:cat>
                <c:val>
                  <c:numRef>
                    <c:extLst xmlns:c15="http://schemas.microsoft.com/office/drawing/2012/chart">
                      <c:ext xmlns:c15="http://schemas.microsoft.com/office/drawing/2012/chart" uri="{02D57815-91ED-43cb-92C2-25804820EDAC}">
                        <c15:formulaRef>
                          <c15:sqref>'Costuri per boală pe țară (mil '!$B$5:$T$5</c15:sqref>
                        </c15:formulaRef>
                      </c:ext>
                    </c:extLst>
                    <c:numCache>
                      <c:formatCode>General</c:formatCode>
                      <c:ptCount val="19"/>
                      <c:pt idx="0">
                        <c:v>3027</c:v>
                      </c:pt>
                      <c:pt idx="1">
                        <c:v>232</c:v>
                      </c:pt>
                      <c:pt idx="2">
                        <c:v>691</c:v>
                      </c:pt>
                      <c:pt idx="3">
                        <c:v>197</c:v>
                      </c:pt>
                      <c:pt idx="4">
                        <c:v>825</c:v>
                      </c:pt>
                      <c:pt idx="5">
                        <c:v>695</c:v>
                      </c:pt>
                      <c:pt idx="6">
                        <c:v>650</c:v>
                      </c:pt>
                      <c:pt idx="7">
                        <c:v>48</c:v>
                      </c:pt>
                      <c:pt idx="8">
                        <c:v>9</c:v>
                      </c:pt>
                      <c:pt idx="9">
                        <c:v>35</c:v>
                      </c:pt>
                      <c:pt idx="10">
                        <c:v>9</c:v>
                      </c:pt>
                      <c:pt idx="11">
                        <c:v>17</c:v>
                      </c:pt>
                      <c:pt idx="12">
                        <c:v>25</c:v>
                      </c:pt>
                      <c:pt idx="13">
                        <c:v>82</c:v>
                      </c:pt>
                      <c:pt idx="14">
                        <c:v>132</c:v>
                      </c:pt>
                      <c:pt idx="15">
                        <c:v>174</c:v>
                      </c:pt>
                      <c:pt idx="16">
                        <c:v>150</c:v>
                      </c:pt>
                      <c:pt idx="17">
                        <c:v>27</c:v>
                      </c:pt>
                      <c:pt idx="18">
                        <c:v>390</c:v>
                      </c:pt>
                    </c:numCache>
                  </c:numRef>
                </c:val>
                <c:extLst xmlns:c15="http://schemas.microsoft.com/office/drawing/2012/chart">
                  <c:ext xmlns:c16="http://schemas.microsoft.com/office/drawing/2014/chart" uri="{C3380CC4-5D6E-409C-BE32-E72D297353CC}">
                    <c16:uniqueId val="{00000004-733E-4B7C-B902-8D9E2D30C0E3}"/>
                  </c:ext>
                </c:extLst>
              </c15:ser>
            </c15:filteredBarSeries>
            <c15:filteredBarSeries>
              <c15:ser>
                <c:idx val="3"/>
                <c:order val="3"/>
                <c:tx>
                  <c:strRef>
                    <c:extLst xmlns:c15="http://schemas.microsoft.com/office/drawing/2012/chart">
                      <c:ext xmlns:c15="http://schemas.microsoft.com/office/drawing/2012/chart" uri="{02D57815-91ED-43cb-92C2-25804820EDAC}">
                        <c15:formulaRef>
                          <c15:sqref>'Costuri per boală pe țară (mil '!$A$6</c15:sqref>
                        </c15:formulaRef>
                      </c:ext>
                    </c:extLst>
                    <c:strCache>
                      <c:ptCount val="1"/>
                      <c:pt idx="0">
                        <c:v>Danemarca</c:v>
                      </c:pt>
                    </c:strCache>
                  </c:strRef>
                </c:tx>
                <c:spPr>
                  <a:solidFill>
                    <a:schemeClr val="accent4"/>
                  </a:solidFill>
                  <a:ln>
                    <a:noFill/>
                  </a:ln>
                  <a:effectLst/>
                  <a:sp3d/>
                </c:spPr>
                <c:invertIfNegative val="0"/>
                <c:cat>
                  <c:strRef>
                    <c:extLst xmlns:c15="http://schemas.microsoft.com/office/drawing/2012/chart">
                      <c:ext xmlns:c15="http://schemas.microsoft.com/office/drawing/2012/chart" uri="{02D57815-91ED-43cb-92C2-25804820EDAC}">
                        <c15:formulaRef>
                          <c15:sqref>'Costuri per boală pe țară (mil '!$B$2:$T$2</c15:sqref>
                        </c15:formulaRef>
                      </c:ext>
                    </c:extLst>
                    <c:strCache>
                      <c:ptCount val="19"/>
                      <c:pt idx="0">
                        <c:v>Diabet zaharat</c:v>
                      </c:pt>
                      <c:pt idx="1">
                        <c:v>Fractura de șold</c:v>
                      </c:pt>
                      <c:pt idx="2">
                        <c:v>Artrita reumatoidă</c:v>
                      </c:pt>
                      <c:pt idx="3">
                        <c:v>Pneumonie</c:v>
                      </c:pt>
                      <c:pt idx="4">
                        <c:v>BPCO</c:v>
                      </c:pt>
                      <c:pt idx="5">
                        <c:v>BCI</c:v>
                      </c:pt>
                      <c:pt idx="6">
                        <c:v>AVC</c:v>
                      </c:pt>
                      <c:pt idx="7">
                        <c:v>Cancer oral</c:v>
                      </c:pt>
                      <c:pt idx="8">
                        <c:v>Cancer de esofag</c:v>
                      </c:pt>
                      <c:pt idx="9">
                        <c:v>Cancer de stomac</c:v>
                      </c:pt>
                      <c:pt idx="10">
                        <c:v>Cancer hepatic</c:v>
                      </c:pt>
                      <c:pt idx="11">
                        <c:v>Cancer de pancreas</c:v>
                      </c:pt>
                      <c:pt idx="12">
                        <c:v>Cancer de laringe</c:v>
                      </c:pt>
                      <c:pt idx="13">
                        <c:v>Cancer bronhopulmonar</c:v>
                      </c:pt>
                      <c:pt idx="14">
                        <c:v>Cancer de col uterin</c:v>
                      </c:pt>
                      <c:pt idx="15">
                        <c:v>Cancer rinichi</c:v>
                      </c:pt>
                      <c:pt idx="16">
                        <c:v>Cancer de vezică urinară</c:v>
                      </c:pt>
                      <c:pt idx="17">
                        <c:v>Leucemie</c:v>
                      </c:pt>
                      <c:pt idx="18">
                        <c:v>Cancer colorectal</c:v>
                      </c:pt>
                    </c:strCache>
                  </c:strRef>
                </c:cat>
                <c:val>
                  <c:numRef>
                    <c:extLst xmlns:c15="http://schemas.microsoft.com/office/drawing/2012/chart">
                      <c:ext xmlns:c15="http://schemas.microsoft.com/office/drawing/2012/chart" uri="{02D57815-91ED-43cb-92C2-25804820EDAC}">
                        <c15:formulaRef>
                          <c15:sqref>'Costuri per boală pe țară (mil '!$B$6:$T$6</c15:sqref>
                        </c15:formulaRef>
                      </c:ext>
                    </c:extLst>
                    <c:numCache>
                      <c:formatCode>General</c:formatCode>
                      <c:ptCount val="19"/>
                      <c:pt idx="0">
                        <c:v>3699</c:v>
                      </c:pt>
                      <c:pt idx="1">
                        <c:v>706</c:v>
                      </c:pt>
                      <c:pt idx="2">
                        <c:v>832</c:v>
                      </c:pt>
                      <c:pt idx="3">
                        <c:v>218</c:v>
                      </c:pt>
                      <c:pt idx="4">
                        <c:v>898</c:v>
                      </c:pt>
                      <c:pt idx="5">
                        <c:v>584</c:v>
                      </c:pt>
                      <c:pt idx="6">
                        <c:v>434</c:v>
                      </c:pt>
                      <c:pt idx="7">
                        <c:v>86</c:v>
                      </c:pt>
                      <c:pt idx="8">
                        <c:v>21</c:v>
                      </c:pt>
                      <c:pt idx="9">
                        <c:v>24</c:v>
                      </c:pt>
                      <c:pt idx="10">
                        <c:v>12</c:v>
                      </c:pt>
                      <c:pt idx="11">
                        <c:v>22</c:v>
                      </c:pt>
                      <c:pt idx="12">
                        <c:v>31</c:v>
                      </c:pt>
                      <c:pt idx="13">
                        <c:v>173</c:v>
                      </c:pt>
                      <c:pt idx="14">
                        <c:v>123</c:v>
                      </c:pt>
                      <c:pt idx="15">
                        <c:v>107</c:v>
                      </c:pt>
                      <c:pt idx="16">
                        <c:v>261</c:v>
                      </c:pt>
                      <c:pt idx="17">
                        <c:v>67</c:v>
                      </c:pt>
                      <c:pt idx="18">
                        <c:v>535</c:v>
                      </c:pt>
                    </c:numCache>
                  </c:numRef>
                </c:val>
                <c:extLst xmlns:c15="http://schemas.microsoft.com/office/drawing/2012/chart">
                  <c:ext xmlns:c16="http://schemas.microsoft.com/office/drawing/2014/chart" uri="{C3380CC4-5D6E-409C-BE32-E72D297353CC}">
                    <c16:uniqueId val="{00000005-733E-4B7C-B902-8D9E2D30C0E3}"/>
                  </c:ext>
                </c:extLst>
              </c15:ser>
            </c15:filteredBarSeries>
            <c15:filteredBarSeries>
              <c15:ser>
                <c:idx val="4"/>
                <c:order val="4"/>
                <c:tx>
                  <c:strRef>
                    <c:extLst xmlns:c15="http://schemas.microsoft.com/office/drawing/2012/chart">
                      <c:ext xmlns:c15="http://schemas.microsoft.com/office/drawing/2012/chart" uri="{02D57815-91ED-43cb-92C2-25804820EDAC}">
                        <c15:formulaRef>
                          <c15:sqref>'Costuri per boală pe țară (mil '!$A$7</c15:sqref>
                        </c15:formulaRef>
                      </c:ext>
                    </c:extLst>
                    <c:strCache>
                      <c:ptCount val="1"/>
                      <c:pt idx="0">
                        <c:v>Germania</c:v>
                      </c:pt>
                    </c:strCache>
                  </c:strRef>
                </c:tx>
                <c:spPr>
                  <a:solidFill>
                    <a:schemeClr val="accent5"/>
                  </a:solidFill>
                  <a:ln>
                    <a:noFill/>
                  </a:ln>
                  <a:effectLst/>
                  <a:sp3d/>
                </c:spPr>
                <c:invertIfNegative val="0"/>
                <c:cat>
                  <c:strRef>
                    <c:extLst xmlns:c15="http://schemas.microsoft.com/office/drawing/2012/chart">
                      <c:ext xmlns:c15="http://schemas.microsoft.com/office/drawing/2012/chart" uri="{02D57815-91ED-43cb-92C2-25804820EDAC}">
                        <c15:formulaRef>
                          <c15:sqref>'Costuri per boală pe țară (mil '!$B$2:$T$2</c15:sqref>
                        </c15:formulaRef>
                      </c:ext>
                    </c:extLst>
                    <c:strCache>
                      <c:ptCount val="19"/>
                      <c:pt idx="0">
                        <c:v>Diabet zaharat</c:v>
                      </c:pt>
                      <c:pt idx="1">
                        <c:v>Fractura de șold</c:v>
                      </c:pt>
                      <c:pt idx="2">
                        <c:v>Artrita reumatoidă</c:v>
                      </c:pt>
                      <c:pt idx="3">
                        <c:v>Pneumonie</c:v>
                      </c:pt>
                      <c:pt idx="4">
                        <c:v>BPCO</c:v>
                      </c:pt>
                      <c:pt idx="5">
                        <c:v>BCI</c:v>
                      </c:pt>
                      <c:pt idx="6">
                        <c:v>AVC</c:v>
                      </c:pt>
                      <c:pt idx="7">
                        <c:v>Cancer oral</c:v>
                      </c:pt>
                      <c:pt idx="8">
                        <c:v>Cancer de esofag</c:v>
                      </c:pt>
                      <c:pt idx="9">
                        <c:v>Cancer de stomac</c:v>
                      </c:pt>
                      <c:pt idx="10">
                        <c:v>Cancer hepatic</c:v>
                      </c:pt>
                      <c:pt idx="11">
                        <c:v>Cancer de pancreas</c:v>
                      </c:pt>
                      <c:pt idx="12">
                        <c:v>Cancer de laringe</c:v>
                      </c:pt>
                      <c:pt idx="13">
                        <c:v>Cancer bronhopulmonar</c:v>
                      </c:pt>
                      <c:pt idx="14">
                        <c:v>Cancer de col uterin</c:v>
                      </c:pt>
                      <c:pt idx="15">
                        <c:v>Cancer rinichi</c:v>
                      </c:pt>
                      <c:pt idx="16">
                        <c:v>Cancer de vezică urinară</c:v>
                      </c:pt>
                      <c:pt idx="17">
                        <c:v>Leucemie</c:v>
                      </c:pt>
                      <c:pt idx="18">
                        <c:v>Cancer colorectal</c:v>
                      </c:pt>
                    </c:strCache>
                  </c:strRef>
                </c:cat>
                <c:val>
                  <c:numRef>
                    <c:extLst xmlns:c15="http://schemas.microsoft.com/office/drawing/2012/chart">
                      <c:ext xmlns:c15="http://schemas.microsoft.com/office/drawing/2012/chart" uri="{02D57815-91ED-43cb-92C2-25804820EDAC}">
                        <c15:formulaRef>
                          <c15:sqref>'Costuri per boală pe țară (mil '!$B$7:$T$7</c15:sqref>
                        </c15:formulaRef>
                      </c:ext>
                    </c:extLst>
                    <c:numCache>
                      <c:formatCode>General</c:formatCode>
                      <c:ptCount val="19"/>
                      <c:pt idx="0">
                        <c:v>64694</c:v>
                      </c:pt>
                      <c:pt idx="1">
                        <c:v>6573</c:v>
                      </c:pt>
                      <c:pt idx="2">
                        <c:v>17555</c:v>
                      </c:pt>
                      <c:pt idx="3">
                        <c:v>3954</c:v>
                      </c:pt>
                      <c:pt idx="4">
                        <c:v>16281</c:v>
                      </c:pt>
                      <c:pt idx="5">
                        <c:v>15742</c:v>
                      </c:pt>
                      <c:pt idx="6">
                        <c:v>12836</c:v>
                      </c:pt>
                      <c:pt idx="7">
                        <c:v>1258</c:v>
                      </c:pt>
                      <c:pt idx="8">
                        <c:v>258</c:v>
                      </c:pt>
                      <c:pt idx="9">
                        <c:v>1101</c:v>
                      </c:pt>
                      <c:pt idx="10">
                        <c:v>282</c:v>
                      </c:pt>
                      <c:pt idx="11">
                        <c:v>350</c:v>
                      </c:pt>
                      <c:pt idx="12">
                        <c:v>426</c:v>
                      </c:pt>
                      <c:pt idx="13">
                        <c:v>1915</c:v>
                      </c:pt>
                      <c:pt idx="14">
                        <c:v>1601</c:v>
                      </c:pt>
                      <c:pt idx="15">
                        <c:v>2769</c:v>
                      </c:pt>
                      <c:pt idx="16">
                        <c:v>3476</c:v>
                      </c:pt>
                      <c:pt idx="17">
                        <c:v>726</c:v>
                      </c:pt>
                      <c:pt idx="18">
                        <c:v>6528</c:v>
                      </c:pt>
                    </c:numCache>
                  </c:numRef>
                </c:val>
                <c:extLst xmlns:c15="http://schemas.microsoft.com/office/drawing/2012/chart">
                  <c:ext xmlns:c16="http://schemas.microsoft.com/office/drawing/2014/chart" uri="{C3380CC4-5D6E-409C-BE32-E72D297353CC}">
                    <c16:uniqueId val="{00000006-733E-4B7C-B902-8D9E2D30C0E3}"/>
                  </c:ext>
                </c:extLst>
              </c15:ser>
            </c15:filteredBarSeries>
            <c15:filteredBarSeries>
              <c15:ser>
                <c:idx val="5"/>
                <c:order val="5"/>
                <c:tx>
                  <c:strRef>
                    <c:extLst xmlns:c15="http://schemas.microsoft.com/office/drawing/2012/chart">
                      <c:ext xmlns:c15="http://schemas.microsoft.com/office/drawing/2012/chart" uri="{02D57815-91ED-43cb-92C2-25804820EDAC}">
                        <c15:formulaRef>
                          <c15:sqref>'Costuri per boală pe țară (mil '!$A$8</c15:sqref>
                        </c15:formulaRef>
                      </c:ext>
                    </c:extLst>
                    <c:strCache>
                      <c:ptCount val="1"/>
                      <c:pt idx="0">
                        <c:v>Estonia</c:v>
                      </c:pt>
                    </c:strCache>
                  </c:strRef>
                </c:tx>
                <c:spPr>
                  <a:solidFill>
                    <a:schemeClr val="accent6"/>
                  </a:solidFill>
                  <a:ln>
                    <a:noFill/>
                  </a:ln>
                  <a:effectLst/>
                  <a:sp3d/>
                </c:spPr>
                <c:invertIfNegative val="0"/>
                <c:cat>
                  <c:strRef>
                    <c:extLst xmlns:c15="http://schemas.microsoft.com/office/drawing/2012/chart">
                      <c:ext xmlns:c15="http://schemas.microsoft.com/office/drawing/2012/chart" uri="{02D57815-91ED-43cb-92C2-25804820EDAC}">
                        <c15:formulaRef>
                          <c15:sqref>'Costuri per boală pe țară (mil '!$B$2:$T$2</c15:sqref>
                        </c15:formulaRef>
                      </c:ext>
                    </c:extLst>
                    <c:strCache>
                      <c:ptCount val="19"/>
                      <c:pt idx="0">
                        <c:v>Diabet zaharat</c:v>
                      </c:pt>
                      <c:pt idx="1">
                        <c:v>Fractura de șold</c:v>
                      </c:pt>
                      <c:pt idx="2">
                        <c:v>Artrita reumatoidă</c:v>
                      </c:pt>
                      <c:pt idx="3">
                        <c:v>Pneumonie</c:v>
                      </c:pt>
                      <c:pt idx="4">
                        <c:v>BPCO</c:v>
                      </c:pt>
                      <c:pt idx="5">
                        <c:v>BCI</c:v>
                      </c:pt>
                      <c:pt idx="6">
                        <c:v>AVC</c:v>
                      </c:pt>
                      <c:pt idx="7">
                        <c:v>Cancer oral</c:v>
                      </c:pt>
                      <c:pt idx="8">
                        <c:v>Cancer de esofag</c:v>
                      </c:pt>
                      <c:pt idx="9">
                        <c:v>Cancer de stomac</c:v>
                      </c:pt>
                      <c:pt idx="10">
                        <c:v>Cancer hepatic</c:v>
                      </c:pt>
                      <c:pt idx="11">
                        <c:v>Cancer de pancreas</c:v>
                      </c:pt>
                      <c:pt idx="12">
                        <c:v>Cancer de laringe</c:v>
                      </c:pt>
                      <c:pt idx="13">
                        <c:v>Cancer bronhopulmonar</c:v>
                      </c:pt>
                      <c:pt idx="14">
                        <c:v>Cancer de col uterin</c:v>
                      </c:pt>
                      <c:pt idx="15">
                        <c:v>Cancer rinichi</c:v>
                      </c:pt>
                      <c:pt idx="16">
                        <c:v>Cancer de vezică urinară</c:v>
                      </c:pt>
                      <c:pt idx="17">
                        <c:v>Leucemie</c:v>
                      </c:pt>
                      <c:pt idx="18">
                        <c:v>Cancer colorectal</c:v>
                      </c:pt>
                    </c:strCache>
                  </c:strRef>
                </c:cat>
                <c:val>
                  <c:numRef>
                    <c:extLst xmlns:c15="http://schemas.microsoft.com/office/drawing/2012/chart">
                      <c:ext xmlns:c15="http://schemas.microsoft.com/office/drawing/2012/chart" uri="{02D57815-91ED-43cb-92C2-25804820EDAC}">
                        <c15:formulaRef>
                          <c15:sqref>'Costuri per boală pe țară (mil '!$B$8:$T$8</c15:sqref>
                        </c15:formulaRef>
                      </c:ext>
                    </c:extLst>
                    <c:numCache>
                      <c:formatCode>General</c:formatCode>
                      <c:ptCount val="19"/>
                      <c:pt idx="0">
                        <c:v>271</c:v>
                      </c:pt>
                      <c:pt idx="1">
                        <c:v>27</c:v>
                      </c:pt>
                      <c:pt idx="2">
                        <c:v>100</c:v>
                      </c:pt>
                      <c:pt idx="3">
                        <c:v>24</c:v>
                      </c:pt>
                      <c:pt idx="4">
                        <c:v>101</c:v>
                      </c:pt>
                      <c:pt idx="5">
                        <c:v>148</c:v>
                      </c:pt>
                      <c:pt idx="6">
                        <c:v>117</c:v>
                      </c:pt>
                      <c:pt idx="7">
                        <c:v>4</c:v>
                      </c:pt>
                      <c:pt idx="8">
                        <c:v>1</c:v>
                      </c:pt>
                      <c:pt idx="9">
                        <c:v>12</c:v>
                      </c:pt>
                      <c:pt idx="10">
                        <c:v>1</c:v>
                      </c:pt>
                      <c:pt idx="11">
                        <c:v>2</c:v>
                      </c:pt>
                      <c:pt idx="12">
                        <c:v>4</c:v>
                      </c:pt>
                      <c:pt idx="13">
                        <c:v>12</c:v>
                      </c:pt>
                      <c:pt idx="14">
                        <c:v>18</c:v>
                      </c:pt>
                      <c:pt idx="15">
                        <c:v>20</c:v>
                      </c:pt>
                      <c:pt idx="16">
                        <c:v>13</c:v>
                      </c:pt>
                      <c:pt idx="17">
                        <c:v>4</c:v>
                      </c:pt>
                      <c:pt idx="18">
                        <c:v>42</c:v>
                      </c:pt>
                    </c:numCache>
                  </c:numRef>
                </c:val>
                <c:extLst xmlns:c15="http://schemas.microsoft.com/office/drawing/2012/chart">
                  <c:ext xmlns:c16="http://schemas.microsoft.com/office/drawing/2014/chart" uri="{C3380CC4-5D6E-409C-BE32-E72D297353CC}">
                    <c16:uniqueId val="{00000007-733E-4B7C-B902-8D9E2D30C0E3}"/>
                  </c:ext>
                </c:extLst>
              </c15:ser>
            </c15:filteredBarSeries>
            <c15:filteredBarSeries>
              <c15:ser>
                <c:idx val="6"/>
                <c:order val="6"/>
                <c:tx>
                  <c:strRef>
                    <c:extLst xmlns:c15="http://schemas.microsoft.com/office/drawing/2012/chart">
                      <c:ext xmlns:c15="http://schemas.microsoft.com/office/drawing/2012/chart" uri="{02D57815-91ED-43cb-92C2-25804820EDAC}">
                        <c15:formulaRef>
                          <c15:sqref>'Costuri per boală pe țară (mil '!$A$9</c15:sqref>
                        </c15:formulaRef>
                      </c:ext>
                    </c:extLst>
                    <c:strCache>
                      <c:ptCount val="1"/>
                      <c:pt idx="0">
                        <c:v>Irlanda</c:v>
                      </c:pt>
                    </c:strCache>
                  </c:strRef>
                </c:tx>
                <c:spPr>
                  <a:solidFill>
                    <a:schemeClr val="accent1">
                      <a:lumMod val="60000"/>
                    </a:schemeClr>
                  </a:solidFill>
                  <a:ln>
                    <a:noFill/>
                  </a:ln>
                  <a:effectLst/>
                  <a:sp3d/>
                </c:spPr>
                <c:invertIfNegative val="0"/>
                <c:cat>
                  <c:strRef>
                    <c:extLst xmlns:c15="http://schemas.microsoft.com/office/drawing/2012/chart">
                      <c:ext xmlns:c15="http://schemas.microsoft.com/office/drawing/2012/chart" uri="{02D57815-91ED-43cb-92C2-25804820EDAC}">
                        <c15:formulaRef>
                          <c15:sqref>'Costuri per boală pe țară (mil '!$B$2:$T$2</c15:sqref>
                        </c15:formulaRef>
                      </c:ext>
                    </c:extLst>
                    <c:strCache>
                      <c:ptCount val="19"/>
                      <c:pt idx="0">
                        <c:v>Diabet zaharat</c:v>
                      </c:pt>
                      <c:pt idx="1">
                        <c:v>Fractura de șold</c:v>
                      </c:pt>
                      <c:pt idx="2">
                        <c:v>Artrita reumatoidă</c:v>
                      </c:pt>
                      <c:pt idx="3">
                        <c:v>Pneumonie</c:v>
                      </c:pt>
                      <c:pt idx="4">
                        <c:v>BPCO</c:v>
                      </c:pt>
                      <c:pt idx="5">
                        <c:v>BCI</c:v>
                      </c:pt>
                      <c:pt idx="6">
                        <c:v>AVC</c:v>
                      </c:pt>
                      <c:pt idx="7">
                        <c:v>Cancer oral</c:v>
                      </c:pt>
                      <c:pt idx="8">
                        <c:v>Cancer de esofag</c:v>
                      </c:pt>
                      <c:pt idx="9">
                        <c:v>Cancer de stomac</c:v>
                      </c:pt>
                      <c:pt idx="10">
                        <c:v>Cancer hepatic</c:v>
                      </c:pt>
                      <c:pt idx="11">
                        <c:v>Cancer de pancreas</c:v>
                      </c:pt>
                      <c:pt idx="12">
                        <c:v>Cancer de laringe</c:v>
                      </c:pt>
                      <c:pt idx="13">
                        <c:v>Cancer bronhopulmonar</c:v>
                      </c:pt>
                      <c:pt idx="14">
                        <c:v>Cancer de col uterin</c:v>
                      </c:pt>
                      <c:pt idx="15">
                        <c:v>Cancer rinichi</c:v>
                      </c:pt>
                      <c:pt idx="16">
                        <c:v>Cancer de vezică urinară</c:v>
                      </c:pt>
                      <c:pt idx="17">
                        <c:v>Leucemie</c:v>
                      </c:pt>
                      <c:pt idx="18">
                        <c:v>Cancer colorectal</c:v>
                      </c:pt>
                    </c:strCache>
                  </c:strRef>
                </c:cat>
                <c:val>
                  <c:numRef>
                    <c:extLst xmlns:c15="http://schemas.microsoft.com/office/drawing/2012/chart">
                      <c:ext xmlns:c15="http://schemas.microsoft.com/office/drawing/2012/chart" uri="{02D57815-91ED-43cb-92C2-25804820EDAC}">
                        <c15:formulaRef>
                          <c15:sqref>'Costuri per boală pe țară (mil '!$B$9:$T$9</c15:sqref>
                        </c15:formulaRef>
                      </c:ext>
                    </c:extLst>
                    <c:numCache>
                      <c:formatCode>General</c:formatCode>
                      <c:ptCount val="19"/>
                      <c:pt idx="0">
                        <c:v>1685</c:v>
                      </c:pt>
                      <c:pt idx="1">
                        <c:v>146</c:v>
                      </c:pt>
                      <c:pt idx="2">
                        <c:v>668</c:v>
                      </c:pt>
                      <c:pt idx="3">
                        <c:v>121</c:v>
                      </c:pt>
                      <c:pt idx="4">
                        <c:v>494</c:v>
                      </c:pt>
                      <c:pt idx="5">
                        <c:v>609</c:v>
                      </c:pt>
                      <c:pt idx="6">
                        <c:v>343</c:v>
                      </c:pt>
                      <c:pt idx="7">
                        <c:v>33</c:v>
                      </c:pt>
                      <c:pt idx="8">
                        <c:v>16</c:v>
                      </c:pt>
                      <c:pt idx="9">
                        <c:v>29</c:v>
                      </c:pt>
                      <c:pt idx="10">
                        <c:v>8</c:v>
                      </c:pt>
                      <c:pt idx="11">
                        <c:v>9</c:v>
                      </c:pt>
                      <c:pt idx="12">
                        <c:v>17</c:v>
                      </c:pt>
                      <c:pt idx="13">
                        <c:v>79</c:v>
                      </c:pt>
                      <c:pt idx="14">
                        <c:v>66</c:v>
                      </c:pt>
                      <c:pt idx="15">
                        <c:v>70</c:v>
                      </c:pt>
                      <c:pt idx="16">
                        <c:v>88</c:v>
                      </c:pt>
                      <c:pt idx="17">
                        <c:v>31</c:v>
                      </c:pt>
                      <c:pt idx="18">
                        <c:v>259</c:v>
                      </c:pt>
                    </c:numCache>
                  </c:numRef>
                </c:val>
                <c:extLst xmlns:c15="http://schemas.microsoft.com/office/drawing/2012/chart">
                  <c:ext xmlns:c16="http://schemas.microsoft.com/office/drawing/2014/chart" uri="{C3380CC4-5D6E-409C-BE32-E72D297353CC}">
                    <c16:uniqueId val="{00000008-733E-4B7C-B902-8D9E2D30C0E3}"/>
                  </c:ext>
                </c:extLst>
              </c15:ser>
            </c15:filteredBarSeries>
            <c15:filteredBarSeries>
              <c15:ser>
                <c:idx val="7"/>
                <c:order val="7"/>
                <c:tx>
                  <c:strRef>
                    <c:extLst xmlns:c15="http://schemas.microsoft.com/office/drawing/2012/chart">
                      <c:ext xmlns:c15="http://schemas.microsoft.com/office/drawing/2012/chart" uri="{02D57815-91ED-43cb-92C2-25804820EDAC}">
                        <c15:formulaRef>
                          <c15:sqref>'Costuri per boală pe țară (mil '!$A$10</c15:sqref>
                        </c15:formulaRef>
                      </c:ext>
                    </c:extLst>
                    <c:strCache>
                      <c:ptCount val="1"/>
                      <c:pt idx="0">
                        <c:v>Grecia</c:v>
                      </c:pt>
                    </c:strCache>
                  </c:strRef>
                </c:tx>
                <c:spPr>
                  <a:solidFill>
                    <a:schemeClr val="accent2">
                      <a:lumMod val="60000"/>
                    </a:schemeClr>
                  </a:solidFill>
                  <a:ln>
                    <a:noFill/>
                  </a:ln>
                  <a:effectLst/>
                  <a:sp3d/>
                </c:spPr>
                <c:invertIfNegative val="0"/>
                <c:cat>
                  <c:strRef>
                    <c:extLst xmlns:c15="http://schemas.microsoft.com/office/drawing/2012/chart">
                      <c:ext xmlns:c15="http://schemas.microsoft.com/office/drawing/2012/chart" uri="{02D57815-91ED-43cb-92C2-25804820EDAC}">
                        <c15:formulaRef>
                          <c15:sqref>'Costuri per boală pe țară (mil '!$B$2:$T$2</c15:sqref>
                        </c15:formulaRef>
                      </c:ext>
                    </c:extLst>
                    <c:strCache>
                      <c:ptCount val="19"/>
                      <c:pt idx="0">
                        <c:v>Diabet zaharat</c:v>
                      </c:pt>
                      <c:pt idx="1">
                        <c:v>Fractura de șold</c:v>
                      </c:pt>
                      <c:pt idx="2">
                        <c:v>Artrita reumatoidă</c:v>
                      </c:pt>
                      <c:pt idx="3">
                        <c:v>Pneumonie</c:v>
                      </c:pt>
                      <c:pt idx="4">
                        <c:v>BPCO</c:v>
                      </c:pt>
                      <c:pt idx="5">
                        <c:v>BCI</c:v>
                      </c:pt>
                      <c:pt idx="6">
                        <c:v>AVC</c:v>
                      </c:pt>
                      <c:pt idx="7">
                        <c:v>Cancer oral</c:v>
                      </c:pt>
                      <c:pt idx="8">
                        <c:v>Cancer de esofag</c:v>
                      </c:pt>
                      <c:pt idx="9">
                        <c:v>Cancer de stomac</c:v>
                      </c:pt>
                      <c:pt idx="10">
                        <c:v>Cancer hepatic</c:v>
                      </c:pt>
                      <c:pt idx="11">
                        <c:v>Cancer de pancreas</c:v>
                      </c:pt>
                      <c:pt idx="12">
                        <c:v>Cancer de laringe</c:v>
                      </c:pt>
                      <c:pt idx="13">
                        <c:v>Cancer bronhopulmonar</c:v>
                      </c:pt>
                      <c:pt idx="14">
                        <c:v>Cancer de col uterin</c:v>
                      </c:pt>
                      <c:pt idx="15">
                        <c:v>Cancer rinichi</c:v>
                      </c:pt>
                      <c:pt idx="16">
                        <c:v>Cancer de vezică urinară</c:v>
                      </c:pt>
                      <c:pt idx="17">
                        <c:v>Leucemie</c:v>
                      </c:pt>
                      <c:pt idx="18">
                        <c:v>Cancer colorectal</c:v>
                      </c:pt>
                    </c:strCache>
                  </c:strRef>
                </c:cat>
                <c:val>
                  <c:numRef>
                    <c:extLst xmlns:c15="http://schemas.microsoft.com/office/drawing/2012/chart">
                      <c:ext xmlns:c15="http://schemas.microsoft.com/office/drawing/2012/chart" uri="{02D57815-91ED-43cb-92C2-25804820EDAC}">
                        <c15:formulaRef>
                          <c15:sqref>'Costuri per boală pe țară (mil '!$B$10:$T$10</c15:sqref>
                        </c15:formulaRef>
                      </c:ext>
                    </c:extLst>
                    <c:numCache>
                      <c:formatCode>General</c:formatCode>
                      <c:ptCount val="19"/>
                      <c:pt idx="0">
                        <c:v>1998</c:v>
                      </c:pt>
                      <c:pt idx="1">
                        <c:v>426</c:v>
                      </c:pt>
                      <c:pt idx="2">
                        <c:v>767</c:v>
                      </c:pt>
                      <c:pt idx="3">
                        <c:v>170</c:v>
                      </c:pt>
                      <c:pt idx="4">
                        <c:v>692</c:v>
                      </c:pt>
                      <c:pt idx="5">
                        <c:v>1009</c:v>
                      </c:pt>
                      <c:pt idx="6">
                        <c:v>606</c:v>
                      </c:pt>
                      <c:pt idx="7">
                        <c:v>34</c:v>
                      </c:pt>
                      <c:pt idx="8">
                        <c:v>5</c:v>
                      </c:pt>
                      <c:pt idx="9">
                        <c:v>46</c:v>
                      </c:pt>
                      <c:pt idx="10">
                        <c:v>19</c:v>
                      </c:pt>
                      <c:pt idx="11">
                        <c:v>13</c:v>
                      </c:pt>
                      <c:pt idx="12">
                        <c:v>31</c:v>
                      </c:pt>
                      <c:pt idx="13">
                        <c:v>71</c:v>
                      </c:pt>
                      <c:pt idx="14">
                        <c:v>49</c:v>
                      </c:pt>
                      <c:pt idx="15">
                        <c:v>84</c:v>
                      </c:pt>
                      <c:pt idx="16">
                        <c:v>177</c:v>
                      </c:pt>
                      <c:pt idx="17">
                        <c:v>21</c:v>
                      </c:pt>
                      <c:pt idx="18">
                        <c:v>319</c:v>
                      </c:pt>
                    </c:numCache>
                  </c:numRef>
                </c:val>
                <c:extLst xmlns:c15="http://schemas.microsoft.com/office/drawing/2012/chart">
                  <c:ext xmlns:c16="http://schemas.microsoft.com/office/drawing/2014/chart" uri="{C3380CC4-5D6E-409C-BE32-E72D297353CC}">
                    <c16:uniqueId val="{00000009-733E-4B7C-B902-8D9E2D30C0E3}"/>
                  </c:ext>
                </c:extLst>
              </c15:ser>
            </c15:filteredBarSeries>
            <c15:filteredBarSeries>
              <c15:ser>
                <c:idx val="8"/>
                <c:order val="8"/>
                <c:tx>
                  <c:strRef>
                    <c:extLst xmlns:c15="http://schemas.microsoft.com/office/drawing/2012/chart">
                      <c:ext xmlns:c15="http://schemas.microsoft.com/office/drawing/2012/chart" uri="{02D57815-91ED-43cb-92C2-25804820EDAC}">
                        <c15:formulaRef>
                          <c15:sqref>'Costuri per boală pe țară (mil '!$A$11</c15:sqref>
                        </c15:formulaRef>
                      </c:ext>
                    </c:extLst>
                    <c:strCache>
                      <c:ptCount val="1"/>
                      <c:pt idx="0">
                        <c:v>Spania</c:v>
                      </c:pt>
                    </c:strCache>
                  </c:strRef>
                </c:tx>
                <c:spPr>
                  <a:solidFill>
                    <a:schemeClr val="accent3">
                      <a:lumMod val="60000"/>
                    </a:schemeClr>
                  </a:solidFill>
                  <a:ln>
                    <a:noFill/>
                  </a:ln>
                  <a:effectLst/>
                  <a:sp3d/>
                </c:spPr>
                <c:invertIfNegative val="0"/>
                <c:cat>
                  <c:strRef>
                    <c:extLst xmlns:c15="http://schemas.microsoft.com/office/drawing/2012/chart">
                      <c:ext xmlns:c15="http://schemas.microsoft.com/office/drawing/2012/chart" uri="{02D57815-91ED-43cb-92C2-25804820EDAC}">
                        <c15:formulaRef>
                          <c15:sqref>'Costuri per boală pe țară (mil '!$B$2:$T$2</c15:sqref>
                        </c15:formulaRef>
                      </c:ext>
                    </c:extLst>
                    <c:strCache>
                      <c:ptCount val="19"/>
                      <c:pt idx="0">
                        <c:v>Diabet zaharat</c:v>
                      </c:pt>
                      <c:pt idx="1">
                        <c:v>Fractura de șold</c:v>
                      </c:pt>
                      <c:pt idx="2">
                        <c:v>Artrita reumatoidă</c:v>
                      </c:pt>
                      <c:pt idx="3">
                        <c:v>Pneumonie</c:v>
                      </c:pt>
                      <c:pt idx="4">
                        <c:v>BPCO</c:v>
                      </c:pt>
                      <c:pt idx="5">
                        <c:v>BCI</c:v>
                      </c:pt>
                      <c:pt idx="6">
                        <c:v>AVC</c:v>
                      </c:pt>
                      <c:pt idx="7">
                        <c:v>Cancer oral</c:v>
                      </c:pt>
                      <c:pt idx="8">
                        <c:v>Cancer de esofag</c:v>
                      </c:pt>
                      <c:pt idx="9">
                        <c:v>Cancer de stomac</c:v>
                      </c:pt>
                      <c:pt idx="10">
                        <c:v>Cancer hepatic</c:v>
                      </c:pt>
                      <c:pt idx="11">
                        <c:v>Cancer de pancreas</c:v>
                      </c:pt>
                      <c:pt idx="12">
                        <c:v>Cancer de laringe</c:v>
                      </c:pt>
                      <c:pt idx="13">
                        <c:v>Cancer bronhopulmonar</c:v>
                      </c:pt>
                      <c:pt idx="14">
                        <c:v>Cancer de col uterin</c:v>
                      </c:pt>
                      <c:pt idx="15">
                        <c:v>Cancer rinichi</c:v>
                      </c:pt>
                      <c:pt idx="16">
                        <c:v>Cancer de vezică urinară</c:v>
                      </c:pt>
                      <c:pt idx="17">
                        <c:v>Leucemie</c:v>
                      </c:pt>
                      <c:pt idx="18">
                        <c:v>Cancer colorectal</c:v>
                      </c:pt>
                    </c:strCache>
                  </c:strRef>
                </c:cat>
                <c:val>
                  <c:numRef>
                    <c:extLst xmlns:c15="http://schemas.microsoft.com/office/drawing/2012/chart">
                      <c:ext xmlns:c15="http://schemas.microsoft.com/office/drawing/2012/chart" uri="{02D57815-91ED-43cb-92C2-25804820EDAC}">
                        <c15:formulaRef>
                          <c15:sqref>'Costuri per boală pe țară (mil '!$B$11:$T$11</c15:sqref>
                        </c15:formulaRef>
                      </c:ext>
                    </c:extLst>
                    <c:numCache>
                      <c:formatCode>General</c:formatCode>
                      <c:ptCount val="19"/>
                      <c:pt idx="0">
                        <c:v>23507</c:v>
                      </c:pt>
                      <c:pt idx="1">
                        <c:v>1946</c:v>
                      </c:pt>
                      <c:pt idx="2">
                        <c:v>4169</c:v>
                      </c:pt>
                      <c:pt idx="3">
                        <c:v>1182</c:v>
                      </c:pt>
                      <c:pt idx="4">
                        <c:v>4877</c:v>
                      </c:pt>
                      <c:pt idx="5">
                        <c:v>4520</c:v>
                      </c:pt>
                      <c:pt idx="6">
                        <c:v>2904</c:v>
                      </c:pt>
                      <c:pt idx="7">
                        <c:v>284</c:v>
                      </c:pt>
                      <c:pt idx="8">
                        <c:v>46</c:v>
                      </c:pt>
                      <c:pt idx="9">
                        <c:v>227</c:v>
                      </c:pt>
                      <c:pt idx="10">
                        <c:v>111</c:v>
                      </c:pt>
                      <c:pt idx="11">
                        <c:v>70</c:v>
                      </c:pt>
                      <c:pt idx="12">
                        <c:v>237</c:v>
                      </c:pt>
                      <c:pt idx="13">
                        <c:v>414</c:v>
                      </c:pt>
                      <c:pt idx="14">
                        <c:v>325</c:v>
                      </c:pt>
                      <c:pt idx="15">
                        <c:v>459</c:v>
                      </c:pt>
                      <c:pt idx="16">
                        <c:v>1193</c:v>
                      </c:pt>
                      <c:pt idx="17">
                        <c:v>134</c:v>
                      </c:pt>
                      <c:pt idx="18">
                        <c:v>2084</c:v>
                      </c:pt>
                    </c:numCache>
                  </c:numRef>
                </c:val>
                <c:extLst xmlns:c15="http://schemas.microsoft.com/office/drawing/2012/chart">
                  <c:ext xmlns:c16="http://schemas.microsoft.com/office/drawing/2014/chart" uri="{C3380CC4-5D6E-409C-BE32-E72D297353CC}">
                    <c16:uniqueId val="{0000000A-733E-4B7C-B902-8D9E2D30C0E3}"/>
                  </c:ext>
                </c:extLst>
              </c15:ser>
            </c15:filteredBarSeries>
            <c15:filteredBarSeries>
              <c15:ser>
                <c:idx val="9"/>
                <c:order val="9"/>
                <c:tx>
                  <c:strRef>
                    <c:extLst xmlns:c15="http://schemas.microsoft.com/office/drawing/2012/chart">
                      <c:ext xmlns:c15="http://schemas.microsoft.com/office/drawing/2012/chart" uri="{02D57815-91ED-43cb-92C2-25804820EDAC}">
                        <c15:formulaRef>
                          <c15:sqref>'Costuri per boală pe țară (mil '!$A$12</c15:sqref>
                        </c15:formulaRef>
                      </c:ext>
                    </c:extLst>
                    <c:strCache>
                      <c:ptCount val="1"/>
                      <c:pt idx="0">
                        <c:v>Franța</c:v>
                      </c:pt>
                    </c:strCache>
                  </c:strRef>
                </c:tx>
                <c:spPr>
                  <a:solidFill>
                    <a:schemeClr val="accent4">
                      <a:lumMod val="60000"/>
                    </a:schemeClr>
                  </a:solidFill>
                  <a:ln>
                    <a:noFill/>
                  </a:ln>
                  <a:effectLst/>
                  <a:sp3d/>
                </c:spPr>
                <c:invertIfNegative val="0"/>
                <c:cat>
                  <c:strRef>
                    <c:extLst xmlns:c15="http://schemas.microsoft.com/office/drawing/2012/chart">
                      <c:ext xmlns:c15="http://schemas.microsoft.com/office/drawing/2012/chart" uri="{02D57815-91ED-43cb-92C2-25804820EDAC}">
                        <c15:formulaRef>
                          <c15:sqref>'Costuri per boală pe țară (mil '!$B$2:$T$2</c15:sqref>
                        </c15:formulaRef>
                      </c:ext>
                    </c:extLst>
                    <c:strCache>
                      <c:ptCount val="19"/>
                      <c:pt idx="0">
                        <c:v>Diabet zaharat</c:v>
                      </c:pt>
                      <c:pt idx="1">
                        <c:v>Fractura de șold</c:v>
                      </c:pt>
                      <c:pt idx="2">
                        <c:v>Artrita reumatoidă</c:v>
                      </c:pt>
                      <c:pt idx="3">
                        <c:v>Pneumonie</c:v>
                      </c:pt>
                      <c:pt idx="4">
                        <c:v>BPCO</c:v>
                      </c:pt>
                      <c:pt idx="5">
                        <c:v>BCI</c:v>
                      </c:pt>
                      <c:pt idx="6">
                        <c:v>AVC</c:v>
                      </c:pt>
                      <c:pt idx="7">
                        <c:v>Cancer oral</c:v>
                      </c:pt>
                      <c:pt idx="8">
                        <c:v>Cancer de esofag</c:v>
                      </c:pt>
                      <c:pt idx="9">
                        <c:v>Cancer de stomac</c:v>
                      </c:pt>
                      <c:pt idx="10">
                        <c:v>Cancer hepatic</c:v>
                      </c:pt>
                      <c:pt idx="11">
                        <c:v>Cancer de pancreas</c:v>
                      </c:pt>
                      <c:pt idx="12">
                        <c:v>Cancer de laringe</c:v>
                      </c:pt>
                      <c:pt idx="13">
                        <c:v>Cancer bronhopulmonar</c:v>
                      </c:pt>
                      <c:pt idx="14">
                        <c:v>Cancer de col uterin</c:v>
                      </c:pt>
                      <c:pt idx="15">
                        <c:v>Cancer rinichi</c:v>
                      </c:pt>
                      <c:pt idx="16">
                        <c:v>Cancer de vezică urinară</c:v>
                      </c:pt>
                      <c:pt idx="17">
                        <c:v>Leucemie</c:v>
                      </c:pt>
                      <c:pt idx="18">
                        <c:v>Cancer colorectal</c:v>
                      </c:pt>
                    </c:strCache>
                  </c:strRef>
                </c:cat>
                <c:val>
                  <c:numRef>
                    <c:extLst xmlns:c15="http://schemas.microsoft.com/office/drawing/2012/chart">
                      <c:ext xmlns:c15="http://schemas.microsoft.com/office/drawing/2012/chart" uri="{02D57815-91ED-43cb-92C2-25804820EDAC}">
                        <c15:formulaRef>
                          <c15:sqref>'Costuri per boală pe țară (mil '!$B$12:$T$12</c15:sqref>
                        </c15:formulaRef>
                      </c:ext>
                    </c:extLst>
                    <c:numCache>
                      <c:formatCode>General</c:formatCode>
                      <c:ptCount val="19"/>
                      <c:pt idx="0">
                        <c:v>34566</c:v>
                      </c:pt>
                      <c:pt idx="1">
                        <c:v>3317</c:v>
                      </c:pt>
                      <c:pt idx="2">
                        <c:v>8369</c:v>
                      </c:pt>
                      <c:pt idx="3">
                        <c:v>2103</c:v>
                      </c:pt>
                      <c:pt idx="4">
                        <c:v>8660</c:v>
                      </c:pt>
                      <c:pt idx="5">
                        <c:v>5883</c:v>
                      </c:pt>
                      <c:pt idx="6">
                        <c:v>4294</c:v>
                      </c:pt>
                      <c:pt idx="7">
                        <c:v>757</c:v>
                      </c:pt>
                      <c:pt idx="8">
                        <c:v>146</c:v>
                      </c:pt>
                      <c:pt idx="9">
                        <c:v>363</c:v>
                      </c:pt>
                      <c:pt idx="10">
                        <c:v>295</c:v>
                      </c:pt>
                      <c:pt idx="11">
                        <c:v>307</c:v>
                      </c:pt>
                      <c:pt idx="12">
                        <c:v>286</c:v>
                      </c:pt>
                      <c:pt idx="13">
                        <c:v>1488</c:v>
                      </c:pt>
                      <c:pt idx="14">
                        <c:v>687</c:v>
                      </c:pt>
                      <c:pt idx="15">
                        <c:v>1519</c:v>
                      </c:pt>
                      <c:pt idx="16">
                        <c:v>882</c:v>
                      </c:pt>
                      <c:pt idx="17">
                        <c:v>617</c:v>
                      </c:pt>
                      <c:pt idx="18">
                        <c:v>3937</c:v>
                      </c:pt>
                    </c:numCache>
                  </c:numRef>
                </c:val>
                <c:extLst xmlns:c15="http://schemas.microsoft.com/office/drawing/2012/chart">
                  <c:ext xmlns:c16="http://schemas.microsoft.com/office/drawing/2014/chart" uri="{C3380CC4-5D6E-409C-BE32-E72D297353CC}">
                    <c16:uniqueId val="{0000000B-733E-4B7C-B902-8D9E2D30C0E3}"/>
                  </c:ext>
                </c:extLst>
              </c15:ser>
            </c15:filteredBarSeries>
            <c15:filteredBarSeries>
              <c15:ser>
                <c:idx val="10"/>
                <c:order val="10"/>
                <c:tx>
                  <c:strRef>
                    <c:extLst xmlns:c15="http://schemas.microsoft.com/office/drawing/2012/chart">
                      <c:ext xmlns:c15="http://schemas.microsoft.com/office/drawing/2012/chart" uri="{02D57815-91ED-43cb-92C2-25804820EDAC}">
                        <c15:formulaRef>
                          <c15:sqref>'Costuri per boală pe țară (mil '!$A$13</c15:sqref>
                        </c15:formulaRef>
                      </c:ext>
                    </c:extLst>
                    <c:strCache>
                      <c:ptCount val="1"/>
                      <c:pt idx="0">
                        <c:v>Croaţia</c:v>
                      </c:pt>
                    </c:strCache>
                  </c:strRef>
                </c:tx>
                <c:spPr>
                  <a:solidFill>
                    <a:schemeClr val="accent5">
                      <a:lumMod val="60000"/>
                    </a:schemeClr>
                  </a:solidFill>
                  <a:ln>
                    <a:noFill/>
                  </a:ln>
                  <a:effectLst/>
                  <a:sp3d/>
                </c:spPr>
                <c:invertIfNegative val="0"/>
                <c:cat>
                  <c:strRef>
                    <c:extLst xmlns:c15="http://schemas.microsoft.com/office/drawing/2012/chart">
                      <c:ext xmlns:c15="http://schemas.microsoft.com/office/drawing/2012/chart" uri="{02D57815-91ED-43cb-92C2-25804820EDAC}">
                        <c15:formulaRef>
                          <c15:sqref>'Costuri per boală pe țară (mil '!$B$2:$T$2</c15:sqref>
                        </c15:formulaRef>
                      </c:ext>
                    </c:extLst>
                    <c:strCache>
                      <c:ptCount val="19"/>
                      <c:pt idx="0">
                        <c:v>Diabet zaharat</c:v>
                      </c:pt>
                      <c:pt idx="1">
                        <c:v>Fractura de șold</c:v>
                      </c:pt>
                      <c:pt idx="2">
                        <c:v>Artrita reumatoidă</c:v>
                      </c:pt>
                      <c:pt idx="3">
                        <c:v>Pneumonie</c:v>
                      </c:pt>
                      <c:pt idx="4">
                        <c:v>BPCO</c:v>
                      </c:pt>
                      <c:pt idx="5">
                        <c:v>BCI</c:v>
                      </c:pt>
                      <c:pt idx="6">
                        <c:v>AVC</c:v>
                      </c:pt>
                      <c:pt idx="7">
                        <c:v>Cancer oral</c:v>
                      </c:pt>
                      <c:pt idx="8">
                        <c:v>Cancer de esofag</c:v>
                      </c:pt>
                      <c:pt idx="9">
                        <c:v>Cancer de stomac</c:v>
                      </c:pt>
                      <c:pt idx="10">
                        <c:v>Cancer hepatic</c:v>
                      </c:pt>
                      <c:pt idx="11">
                        <c:v>Cancer de pancreas</c:v>
                      </c:pt>
                      <c:pt idx="12">
                        <c:v>Cancer de laringe</c:v>
                      </c:pt>
                      <c:pt idx="13">
                        <c:v>Cancer bronhopulmonar</c:v>
                      </c:pt>
                      <c:pt idx="14">
                        <c:v>Cancer de col uterin</c:v>
                      </c:pt>
                      <c:pt idx="15">
                        <c:v>Cancer rinichi</c:v>
                      </c:pt>
                      <c:pt idx="16">
                        <c:v>Cancer de vezică urinară</c:v>
                      </c:pt>
                      <c:pt idx="17">
                        <c:v>Leucemie</c:v>
                      </c:pt>
                      <c:pt idx="18">
                        <c:v>Cancer colorectal</c:v>
                      </c:pt>
                    </c:strCache>
                  </c:strRef>
                </c:cat>
                <c:val>
                  <c:numRef>
                    <c:extLst xmlns:c15="http://schemas.microsoft.com/office/drawing/2012/chart">
                      <c:ext xmlns:c15="http://schemas.microsoft.com/office/drawing/2012/chart" uri="{02D57815-91ED-43cb-92C2-25804820EDAC}">
                        <c15:formulaRef>
                          <c15:sqref>'Costuri per boală pe țară (mil '!$B$13:$T$13</c15:sqref>
                        </c15:formulaRef>
                      </c:ext>
                    </c:extLst>
                    <c:numCache>
                      <c:formatCode>General</c:formatCode>
                      <c:ptCount val="19"/>
                      <c:pt idx="0">
                        <c:v>417</c:v>
                      </c:pt>
                      <c:pt idx="3">
                        <c:v>99</c:v>
                      </c:pt>
                      <c:pt idx="4">
                        <c:v>411</c:v>
                      </c:pt>
                      <c:pt idx="5">
                        <c:v>473</c:v>
                      </c:pt>
                      <c:pt idx="6">
                        <c:v>165</c:v>
                      </c:pt>
                      <c:pt idx="7">
                        <c:v>20</c:v>
                      </c:pt>
                      <c:pt idx="8">
                        <c:v>3</c:v>
                      </c:pt>
                      <c:pt idx="9">
                        <c:v>24</c:v>
                      </c:pt>
                      <c:pt idx="10">
                        <c:v>5</c:v>
                      </c:pt>
                      <c:pt idx="11">
                        <c:v>7</c:v>
                      </c:pt>
                      <c:pt idx="12">
                        <c:v>20</c:v>
                      </c:pt>
                      <c:pt idx="13">
                        <c:v>44</c:v>
                      </c:pt>
                      <c:pt idx="14">
                        <c:v>58</c:v>
                      </c:pt>
                      <c:pt idx="15">
                        <c:v>51</c:v>
                      </c:pt>
                      <c:pt idx="16">
                        <c:v>75</c:v>
                      </c:pt>
                      <c:pt idx="17">
                        <c:v>8</c:v>
                      </c:pt>
                      <c:pt idx="18">
                        <c:v>161</c:v>
                      </c:pt>
                    </c:numCache>
                  </c:numRef>
                </c:val>
                <c:extLst xmlns:c15="http://schemas.microsoft.com/office/drawing/2012/chart">
                  <c:ext xmlns:c16="http://schemas.microsoft.com/office/drawing/2014/chart" uri="{C3380CC4-5D6E-409C-BE32-E72D297353CC}">
                    <c16:uniqueId val="{0000000C-733E-4B7C-B902-8D9E2D30C0E3}"/>
                  </c:ext>
                </c:extLst>
              </c15:ser>
            </c15:filteredBarSeries>
            <c15:filteredBarSeries>
              <c15:ser>
                <c:idx val="11"/>
                <c:order val="11"/>
                <c:tx>
                  <c:strRef>
                    <c:extLst xmlns:c15="http://schemas.microsoft.com/office/drawing/2012/chart">
                      <c:ext xmlns:c15="http://schemas.microsoft.com/office/drawing/2012/chart" uri="{02D57815-91ED-43cb-92C2-25804820EDAC}">
                        <c15:formulaRef>
                          <c15:sqref>'Costuri per boală pe țară (mil '!$A$14</c15:sqref>
                        </c15:formulaRef>
                      </c:ext>
                    </c:extLst>
                    <c:strCache>
                      <c:ptCount val="1"/>
                      <c:pt idx="0">
                        <c:v>Italia</c:v>
                      </c:pt>
                    </c:strCache>
                  </c:strRef>
                </c:tx>
                <c:spPr>
                  <a:solidFill>
                    <a:schemeClr val="accent6">
                      <a:lumMod val="60000"/>
                    </a:schemeClr>
                  </a:solidFill>
                  <a:ln>
                    <a:noFill/>
                  </a:ln>
                  <a:effectLst/>
                  <a:sp3d/>
                </c:spPr>
                <c:invertIfNegative val="0"/>
                <c:cat>
                  <c:strRef>
                    <c:extLst xmlns:c15="http://schemas.microsoft.com/office/drawing/2012/chart">
                      <c:ext xmlns:c15="http://schemas.microsoft.com/office/drawing/2012/chart" uri="{02D57815-91ED-43cb-92C2-25804820EDAC}">
                        <c15:formulaRef>
                          <c15:sqref>'Costuri per boală pe țară (mil '!$B$2:$T$2</c15:sqref>
                        </c15:formulaRef>
                      </c:ext>
                    </c:extLst>
                    <c:strCache>
                      <c:ptCount val="19"/>
                      <c:pt idx="0">
                        <c:v>Diabet zaharat</c:v>
                      </c:pt>
                      <c:pt idx="1">
                        <c:v>Fractura de șold</c:v>
                      </c:pt>
                      <c:pt idx="2">
                        <c:v>Artrita reumatoidă</c:v>
                      </c:pt>
                      <c:pt idx="3">
                        <c:v>Pneumonie</c:v>
                      </c:pt>
                      <c:pt idx="4">
                        <c:v>BPCO</c:v>
                      </c:pt>
                      <c:pt idx="5">
                        <c:v>BCI</c:v>
                      </c:pt>
                      <c:pt idx="6">
                        <c:v>AVC</c:v>
                      </c:pt>
                      <c:pt idx="7">
                        <c:v>Cancer oral</c:v>
                      </c:pt>
                      <c:pt idx="8">
                        <c:v>Cancer de esofag</c:v>
                      </c:pt>
                      <c:pt idx="9">
                        <c:v>Cancer de stomac</c:v>
                      </c:pt>
                      <c:pt idx="10">
                        <c:v>Cancer hepatic</c:v>
                      </c:pt>
                      <c:pt idx="11">
                        <c:v>Cancer de pancreas</c:v>
                      </c:pt>
                      <c:pt idx="12">
                        <c:v>Cancer de laringe</c:v>
                      </c:pt>
                      <c:pt idx="13">
                        <c:v>Cancer bronhopulmonar</c:v>
                      </c:pt>
                      <c:pt idx="14">
                        <c:v>Cancer de col uterin</c:v>
                      </c:pt>
                      <c:pt idx="15">
                        <c:v>Cancer rinichi</c:v>
                      </c:pt>
                      <c:pt idx="16">
                        <c:v>Cancer de vezică urinară</c:v>
                      </c:pt>
                      <c:pt idx="17">
                        <c:v>Leucemie</c:v>
                      </c:pt>
                      <c:pt idx="18">
                        <c:v>Cancer colorectal</c:v>
                      </c:pt>
                    </c:strCache>
                  </c:strRef>
                </c:cat>
                <c:val>
                  <c:numRef>
                    <c:extLst xmlns:c15="http://schemas.microsoft.com/office/drawing/2012/chart">
                      <c:ext xmlns:c15="http://schemas.microsoft.com/office/drawing/2012/chart" uri="{02D57815-91ED-43cb-92C2-25804820EDAC}">
                        <c15:formulaRef>
                          <c15:sqref>'Costuri per boală pe țară (mil '!$B$14:$T$14</c15:sqref>
                        </c15:formulaRef>
                      </c:ext>
                    </c:extLst>
                    <c:numCache>
                      <c:formatCode>General</c:formatCode>
                      <c:ptCount val="19"/>
                      <c:pt idx="0">
                        <c:v>22998</c:v>
                      </c:pt>
                      <c:pt idx="1">
                        <c:v>4955</c:v>
                      </c:pt>
                      <c:pt idx="2">
                        <c:v>6127</c:v>
                      </c:pt>
                      <c:pt idx="3">
                        <c:v>1701</c:v>
                      </c:pt>
                      <c:pt idx="4">
                        <c:v>7086</c:v>
                      </c:pt>
                      <c:pt idx="5">
                        <c:v>7584</c:v>
                      </c:pt>
                      <c:pt idx="6">
                        <c:v>6749</c:v>
                      </c:pt>
                      <c:pt idx="7">
                        <c:v>283</c:v>
                      </c:pt>
                      <c:pt idx="8">
                        <c:v>34</c:v>
                      </c:pt>
                      <c:pt idx="9">
                        <c:v>518</c:v>
                      </c:pt>
                      <c:pt idx="10">
                        <c:v>239</c:v>
                      </c:pt>
                      <c:pt idx="11">
                        <c:v>150</c:v>
                      </c:pt>
                      <c:pt idx="12">
                        <c:v>278</c:v>
                      </c:pt>
                      <c:pt idx="13">
                        <c:v>773</c:v>
                      </c:pt>
                      <c:pt idx="14">
                        <c:v>391</c:v>
                      </c:pt>
                      <c:pt idx="15">
                        <c:v>970</c:v>
                      </c:pt>
                      <c:pt idx="16">
                        <c:v>1888</c:v>
                      </c:pt>
                      <c:pt idx="17">
                        <c:v>226</c:v>
                      </c:pt>
                      <c:pt idx="18">
                        <c:v>3159</c:v>
                      </c:pt>
                    </c:numCache>
                  </c:numRef>
                </c:val>
                <c:extLst xmlns:c15="http://schemas.microsoft.com/office/drawing/2012/chart">
                  <c:ext xmlns:c16="http://schemas.microsoft.com/office/drawing/2014/chart" uri="{C3380CC4-5D6E-409C-BE32-E72D297353CC}">
                    <c16:uniqueId val="{0000000D-733E-4B7C-B902-8D9E2D30C0E3}"/>
                  </c:ext>
                </c:extLst>
              </c15:ser>
            </c15:filteredBarSeries>
            <c15:filteredBarSeries>
              <c15:ser>
                <c:idx val="12"/>
                <c:order val="12"/>
                <c:tx>
                  <c:strRef>
                    <c:extLst xmlns:c15="http://schemas.microsoft.com/office/drawing/2012/chart">
                      <c:ext xmlns:c15="http://schemas.microsoft.com/office/drawing/2012/chart" uri="{02D57815-91ED-43cb-92C2-25804820EDAC}">
                        <c15:formulaRef>
                          <c15:sqref>'Costuri per boală pe țară (mil '!$A$15</c15:sqref>
                        </c15:formulaRef>
                      </c:ext>
                    </c:extLst>
                    <c:strCache>
                      <c:ptCount val="1"/>
                      <c:pt idx="0">
                        <c:v>Cipru</c:v>
                      </c:pt>
                    </c:strCache>
                  </c:strRef>
                </c:tx>
                <c:spPr>
                  <a:solidFill>
                    <a:schemeClr val="accent1">
                      <a:lumMod val="80000"/>
                      <a:lumOff val="20000"/>
                    </a:schemeClr>
                  </a:solidFill>
                  <a:ln>
                    <a:noFill/>
                  </a:ln>
                  <a:effectLst/>
                  <a:sp3d/>
                </c:spPr>
                <c:invertIfNegative val="0"/>
                <c:cat>
                  <c:strRef>
                    <c:extLst xmlns:c15="http://schemas.microsoft.com/office/drawing/2012/chart">
                      <c:ext xmlns:c15="http://schemas.microsoft.com/office/drawing/2012/chart" uri="{02D57815-91ED-43cb-92C2-25804820EDAC}">
                        <c15:formulaRef>
                          <c15:sqref>'Costuri per boală pe țară (mil '!$B$2:$T$2</c15:sqref>
                        </c15:formulaRef>
                      </c:ext>
                    </c:extLst>
                    <c:strCache>
                      <c:ptCount val="19"/>
                      <c:pt idx="0">
                        <c:v>Diabet zaharat</c:v>
                      </c:pt>
                      <c:pt idx="1">
                        <c:v>Fractura de șold</c:v>
                      </c:pt>
                      <c:pt idx="2">
                        <c:v>Artrita reumatoidă</c:v>
                      </c:pt>
                      <c:pt idx="3">
                        <c:v>Pneumonie</c:v>
                      </c:pt>
                      <c:pt idx="4">
                        <c:v>BPCO</c:v>
                      </c:pt>
                      <c:pt idx="5">
                        <c:v>BCI</c:v>
                      </c:pt>
                      <c:pt idx="6">
                        <c:v>AVC</c:v>
                      </c:pt>
                      <c:pt idx="7">
                        <c:v>Cancer oral</c:v>
                      </c:pt>
                      <c:pt idx="8">
                        <c:v>Cancer de esofag</c:v>
                      </c:pt>
                      <c:pt idx="9">
                        <c:v>Cancer de stomac</c:v>
                      </c:pt>
                      <c:pt idx="10">
                        <c:v>Cancer hepatic</c:v>
                      </c:pt>
                      <c:pt idx="11">
                        <c:v>Cancer de pancreas</c:v>
                      </c:pt>
                      <c:pt idx="12">
                        <c:v>Cancer de laringe</c:v>
                      </c:pt>
                      <c:pt idx="13">
                        <c:v>Cancer bronhopulmonar</c:v>
                      </c:pt>
                      <c:pt idx="14">
                        <c:v>Cancer de col uterin</c:v>
                      </c:pt>
                      <c:pt idx="15">
                        <c:v>Cancer rinichi</c:v>
                      </c:pt>
                      <c:pt idx="16">
                        <c:v>Cancer de vezică urinară</c:v>
                      </c:pt>
                      <c:pt idx="17">
                        <c:v>Leucemie</c:v>
                      </c:pt>
                      <c:pt idx="18">
                        <c:v>Cancer colorectal</c:v>
                      </c:pt>
                    </c:strCache>
                  </c:strRef>
                </c:cat>
                <c:val>
                  <c:numRef>
                    <c:extLst xmlns:c15="http://schemas.microsoft.com/office/drawing/2012/chart">
                      <c:ext xmlns:c15="http://schemas.microsoft.com/office/drawing/2012/chart" uri="{02D57815-91ED-43cb-92C2-25804820EDAC}">
                        <c15:formulaRef>
                          <c15:sqref>'Costuri per boală pe țară (mil '!$B$15:$T$15</c15:sqref>
                        </c15:formulaRef>
                      </c:ext>
                    </c:extLst>
                    <c:numCache>
                      <c:formatCode>General</c:formatCode>
                      <c:ptCount val="19"/>
                      <c:pt idx="0">
                        <c:v>345</c:v>
                      </c:pt>
                      <c:pt idx="1">
                        <c:v>34</c:v>
                      </c:pt>
                      <c:pt idx="2">
                        <c:v>55</c:v>
                      </c:pt>
                      <c:pt idx="3">
                        <c:v>15</c:v>
                      </c:pt>
                      <c:pt idx="4">
                        <c:v>63</c:v>
                      </c:pt>
                      <c:pt idx="5">
                        <c:v>85</c:v>
                      </c:pt>
                      <c:pt idx="6">
                        <c:v>32</c:v>
                      </c:pt>
                      <c:pt idx="7">
                        <c:v>2</c:v>
                      </c:pt>
                      <c:pt idx="8">
                        <c:v>0</c:v>
                      </c:pt>
                      <c:pt idx="9">
                        <c:v>3</c:v>
                      </c:pt>
                      <c:pt idx="10">
                        <c:v>0</c:v>
                      </c:pt>
                      <c:pt idx="11">
                        <c:v>1</c:v>
                      </c:pt>
                      <c:pt idx="12">
                        <c:v>2</c:v>
                      </c:pt>
                      <c:pt idx="13">
                        <c:v>5</c:v>
                      </c:pt>
                      <c:pt idx="14">
                        <c:v>4</c:v>
                      </c:pt>
                      <c:pt idx="15">
                        <c:v>4</c:v>
                      </c:pt>
                      <c:pt idx="16">
                        <c:v>10</c:v>
                      </c:pt>
                      <c:pt idx="17">
                        <c:v>2</c:v>
                      </c:pt>
                      <c:pt idx="18">
                        <c:v>20</c:v>
                      </c:pt>
                    </c:numCache>
                  </c:numRef>
                </c:val>
                <c:extLst xmlns:c15="http://schemas.microsoft.com/office/drawing/2012/chart">
                  <c:ext xmlns:c16="http://schemas.microsoft.com/office/drawing/2014/chart" uri="{C3380CC4-5D6E-409C-BE32-E72D297353CC}">
                    <c16:uniqueId val="{0000000E-733E-4B7C-B902-8D9E2D30C0E3}"/>
                  </c:ext>
                </c:extLst>
              </c15:ser>
            </c15:filteredBarSeries>
            <c15:filteredBarSeries>
              <c15:ser>
                <c:idx val="13"/>
                <c:order val="13"/>
                <c:tx>
                  <c:strRef>
                    <c:extLst xmlns:c15="http://schemas.microsoft.com/office/drawing/2012/chart">
                      <c:ext xmlns:c15="http://schemas.microsoft.com/office/drawing/2012/chart" uri="{02D57815-91ED-43cb-92C2-25804820EDAC}">
                        <c15:formulaRef>
                          <c15:sqref>'Costuri per boală pe țară (mil '!$A$16</c15:sqref>
                        </c15:formulaRef>
                      </c:ext>
                    </c:extLst>
                    <c:strCache>
                      <c:ptCount val="1"/>
                      <c:pt idx="0">
                        <c:v>Letonia</c:v>
                      </c:pt>
                    </c:strCache>
                  </c:strRef>
                </c:tx>
                <c:spPr>
                  <a:solidFill>
                    <a:schemeClr val="accent2">
                      <a:lumMod val="80000"/>
                      <a:lumOff val="20000"/>
                    </a:schemeClr>
                  </a:solidFill>
                  <a:ln>
                    <a:noFill/>
                  </a:ln>
                  <a:effectLst/>
                  <a:sp3d/>
                </c:spPr>
                <c:invertIfNegative val="0"/>
                <c:cat>
                  <c:strRef>
                    <c:extLst xmlns:c15="http://schemas.microsoft.com/office/drawing/2012/chart">
                      <c:ext xmlns:c15="http://schemas.microsoft.com/office/drawing/2012/chart" uri="{02D57815-91ED-43cb-92C2-25804820EDAC}">
                        <c15:formulaRef>
                          <c15:sqref>'Costuri per boală pe țară (mil '!$B$2:$T$2</c15:sqref>
                        </c15:formulaRef>
                      </c:ext>
                    </c:extLst>
                    <c:strCache>
                      <c:ptCount val="19"/>
                      <c:pt idx="0">
                        <c:v>Diabet zaharat</c:v>
                      </c:pt>
                      <c:pt idx="1">
                        <c:v>Fractura de șold</c:v>
                      </c:pt>
                      <c:pt idx="2">
                        <c:v>Artrita reumatoidă</c:v>
                      </c:pt>
                      <c:pt idx="3">
                        <c:v>Pneumonie</c:v>
                      </c:pt>
                      <c:pt idx="4">
                        <c:v>BPCO</c:v>
                      </c:pt>
                      <c:pt idx="5">
                        <c:v>BCI</c:v>
                      </c:pt>
                      <c:pt idx="6">
                        <c:v>AVC</c:v>
                      </c:pt>
                      <c:pt idx="7">
                        <c:v>Cancer oral</c:v>
                      </c:pt>
                      <c:pt idx="8">
                        <c:v>Cancer de esofag</c:v>
                      </c:pt>
                      <c:pt idx="9">
                        <c:v>Cancer de stomac</c:v>
                      </c:pt>
                      <c:pt idx="10">
                        <c:v>Cancer hepatic</c:v>
                      </c:pt>
                      <c:pt idx="11">
                        <c:v>Cancer de pancreas</c:v>
                      </c:pt>
                      <c:pt idx="12">
                        <c:v>Cancer de laringe</c:v>
                      </c:pt>
                      <c:pt idx="13">
                        <c:v>Cancer bronhopulmonar</c:v>
                      </c:pt>
                      <c:pt idx="14">
                        <c:v>Cancer de col uterin</c:v>
                      </c:pt>
                      <c:pt idx="15">
                        <c:v>Cancer rinichi</c:v>
                      </c:pt>
                      <c:pt idx="16">
                        <c:v>Cancer de vezică urinară</c:v>
                      </c:pt>
                      <c:pt idx="17">
                        <c:v>Leucemie</c:v>
                      </c:pt>
                      <c:pt idx="18">
                        <c:v>Cancer colorectal</c:v>
                      </c:pt>
                    </c:strCache>
                  </c:strRef>
                </c:cat>
                <c:val>
                  <c:numRef>
                    <c:extLst xmlns:c15="http://schemas.microsoft.com/office/drawing/2012/chart">
                      <c:ext xmlns:c15="http://schemas.microsoft.com/office/drawing/2012/chart" uri="{02D57815-91ED-43cb-92C2-25804820EDAC}">
                        <c15:formulaRef>
                          <c15:sqref>'Costuri per boală pe țară (mil '!$B$16:$T$16</c15:sqref>
                        </c15:formulaRef>
                      </c:ext>
                    </c:extLst>
                    <c:numCache>
                      <c:formatCode>General</c:formatCode>
                      <c:ptCount val="19"/>
                      <c:pt idx="0">
                        <c:v>270</c:v>
                      </c:pt>
                      <c:pt idx="1">
                        <c:v>31</c:v>
                      </c:pt>
                      <c:pt idx="2">
                        <c:v>123</c:v>
                      </c:pt>
                      <c:pt idx="3">
                        <c:v>22</c:v>
                      </c:pt>
                      <c:pt idx="4">
                        <c:v>92</c:v>
                      </c:pt>
                      <c:pt idx="5">
                        <c:v>170</c:v>
                      </c:pt>
                      <c:pt idx="6">
                        <c:v>102</c:v>
                      </c:pt>
                      <c:pt idx="7">
                        <c:v>4</c:v>
                      </c:pt>
                      <c:pt idx="8">
                        <c:v>1</c:v>
                      </c:pt>
                      <c:pt idx="9">
                        <c:v>11</c:v>
                      </c:pt>
                      <c:pt idx="10">
                        <c:v>1</c:v>
                      </c:pt>
                      <c:pt idx="11">
                        <c:v>2</c:v>
                      </c:pt>
                      <c:pt idx="12">
                        <c:v>4</c:v>
                      </c:pt>
                      <c:pt idx="13">
                        <c:v>15</c:v>
                      </c:pt>
                      <c:pt idx="14">
                        <c:v>21</c:v>
                      </c:pt>
                      <c:pt idx="15">
                        <c:v>25</c:v>
                      </c:pt>
                      <c:pt idx="16">
                        <c:v>18</c:v>
                      </c:pt>
                      <c:pt idx="17">
                        <c:v>7</c:v>
                      </c:pt>
                      <c:pt idx="18">
                        <c:v>37</c:v>
                      </c:pt>
                    </c:numCache>
                  </c:numRef>
                </c:val>
                <c:extLst xmlns:c15="http://schemas.microsoft.com/office/drawing/2012/chart">
                  <c:ext xmlns:c16="http://schemas.microsoft.com/office/drawing/2014/chart" uri="{C3380CC4-5D6E-409C-BE32-E72D297353CC}">
                    <c16:uniqueId val="{0000000F-733E-4B7C-B902-8D9E2D30C0E3}"/>
                  </c:ext>
                </c:extLst>
              </c15:ser>
            </c15:filteredBarSeries>
            <c15:filteredBarSeries>
              <c15:ser>
                <c:idx val="14"/>
                <c:order val="14"/>
                <c:tx>
                  <c:strRef>
                    <c:extLst xmlns:c15="http://schemas.microsoft.com/office/drawing/2012/chart">
                      <c:ext xmlns:c15="http://schemas.microsoft.com/office/drawing/2012/chart" uri="{02D57815-91ED-43cb-92C2-25804820EDAC}">
                        <c15:formulaRef>
                          <c15:sqref>'Costuri per boală pe țară (mil '!$A$17</c15:sqref>
                        </c15:formulaRef>
                      </c:ext>
                    </c:extLst>
                    <c:strCache>
                      <c:ptCount val="1"/>
                      <c:pt idx="0">
                        <c:v>Lituania</c:v>
                      </c:pt>
                    </c:strCache>
                  </c:strRef>
                </c:tx>
                <c:spPr>
                  <a:solidFill>
                    <a:schemeClr val="accent3">
                      <a:lumMod val="80000"/>
                      <a:lumOff val="20000"/>
                    </a:schemeClr>
                  </a:solidFill>
                  <a:ln>
                    <a:noFill/>
                  </a:ln>
                  <a:effectLst/>
                  <a:sp3d/>
                </c:spPr>
                <c:invertIfNegative val="0"/>
                <c:cat>
                  <c:strRef>
                    <c:extLst xmlns:c15="http://schemas.microsoft.com/office/drawing/2012/chart">
                      <c:ext xmlns:c15="http://schemas.microsoft.com/office/drawing/2012/chart" uri="{02D57815-91ED-43cb-92C2-25804820EDAC}">
                        <c15:formulaRef>
                          <c15:sqref>'Costuri per boală pe țară (mil '!$B$2:$T$2</c15:sqref>
                        </c15:formulaRef>
                      </c:ext>
                    </c:extLst>
                    <c:strCache>
                      <c:ptCount val="19"/>
                      <c:pt idx="0">
                        <c:v>Diabet zaharat</c:v>
                      </c:pt>
                      <c:pt idx="1">
                        <c:v>Fractura de șold</c:v>
                      </c:pt>
                      <c:pt idx="2">
                        <c:v>Artrita reumatoidă</c:v>
                      </c:pt>
                      <c:pt idx="3">
                        <c:v>Pneumonie</c:v>
                      </c:pt>
                      <c:pt idx="4">
                        <c:v>BPCO</c:v>
                      </c:pt>
                      <c:pt idx="5">
                        <c:v>BCI</c:v>
                      </c:pt>
                      <c:pt idx="6">
                        <c:v>AVC</c:v>
                      </c:pt>
                      <c:pt idx="7">
                        <c:v>Cancer oral</c:v>
                      </c:pt>
                      <c:pt idx="8">
                        <c:v>Cancer de esofag</c:v>
                      </c:pt>
                      <c:pt idx="9">
                        <c:v>Cancer de stomac</c:v>
                      </c:pt>
                      <c:pt idx="10">
                        <c:v>Cancer hepatic</c:v>
                      </c:pt>
                      <c:pt idx="11">
                        <c:v>Cancer de pancreas</c:v>
                      </c:pt>
                      <c:pt idx="12">
                        <c:v>Cancer de laringe</c:v>
                      </c:pt>
                      <c:pt idx="13">
                        <c:v>Cancer bronhopulmonar</c:v>
                      </c:pt>
                      <c:pt idx="14">
                        <c:v>Cancer de col uterin</c:v>
                      </c:pt>
                      <c:pt idx="15">
                        <c:v>Cancer rinichi</c:v>
                      </c:pt>
                      <c:pt idx="16">
                        <c:v>Cancer de vezică urinară</c:v>
                      </c:pt>
                      <c:pt idx="17">
                        <c:v>Leucemie</c:v>
                      </c:pt>
                      <c:pt idx="18">
                        <c:v>Cancer colorectal</c:v>
                      </c:pt>
                    </c:strCache>
                  </c:strRef>
                </c:cat>
                <c:val>
                  <c:numRef>
                    <c:extLst xmlns:c15="http://schemas.microsoft.com/office/drawing/2012/chart">
                      <c:ext xmlns:c15="http://schemas.microsoft.com/office/drawing/2012/chart" uri="{02D57815-91ED-43cb-92C2-25804820EDAC}">
                        <c15:formulaRef>
                          <c15:sqref>'Costuri per boală pe țară (mil '!$B$17:$T$17</c15:sqref>
                        </c15:formulaRef>
                      </c:ext>
                    </c:extLst>
                    <c:numCache>
                      <c:formatCode>General</c:formatCode>
                      <c:ptCount val="19"/>
                      <c:pt idx="0">
                        <c:v>443</c:v>
                      </c:pt>
                      <c:pt idx="1">
                        <c:v>41</c:v>
                      </c:pt>
                      <c:pt idx="2">
                        <c:v>197</c:v>
                      </c:pt>
                      <c:pt idx="3">
                        <c:v>40</c:v>
                      </c:pt>
                      <c:pt idx="4">
                        <c:v>167</c:v>
                      </c:pt>
                      <c:pt idx="5">
                        <c:v>241</c:v>
                      </c:pt>
                      <c:pt idx="6">
                        <c:v>141</c:v>
                      </c:pt>
                      <c:pt idx="7">
                        <c:v>5</c:v>
                      </c:pt>
                      <c:pt idx="8">
                        <c:v>1</c:v>
                      </c:pt>
                      <c:pt idx="9">
                        <c:v>17</c:v>
                      </c:pt>
                      <c:pt idx="10">
                        <c:v>1</c:v>
                      </c:pt>
                      <c:pt idx="11">
                        <c:v>3</c:v>
                      </c:pt>
                      <c:pt idx="12">
                        <c:v>6</c:v>
                      </c:pt>
                      <c:pt idx="13">
                        <c:v>10</c:v>
                      </c:pt>
                      <c:pt idx="14">
                        <c:v>41</c:v>
                      </c:pt>
                      <c:pt idx="15">
                        <c:v>34</c:v>
                      </c:pt>
                      <c:pt idx="16">
                        <c:v>21</c:v>
                      </c:pt>
                      <c:pt idx="17">
                        <c:v>9</c:v>
                      </c:pt>
                      <c:pt idx="18">
                        <c:v>54</c:v>
                      </c:pt>
                    </c:numCache>
                  </c:numRef>
                </c:val>
                <c:extLst xmlns:c15="http://schemas.microsoft.com/office/drawing/2012/chart">
                  <c:ext xmlns:c16="http://schemas.microsoft.com/office/drawing/2014/chart" uri="{C3380CC4-5D6E-409C-BE32-E72D297353CC}">
                    <c16:uniqueId val="{00000010-733E-4B7C-B902-8D9E2D30C0E3}"/>
                  </c:ext>
                </c:extLst>
              </c15:ser>
            </c15:filteredBarSeries>
            <c15:filteredBarSeries>
              <c15:ser>
                <c:idx val="15"/>
                <c:order val="15"/>
                <c:tx>
                  <c:strRef>
                    <c:extLst xmlns:c15="http://schemas.microsoft.com/office/drawing/2012/chart">
                      <c:ext xmlns:c15="http://schemas.microsoft.com/office/drawing/2012/chart" uri="{02D57815-91ED-43cb-92C2-25804820EDAC}">
                        <c15:formulaRef>
                          <c15:sqref>'Costuri per boală pe țară (mil '!$A$18</c15:sqref>
                        </c15:formulaRef>
                      </c:ext>
                    </c:extLst>
                    <c:strCache>
                      <c:ptCount val="1"/>
                      <c:pt idx="0">
                        <c:v>Luxemburg</c:v>
                      </c:pt>
                    </c:strCache>
                  </c:strRef>
                </c:tx>
                <c:spPr>
                  <a:solidFill>
                    <a:schemeClr val="accent4">
                      <a:lumMod val="80000"/>
                      <a:lumOff val="20000"/>
                    </a:schemeClr>
                  </a:solidFill>
                  <a:ln>
                    <a:noFill/>
                  </a:ln>
                  <a:effectLst/>
                  <a:sp3d/>
                </c:spPr>
                <c:invertIfNegative val="0"/>
                <c:cat>
                  <c:strRef>
                    <c:extLst xmlns:c15="http://schemas.microsoft.com/office/drawing/2012/chart">
                      <c:ext xmlns:c15="http://schemas.microsoft.com/office/drawing/2012/chart" uri="{02D57815-91ED-43cb-92C2-25804820EDAC}">
                        <c15:formulaRef>
                          <c15:sqref>'Costuri per boală pe țară (mil '!$B$2:$T$2</c15:sqref>
                        </c15:formulaRef>
                      </c:ext>
                    </c:extLst>
                    <c:strCache>
                      <c:ptCount val="19"/>
                      <c:pt idx="0">
                        <c:v>Diabet zaharat</c:v>
                      </c:pt>
                      <c:pt idx="1">
                        <c:v>Fractura de șold</c:v>
                      </c:pt>
                      <c:pt idx="2">
                        <c:v>Artrita reumatoidă</c:v>
                      </c:pt>
                      <c:pt idx="3">
                        <c:v>Pneumonie</c:v>
                      </c:pt>
                      <c:pt idx="4">
                        <c:v>BPCO</c:v>
                      </c:pt>
                      <c:pt idx="5">
                        <c:v>BCI</c:v>
                      </c:pt>
                      <c:pt idx="6">
                        <c:v>AVC</c:v>
                      </c:pt>
                      <c:pt idx="7">
                        <c:v>Cancer oral</c:v>
                      </c:pt>
                      <c:pt idx="8">
                        <c:v>Cancer de esofag</c:v>
                      </c:pt>
                      <c:pt idx="9">
                        <c:v>Cancer de stomac</c:v>
                      </c:pt>
                      <c:pt idx="10">
                        <c:v>Cancer hepatic</c:v>
                      </c:pt>
                      <c:pt idx="11">
                        <c:v>Cancer de pancreas</c:v>
                      </c:pt>
                      <c:pt idx="12">
                        <c:v>Cancer de laringe</c:v>
                      </c:pt>
                      <c:pt idx="13">
                        <c:v>Cancer bronhopulmonar</c:v>
                      </c:pt>
                      <c:pt idx="14">
                        <c:v>Cancer de col uterin</c:v>
                      </c:pt>
                      <c:pt idx="15">
                        <c:v>Cancer rinichi</c:v>
                      </c:pt>
                      <c:pt idx="16">
                        <c:v>Cancer de vezică urinară</c:v>
                      </c:pt>
                      <c:pt idx="17">
                        <c:v>Leucemie</c:v>
                      </c:pt>
                      <c:pt idx="18">
                        <c:v>Cancer colorectal</c:v>
                      </c:pt>
                    </c:strCache>
                  </c:strRef>
                </c:cat>
                <c:val>
                  <c:numRef>
                    <c:extLst xmlns:c15="http://schemas.microsoft.com/office/drawing/2012/chart">
                      <c:ext xmlns:c15="http://schemas.microsoft.com/office/drawing/2012/chart" uri="{02D57815-91ED-43cb-92C2-25804820EDAC}">
                        <c15:formulaRef>
                          <c15:sqref>'Costuri per boală pe țară (mil '!$B$18:$T$18</c15:sqref>
                        </c15:formulaRef>
                      </c:ext>
                    </c:extLst>
                    <c:numCache>
                      <c:formatCode>General</c:formatCode>
                      <c:ptCount val="19"/>
                      <c:pt idx="0">
                        <c:v>431</c:v>
                      </c:pt>
                      <c:pt idx="1">
                        <c:v>16</c:v>
                      </c:pt>
                      <c:pt idx="2">
                        <c:v>90</c:v>
                      </c:pt>
                      <c:pt idx="3">
                        <c:v>26</c:v>
                      </c:pt>
                      <c:pt idx="4">
                        <c:v>107</c:v>
                      </c:pt>
                      <c:pt idx="5">
                        <c:v>70</c:v>
                      </c:pt>
                      <c:pt idx="6">
                        <c:v>45</c:v>
                      </c:pt>
                      <c:pt idx="7">
                        <c:v>10</c:v>
                      </c:pt>
                      <c:pt idx="8">
                        <c:v>2</c:v>
                      </c:pt>
                      <c:pt idx="9">
                        <c:v>6</c:v>
                      </c:pt>
                      <c:pt idx="10">
                        <c:v>3</c:v>
                      </c:pt>
                      <c:pt idx="11">
                        <c:v>3</c:v>
                      </c:pt>
                      <c:pt idx="12">
                        <c:v>3</c:v>
                      </c:pt>
                      <c:pt idx="13">
                        <c:v>16</c:v>
                      </c:pt>
                      <c:pt idx="14">
                        <c:v>11</c:v>
                      </c:pt>
                      <c:pt idx="15">
                        <c:v>18</c:v>
                      </c:pt>
                      <c:pt idx="16">
                        <c:v>20</c:v>
                      </c:pt>
                      <c:pt idx="17">
                        <c:v>6</c:v>
                      </c:pt>
                      <c:pt idx="18">
                        <c:v>47</c:v>
                      </c:pt>
                    </c:numCache>
                  </c:numRef>
                </c:val>
                <c:extLst xmlns:c15="http://schemas.microsoft.com/office/drawing/2012/chart">
                  <c:ext xmlns:c16="http://schemas.microsoft.com/office/drawing/2014/chart" uri="{C3380CC4-5D6E-409C-BE32-E72D297353CC}">
                    <c16:uniqueId val="{00000011-733E-4B7C-B902-8D9E2D30C0E3}"/>
                  </c:ext>
                </c:extLst>
              </c15:ser>
            </c15:filteredBarSeries>
            <c15:filteredBarSeries>
              <c15:ser>
                <c:idx val="16"/>
                <c:order val="16"/>
                <c:tx>
                  <c:strRef>
                    <c:extLst xmlns:c15="http://schemas.microsoft.com/office/drawing/2012/chart">
                      <c:ext xmlns:c15="http://schemas.microsoft.com/office/drawing/2012/chart" uri="{02D57815-91ED-43cb-92C2-25804820EDAC}">
                        <c15:formulaRef>
                          <c15:sqref>'Costuri per boală pe țară (mil '!$A$19</c15:sqref>
                        </c15:formulaRef>
                      </c:ext>
                    </c:extLst>
                    <c:strCache>
                      <c:ptCount val="1"/>
                      <c:pt idx="0">
                        <c:v>Ungaria</c:v>
                      </c:pt>
                    </c:strCache>
                  </c:strRef>
                </c:tx>
                <c:spPr>
                  <a:solidFill>
                    <a:schemeClr val="accent5">
                      <a:lumMod val="80000"/>
                      <a:lumOff val="20000"/>
                    </a:schemeClr>
                  </a:solidFill>
                  <a:ln>
                    <a:noFill/>
                  </a:ln>
                  <a:effectLst/>
                  <a:sp3d/>
                </c:spPr>
                <c:invertIfNegative val="0"/>
                <c:cat>
                  <c:strRef>
                    <c:extLst xmlns:c15="http://schemas.microsoft.com/office/drawing/2012/chart">
                      <c:ext xmlns:c15="http://schemas.microsoft.com/office/drawing/2012/chart" uri="{02D57815-91ED-43cb-92C2-25804820EDAC}">
                        <c15:formulaRef>
                          <c15:sqref>'Costuri per boală pe țară (mil '!$B$2:$T$2</c15:sqref>
                        </c15:formulaRef>
                      </c:ext>
                    </c:extLst>
                    <c:strCache>
                      <c:ptCount val="19"/>
                      <c:pt idx="0">
                        <c:v>Diabet zaharat</c:v>
                      </c:pt>
                      <c:pt idx="1">
                        <c:v>Fractura de șold</c:v>
                      </c:pt>
                      <c:pt idx="2">
                        <c:v>Artrita reumatoidă</c:v>
                      </c:pt>
                      <c:pt idx="3">
                        <c:v>Pneumonie</c:v>
                      </c:pt>
                      <c:pt idx="4">
                        <c:v>BPCO</c:v>
                      </c:pt>
                      <c:pt idx="5">
                        <c:v>BCI</c:v>
                      </c:pt>
                      <c:pt idx="6">
                        <c:v>AVC</c:v>
                      </c:pt>
                      <c:pt idx="7">
                        <c:v>Cancer oral</c:v>
                      </c:pt>
                      <c:pt idx="8">
                        <c:v>Cancer de esofag</c:v>
                      </c:pt>
                      <c:pt idx="9">
                        <c:v>Cancer de stomac</c:v>
                      </c:pt>
                      <c:pt idx="10">
                        <c:v>Cancer hepatic</c:v>
                      </c:pt>
                      <c:pt idx="11">
                        <c:v>Cancer de pancreas</c:v>
                      </c:pt>
                      <c:pt idx="12">
                        <c:v>Cancer de laringe</c:v>
                      </c:pt>
                      <c:pt idx="13">
                        <c:v>Cancer bronhopulmonar</c:v>
                      </c:pt>
                      <c:pt idx="14">
                        <c:v>Cancer de col uterin</c:v>
                      </c:pt>
                      <c:pt idx="15">
                        <c:v>Cancer rinichi</c:v>
                      </c:pt>
                      <c:pt idx="16">
                        <c:v>Cancer de vezică urinară</c:v>
                      </c:pt>
                      <c:pt idx="17">
                        <c:v>Leucemie</c:v>
                      </c:pt>
                      <c:pt idx="18">
                        <c:v>Cancer colorectal</c:v>
                      </c:pt>
                    </c:strCache>
                  </c:strRef>
                </c:cat>
                <c:val>
                  <c:numRef>
                    <c:extLst xmlns:c15="http://schemas.microsoft.com/office/drawing/2012/chart">
                      <c:ext xmlns:c15="http://schemas.microsoft.com/office/drawing/2012/chart" uri="{02D57815-91ED-43cb-92C2-25804820EDAC}">
                        <c15:formulaRef>
                          <c15:sqref>'Costuri per boală pe țară (mil '!$B$19:$T$19</c15:sqref>
                        </c15:formulaRef>
                      </c:ext>
                    </c:extLst>
                    <c:numCache>
                      <c:formatCode>General</c:formatCode>
                      <c:ptCount val="19"/>
                      <c:pt idx="0">
                        <c:v>1789</c:v>
                      </c:pt>
                      <c:pt idx="1">
                        <c:v>185</c:v>
                      </c:pt>
                      <c:pt idx="2">
                        <c:v>817</c:v>
                      </c:pt>
                      <c:pt idx="3">
                        <c:v>168</c:v>
                      </c:pt>
                      <c:pt idx="4">
                        <c:v>710</c:v>
                      </c:pt>
                      <c:pt idx="5">
                        <c:v>771</c:v>
                      </c:pt>
                      <c:pt idx="6">
                        <c:v>613</c:v>
                      </c:pt>
                      <c:pt idx="7">
                        <c:v>30</c:v>
                      </c:pt>
                      <c:pt idx="8">
                        <c:v>5</c:v>
                      </c:pt>
                      <c:pt idx="9">
                        <c:v>39</c:v>
                      </c:pt>
                      <c:pt idx="10">
                        <c:v>6</c:v>
                      </c:pt>
                      <c:pt idx="11">
                        <c:v>11</c:v>
                      </c:pt>
                      <c:pt idx="12">
                        <c:v>27</c:v>
                      </c:pt>
                      <c:pt idx="13">
                        <c:v>81</c:v>
                      </c:pt>
                      <c:pt idx="14">
                        <c:v>122</c:v>
                      </c:pt>
                      <c:pt idx="15">
                        <c:v>105</c:v>
                      </c:pt>
                      <c:pt idx="16">
                        <c:v>110</c:v>
                      </c:pt>
                      <c:pt idx="17">
                        <c:v>21</c:v>
                      </c:pt>
                      <c:pt idx="18">
                        <c:v>262</c:v>
                      </c:pt>
                    </c:numCache>
                  </c:numRef>
                </c:val>
                <c:extLst xmlns:c15="http://schemas.microsoft.com/office/drawing/2012/chart">
                  <c:ext xmlns:c16="http://schemas.microsoft.com/office/drawing/2014/chart" uri="{C3380CC4-5D6E-409C-BE32-E72D297353CC}">
                    <c16:uniqueId val="{00000012-733E-4B7C-B902-8D9E2D30C0E3}"/>
                  </c:ext>
                </c:extLst>
              </c15:ser>
            </c15:filteredBarSeries>
            <c15:filteredBarSeries>
              <c15:ser>
                <c:idx val="17"/>
                <c:order val="17"/>
                <c:tx>
                  <c:strRef>
                    <c:extLst xmlns:c15="http://schemas.microsoft.com/office/drawing/2012/chart">
                      <c:ext xmlns:c15="http://schemas.microsoft.com/office/drawing/2012/chart" uri="{02D57815-91ED-43cb-92C2-25804820EDAC}">
                        <c15:formulaRef>
                          <c15:sqref>'Costuri per boală pe țară (mil '!$A$20</c15:sqref>
                        </c15:formulaRef>
                      </c:ext>
                    </c:extLst>
                    <c:strCache>
                      <c:ptCount val="1"/>
                      <c:pt idx="0">
                        <c:v>Malta</c:v>
                      </c:pt>
                    </c:strCache>
                  </c:strRef>
                </c:tx>
                <c:spPr>
                  <a:solidFill>
                    <a:schemeClr val="accent6">
                      <a:lumMod val="80000"/>
                      <a:lumOff val="20000"/>
                    </a:schemeClr>
                  </a:solidFill>
                  <a:ln>
                    <a:noFill/>
                  </a:ln>
                  <a:effectLst/>
                  <a:sp3d/>
                </c:spPr>
                <c:invertIfNegative val="0"/>
                <c:cat>
                  <c:strRef>
                    <c:extLst xmlns:c15="http://schemas.microsoft.com/office/drawing/2012/chart">
                      <c:ext xmlns:c15="http://schemas.microsoft.com/office/drawing/2012/chart" uri="{02D57815-91ED-43cb-92C2-25804820EDAC}">
                        <c15:formulaRef>
                          <c15:sqref>'Costuri per boală pe țară (mil '!$B$2:$T$2</c15:sqref>
                        </c15:formulaRef>
                      </c:ext>
                    </c:extLst>
                    <c:strCache>
                      <c:ptCount val="19"/>
                      <c:pt idx="0">
                        <c:v>Diabet zaharat</c:v>
                      </c:pt>
                      <c:pt idx="1">
                        <c:v>Fractura de șold</c:v>
                      </c:pt>
                      <c:pt idx="2">
                        <c:v>Artrita reumatoidă</c:v>
                      </c:pt>
                      <c:pt idx="3">
                        <c:v>Pneumonie</c:v>
                      </c:pt>
                      <c:pt idx="4">
                        <c:v>BPCO</c:v>
                      </c:pt>
                      <c:pt idx="5">
                        <c:v>BCI</c:v>
                      </c:pt>
                      <c:pt idx="6">
                        <c:v>AVC</c:v>
                      </c:pt>
                      <c:pt idx="7">
                        <c:v>Cancer oral</c:v>
                      </c:pt>
                      <c:pt idx="8">
                        <c:v>Cancer de esofag</c:v>
                      </c:pt>
                      <c:pt idx="9">
                        <c:v>Cancer de stomac</c:v>
                      </c:pt>
                      <c:pt idx="10">
                        <c:v>Cancer hepatic</c:v>
                      </c:pt>
                      <c:pt idx="11">
                        <c:v>Cancer de pancreas</c:v>
                      </c:pt>
                      <c:pt idx="12">
                        <c:v>Cancer de laringe</c:v>
                      </c:pt>
                      <c:pt idx="13">
                        <c:v>Cancer bronhopulmonar</c:v>
                      </c:pt>
                      <c:pt idx="14">
                        <c:v>Cancer de col uterin</c:v>
                      </c:pt>
                      <c:pt idx="15">
                        <c:v>Cancer rinichi</c:v>
                      </c:pt>
                      <c:pt idx="16">
                        <c:v>Cancer de vezică urinară</c:v>
                      </c:pt>
                      <c:pt idx="17">
                        <c:v>Leucemie</c:v>
                      </c:pt>
                      <c:pt idx="18">
                        <c:v>Cancer colorectal</c:v>
                      </c:pt>
                    </c:strCache>
                  </c:strRef>
                </c:cat>
                <c:val>
                  <c:numRef>
                    <c:extLst xmlns:c15="http://schemas.microsoft.com/office/drawing/2012/chart">
                      <c:ext xmlns:c15="http://schemas.microsoft.com/office/drawing/2012/chart" uri="{02D57815-91ED-43cb-92C2-25804820EDAC}">
                        <c15:formulaRef>
                          <c15:sqref>'Costuri per boală pe țară (mil '!$B$20:$T$20</c15:sqref>
                        </c15:formulaRef>
                      </c:ext>
                    </c:extLst>
                    <c:numCache>
                      <c:formatCode>General</c:formatCode>
                      <c:ptCount val="19"/>
                      <c:pt idx="0">
                        <c:v>164</c:v>
                      </c:pt>
                      <c:pt idx="1">
                        <c:v>12</c:v>
                      </c:pt>
                      <c:pt idx="2">
                        <c:v>23</c:v>
                      </c:pt>
                      <c:pt idx="3">
                        <c:v>9</c:v>
                      </c:pt>
                      <c:pt idx="4">
                        <c:v>37</c:v>
                      </c:pt>
                      <c:pt idx="5">
                        <c:v>37</c:v>
                      </c:pt>
                      <c:pt idx="6">
                        <c:v>23</c:v>
                      </c:pt>
                      <c:pt idx="7">
                        <c:v>2</c:v>
                      </c:pt>
                      <c:pt idx="8">
                        <c:v>0</c:v>
                      </c:pt>
                      <c:pt idx="9">
                        <c:v>1</c:v>
                      </c:pt>
                      <c:pt idx="10">
                        <c:v>0</c:v>
                      </c:pt>
                      <c:pt idx="11">
                        <c:v>1</c:v>
                      </c:pt>
                      <c:pt idx="12">
                        <c:v>2</c:v>
                      </c:pt>
                      <c:pt idx="13">
                        <c:v>5</c:v>
                      </c:pt>
                      <c:pt idx="14">
                        <c:v>1</c:v>
                      </c:pt>
                      <c:pt idx="15">
                        <c:v>5</c:v>
                      </c:pt>
                      <c:pt idx="16">
                        <c:v>10</c:v>
                      </c:pt>
                      <c:pt idx="17">
                        <c:v>0</c:v>
                      </c:pt>
                      <c:pt idx="18">
                        <c:v>14</c:v>
                      </c:pt>
                    </c:numCache>
                  </c:numRef>
                </c:val>
                <c:extLst xmlns:c15="http://schemas.microsoft.com/office/drawing/2012/chart">
                  <c:ext xmlns:c16="http://schemas.microsoft.com/office/drawing/2014/chart" uri="{C3380CC4-5D6E-409C-BE32-E72D297353CC}">
                    <c16:uniqueId val="{00000013-733E-4B7C-B902-8D9E2D30C0E3}"/>
                  </c:ext>
                </c:extLst>
              </c15:ser>
            </c15:filteredBarSeries>
            <c15:filteredBarSeries>
              <c15:ser>
                <c:idx val="18"/>
                <c:order val="18"/>
                <c:tx>
                  <c:strRef>
                    <c:extLst xmlns:c15="http://schemas.microsoft.com/office/drawing/2012/chart">
                      <c:ext xmlns:c15="http://schemas.microsoft.com/office/drawing/2012/chart" uri="{02D57815-91ED-43cb-92C2-25804820EDAC}">
                        <c15:formulaRef>
                          <c15:sqref>'Costuri per boală pe țară (mil '!$A$21</c15:sqref>
                        </c15:formulaRef>
                      </c:ext>
                    </c:extLst>
                    <c:strCache>
                      <c:ptCount val="1"/>
                      <c:pt idx="0">
                        <c:v>Țările de Jos</c:v>
                      </c:pt>
                    </c:strCache>
                  </c:strRef>
                </c:tx>
                <c:spPr>
                  <a:solidFill>
                    <a:schemeClr val="accent1">
                      <a:lumMod val="80000"/>
                    </a:schemeClr>
                  </a:solidFill>
                  <a:ln>
                    <a:noFill/>
                  </a:ln>
                  <a:effectLst/>
                  <a:sp3d/>
                </c:spPr>
                <c:invertIfNegative val="0"/>
                <c:cat>
                  <c:strRef>
                    <c:extLst xmlns:c15="http://schemas.microsoft.com/office/drawing/2012/chart">
                      <c:ext xmlns:c15="http://schemas.microsoft.com/office/drawing/2012/chart" uri="{02D57815-91ED-43cb-92C2-25804820EDAC}">
                        <c15:formulaRef>
                          <c15:sqref>'Costuri per boală pe țară (mil '!$B$2:$T$2</c15:sqref>
                        </c15:formulaRef>
                      </c:ext>
                    </c:extLst>
                    <c:strCache>
                      <c:ptCount val="19"/>
                      <c:pt idx="0">
                        <c:v>Diabet zaharat</c:v>
                      </c:pt>
                      <c:pt idx="1">
                        <c:v>Fractura de șold</c:v>
                      </c:pt>
                      <c:pt idx="2">
                        <c:v>Artrita reumatoidă</c:v>
                      </c:pt>
                      <c:pt idx="3">
                        <c:v>Pneumonie</c:v>
                      </c:pt>
                      <c:pt idx="4">
                        <c:v>BPCO</c:v>
                      </c:pt>
                      <c:pt idx="5">
                        <c:v>BCI</c:v>
                      </c:pt>
                      <c:pt idx="6">
                        <c:v>AVC</c:v>
                      </c:pt>
                      <c:pt idx="7">
                        <c:v>Cancer oral</c:v>
                      </c:pt>
                      <c:pt idx="8">
                        <c:v>Cancer de esofag</c:v>
                      </c:pt>
                      <c:pt idx="9">
                        <c:v>Cancer de stomac</c:v>
                      </c:pt>
                      <c:pt idx="10">
                        <c:v>Cancer hepatic</c:v>
                      </c:pt>
                      <c:pt idx="11">
                        <c:v>Cancer de pancreas</c:v>
                      </c:pt>
                      <c:pt idx="12">
                        <c:v>Cancer de laringe</c:v>
                      </c:pt>
                      <c:pt idx="13">
                        <c:v>Cancer bronhopulmonar</c:v>
                      </c:pt>
                      <c:pt idx="14">
                        <c:v>Cancer de col uterin</c:v>
                      </c:pt>
                      <c:pt idx="15">
                        <c:v>Cancer rinichi</c:v>
                      </c:pt>
                      <c:pt idx="16">
                        <c:v>Cancer de vezică urinară</c:v>
                      </c:pt>
                      <c:pt idx="17">
                        <c:v>Leucemie</c:v>
                      </c:pt>
                      <c:pt idx="18">
                        <c:v>Cancer colorectal</c:v>
                      </c:pt>
                    </c:strCache>
                  </c:strRef>
                </c:cat>
                <c:val>
                  <c:numRef>
                    <c:extLst xmlns:c15="http://schemas.microsoft.com/office/drawing/2012/chart">
                      <c:ext xmlns:c15="http://schemas.microsoft.com/office/drawing/2012/chart" uri="{02D57815-91ED-43cb-92C2-25804820EDAC}">
                        <c15:formulaRef>
                          <c15:sqref>'Costuri per boală pe țară (mil '!$B$21:$T$21</c15:sqref>
                        </c15:formulaRef>
                      </c:ext>
                    </c:extLst>
                    <c:numCache>
                      <c:formatCode>General</c:formatCode>
                      <c:ptCount val="19"/>
                      <c:pt idx="0">
                        <c:v>8732</c:v>
                      </c:pt>
                      <c:pt idx="1">
                        <c:v>613</c:v>
                      </c:pt>
                      <c:pt idx="2">
                        <c:v>1965</c:v>
                      </c:pt>
                      <c:pt idx="3">
                        <c:v>832</c:v>
                      </c:pt>
                      <c:pt idx="4">
                        <c:v>3448</c:v>
                      </c:pt>
                      <c:pt idx="5">
                        <c:v>2681</c:v>
                      </c:pt>
                      <c:pt idx="6">
                        <c:v>1749</c:v>
                      </c:pt>
                      <c:pt idx="7">
                        <c:v>200</c:v>
                      </c:pt>
                      <c:pt idx="8">
                        <c:v>101</c:v>
                      </c:pt>
                      <c:pt idx="9">
                        <c:v>109</c:v>
                      </c:pt>
                      <c:pt idx="10">
                        <c:v>27</c:v>
                      </c:pt>
                      <c:pt idx="11">
                        <c:v>46</c:v>
                      </c:pt>
                      <c:pt idx="12">
                        <c:v>97</c:v>
                      </c:pt>
                      <c:pt idx="13">
                        <c:v>481</c:v>
                      </c:pt>
                      <c:pt idx="14">
                        <c:v>216</c:v>
                      </c:pt>
                      <c:pt idx="15">
                        <c:v>348</c:v>
                      </c:pt>
                      <c:pt idx="16">
                        <c:v>877</c:v>
                      </c:pt>
                      <c:pt idx="17">
                        <c:v>139</c:v>
                      </c:pt>
                      <c:pt idx="18">
                        <c:v>1719</c:v>
                      </c:pt>
                    </c:numCache>
                  </c:numRef>
                </c:val>
                <c:extLst xmlns:c15="http://schemas.microsoft.com/office/drawing/2012/chart">
                  <c:ext xmlns:c16="http://schemas.microsoft.com/office/drawing/2014/chart" uri="{C3380CC4-5D6E-409C-BE32-E72D297353CC}">
                    <c16:uniqueId val="{00000014-733E-4B7C-B902-8D9E2D30C0E3}"/>
                  </c:ext>
                </c:extLst>
              </c15:ser>
            </c15:filteredBarSeries>
            <c15:filteredBarSeries>
              <c15:ser>
                <c:idx val="19"/>
                <c:order val="19"/>
                <c:tx>
                  <c:strRef>
                    <c:extLst xmlns:c15="http://schemas.microsoft.com/office/drawing/2012/chart">
                      <c:ext xmlns:c15="http://schemas.microsoft.com/office/drawing/2012/chart" uri="{02D57815-91ED-43cb-92C2-25804820EDAC}">
                        <c15:formulaRef>
                          <c15:sqref>'Costuri per boală pe țară (mil '!$A$22</c15:sqref>
                        </c15:formulaRef>
                      </c:ext>
                    </c:extLst>
                    <c:strCache>
                      <c:ptCount val="1"/>
                      <c:pt idx="0">
                        <c:v>Austria</c:v>
                      </c:pt>
                    </c:strCache>
                  </c:strRef>
                </c:tx>
                <c:spPr>
                  <a:solidFill>
                    <a:schemeClr val="accent2">
                      <a:lumMod val="80000"/>
                    </a:schemeClr>
                  </a:solidFill>
                  <a:ln>
                    <a:noFill/>
                  </a:ln>
                  <a:effectLst/>
                  <a:sp3d/>
                </c:spPr>
                <c:invertIfNegative val="0"/>
                <c:cat>
                  <c:strRef>
                    <c:extLst xmlns:c15="http://schemas.microsoft.com/office/drawing/2012/chart">
                      <c:ext xmlns:c15="http://schemas.microsoft.com/office/drawing/2012/chart" uri="{02D57815-91ED-43cb-92C2-25804820EDAC}">
                        <c15:formulaRef>
                          <c15:sqref>'Costuri per boală pe țară (mil '!$B$2:$T$2</c15:sqref>
                        </c15:formulaRef>
                      </c:ext>
                    </c:extLst>
                    <c:strCache>
                      <c:ptCount val="19"/>
                      <c:pt idx="0">
                        <c:v>Diabet zaharat</c:v>
                      </c:pt>
                      <c:pt idx="1">
                        <c:v>Fractura de șold</c:v>
                      </c:pt>
                      <c:pt idx="2">
                        <c:v>Artrita reumatoidă</c:v>
                      </c:pt>
                      <c:pt idx="3">
                        <c:v>Pneumonie</c:v>
                      </c:pt>
                      <c:pt idx="4">
                        <c:v>BPCO</c:v>
                      </c:pt>
                      <c:pt idx="5">
                        <c:v>BCI</c:v>
                      </c:pt>
                      <c:pt idx="6">
                        <c:v>AVC</c:v>
                      </c:pt>
                      <c:pt idx="7">
                        <c:v>Cancer oral</c:v>
                      </c:pt>
                      <c:pt idx="8">
                        <c:v>Cancer de esofag</c:v>
                      </c:pt>
                      <c:pt idx="9">
                        <c:v>Cancer de stomac</c:v>
                      </c:pt>
                      <c:pt idx="10">
                        <c:v>Cancer hepatic</c:v>
                      </c:pt>
                      <c:pt idx="11">
                        <c:v>Cancer de pancreas</c:v>
                      </c:pt>
                      <c:pt idx="12">
                        <c:v>Cancer de laringe</c:v>
                      </c:pt>
                      <c:pt idx="13">
                        <c:v>Cancer bronhopulmonar</c:v>
                      </c:pt>
                      <c:pt idx="14">
                        <c:v>Cancer de col uterin</c:v>
                      </c:pt>
                      <c:pt idx="15">
                        <c:v>Cancer rinichi</c:v>
                      </c:pt>
                      <c:pt idx="16">
                        <c:v>Cancer de vezică urinară</c:v>
                      </c:pt>
                      <c:pt idx="17">
                        <c:v>Leucemie</c:v>
                      </c:pt>
                      <c:pt idx="18">
                        <c:v>Cancer colorectal</c:v>
                      </c:pt>
                    </c:strCache>
                  </c:strRef>
                </c:cat>
                <c:val>
                  <c:numRef>
                    <c:extLst xmlns:c15="http://schemas.microsoft.com/office/drawing/2012/chart">
                      <c:ext xmlns:c15="http://schemas.microsoft.com/office/drawing/2012/chart" uri="{02D57815-91ED-43cb-92C2-25804820EDAC}">
                        <c15:formulaRef>
                          <c15:sqref>'Costuri per boală pe țară (mil '!$B$22:$T$22</c15:sqref>
                        </c15:formulaRef>
                      </c:ext>
                    </c:extLst>
                    <c:numCache>
                      <c:formatCode>General</c:formatCode>
                      <c:ptCount val="19"/>
                      <c:pt idx="0">
                        <c:v>4682</c:v>
                      </c:pt>
                      <c:pt idx="1">
                        <c:v>624</c:v>
                      </c:pt>
                      <c:pt idx="2">
                        <c:v>1343</c:v>
                      </c:pt>
                      <c:pt idx="3">
                        <c:v>373</c:v>
                      </c:pt>
                      <c:pt idx="4">
                        <c:v>1542</c:v>
                      </c:pt>
                      <c:pt idx="5">
                        <c:v>1497</c:v>
                      </c:pt>
                      <c:pt idx="6">
                        <c:v>1195</c:v>
                      </c:pt>
                      <c:pt idx="7">
                        <c:v>87</c:v>
                      </c:pt>
                      <c:pt idx="8">
                        <c:v>18</c:v>
                      </c:pt>
                      <c:pt idx="9">
                        <c:v>102</c:v>
                      </c:pt>
                      <c:pt idx="10">
                        <c:v>27</c:v>
                      </c:pt>
                      <c:pt idx="11">
                        <c:v>36</c:v>
                      </c:pt>
                      <c:pt idx="12">
                        <c:v>39</c:v>
                      </c:pt>
                      <c:pt idx="13">
                        <c:v>186</c:v>
                      </c:pt>
                      <c:pt idx="14">
                        <c:v>141</c:v>
                      </c:pt>
                      <c:pt idx="15">
                        <c:v>241</c:v>
                      </c:pt>
                      <c:pt idx="16">
                        <c:v>227</c:v>
                      </c:pt>
                      <c:pt idx="17">
                        <c:v>42</c:v>
                      </c:pt>
                      <c:pt idx="18">
                        <c:v>622</c:v>
                      </c:pt>
                    </c:numCache>
                  </c:numRef>
                </c:val>
                <c:extLst xmlns:c15="http://schemas.microsoft.com/office/drawing/2012/chart">
                  <c:ext xmlns:c16="http://schemas.microsoft.com/office/drawing/2014/chart" uri="{C3380CC4-5D6E-409C-BE32-E72D297353CC}">
                    <c16:uniqueId val="{00000015-733E-4B7C-B902-8D9E2D30C0E3}"/>
                  </c:ext>
                </c:extLst>
              </c15:ser>
            </c15:filteredBarSeries>
            <c15:filteredBarSeries>
              <c15:ser>
                <c:idx val="20"/>
                <c:order val="20"/>
                <c:tx>
                  <c:strRef>
                    <c:extLst xmlns:c15="http://schemas.microsoft.com/office/drawing/2012/chart">
                      <c:ext xmlns:c15="http://schemas.microsoft.com/office/drawing/2012/chart" uri="{02D57815-91ED-43cb-92C2-25804820EDAC}">
                        <c15:formulaRef>
                          <c15:sqref>'Costuri per boală pe țară (mil '!$A$23</c15:sqref>
                        </c15:formulaRef>
                      </c:ext>
                    </c:extLst>
                    <c:strCache>
                      <c:ptCount val="1"/>
                      <c:pt idx="0">
                        <c:v>Polonia</c:v>
                      </c:pt>
                    </c:strCache>
                  </c:strRef>
                </c:tx>
                <c:spPr>
                  <a:solidFill>
                    <a:schemeClr val="accent3">
                      <a:lumMod val="80000"/>
                    </a:schemeClr>
                  </a:solidFill>
                  <a:ln>
                    <a:noFill/>
                  </a:ln>
                  <a:effectLst/>
                  <a:sp3d/>
                </c:spPr>
                <c:invertIfNegative val="0"/>
                <c:cat>
                  <c:strRef>
                    <c:extLst xmlns:c15="http://schemas.microsoft.com/office/drawing/2012/chart">
                      <c:ext xmlns:c15="http://schemas.microsoft.com/office/drawing/2012/chart" uri="{02D57815-91ED-43cb-92C2-25804820EDAC}">
                        <c15:formulaRef>
                          <c15:sqref>'Costuri per boală pe țară (mil '!$B$2:$T$2</c15:sqref>
                        </c15:formulaRef>
                      </c:ext>
                    </c:extLst>
                    <c:strCache>
                      <c:ptCount val="19"/>
                      <c:pt idx="0">
                        <c:v>Diabet zaharat</c:v>
                      </c:pt>
                      <c:pt idx="1">
                        <c:v>Fractura de șold</c:v>
                      </c:pt>
                      <c:pt idx="2">
                        <c:v>Artrita reumatoidă</c:v>
                      </c:pt>
                      <c:pt idx="3">
                        <c:v>Pneumonie</c:v>
                      </c:pt>
                      <c:pt idx="4">
                        <c:v>BPCO</c:v>
                      </c:pt>
                      <c:pt idx="5">
                        <c:v>BCI</c:v>
                      </c:pt>
                      <c:pt idx="6">
                        <c:v>AVC</c:v>
                      </c:pt>
                      <c:pt idx="7">
                        <c:v>Cancer oral</c:v>
                      </c:pt>
                      <c:pt idx="8">
                        <c:v>Cancer de esofag</c:v>
                      </c:pt>
                      <c:pt idx="9">
                        <c:v>Cancer de stomac</c:v>
                      </c:pt>
                      <c:pt idx="10">
                        <c:v>Cancer hepatic</c:v>
                      </c:pt>
                      <c:pt idx="11">
                        <c:v>Cancer de pancreas</c:v>
                      </c:pt>
                      <c:pt idx="12">
                        <c:v>Cancer de laringe</c:v>
                      </c:pt>
                      <c:pt idx="13">
                        <c:v>Cancer bronhopulmonar</c:v>
                      </c:pt>
                      <c:pt idx="14">
                        <c:v>Cancer de col uterin</c:v>
                      </c:pt>
                      <c:pt idx="15">
                        <c:v>Cancer rinichi</c:v>
                      </c:pt>
                      <c:pt idx="16">
                        <c:v>Cancer de vezică urinară</c:v>
                      </c:pt>
                      <c:pt idx="17">
                        <c:v>Leucemie</c:v>
                      </c:pt>
                      <c:pt idx="18">
                        <c:v>Cancer colorectal</c:v>
                      </c:pt>
                    </c:strCache>
                  </c:strRef>
                </c:cat>
                <c:val>
                  <c:numRef>
                    <c:extLst xmlns:c15="http://schemas.microsoft.com/office/drawing/2012/chart">
                      <c:ext xmlns:c15="http://schemas.microsoft.com/office/drawing/2012/chart" uri="{02D57815-91ED-43cb-92C2-25804820EDAC}">
                        <c15:formulaRef>
                          <c15:sqref>'Costuri per boală pe țară (mil '!$B$23:$T$23</c15:sqref>
                        </c15:formulaRef>
                      </c:ext>
                    </c:extLst>
                    <c:numCache>
                      <c:formatCode>General</c:formatCode>
                      <c:ptCount val="19"/>
                      <c:pt idx="0">
                        <c:v>4547</c:v>
                      </c:pt>
                      <c:pt idx="1">
                        <c:v>492</c:v>
                      </c:pt>
                      <c:pt idx="2">
                        <c:v>2458</c:v>
                      </c:pt>
                      <c:pt idx="3">
                        <c:v>506</c:v>
                      </c:pt>
                      <c:pt idx="4">
                        <c:v>2112</c:v>
                      </c:pt>
                      <c:pt idx="5">
                        <c:v>2464</c:v>
                      </c:pt>
                      <c:pt idx="6">
                        <c:v>1674</c:v>
                      </c:pt>
                      <c:pt idx="7">
                        <c:v>115</c:v>
                      </c:pt>
                      <c:pt idx="8">
                        <c:v>16</c:v>
                      </c:pt>
                      <c:pt idx="9">
                        <c:v>144</c:v>
                      </c:pt>
                      <c:pt idx="10">
                        <c:v>23</c:v>
                      </c:pt>
                      <c:pt idx="11">
                        <c:v>38</c:v>
                      </c:pt>
                      <c:pt idx="12">
                        <c:v>115</c:v>
                      </c:pt>
                      <c:pt idx="13">
                        <c:v>385</c:v>
                      </c:pt>
                      <c:pt idx="14">
                        <c:v>435</c:v>
                      </c:pt>
                      <c:pt idx="15">
                        <c:v>352</c:v>
                      </c:pt>
                      <c:pt idx="16">
                        <c:v>419</c:v>
                      </c:pt>
                      <c:pt idx="17">
                        <c:v>71</c:v>
                      </c:pt>
                      <c:pt idx="18">
                        <c:v>883</c:v>
                      </c:pt>
                    </c:numCache>
                  </c:numRef>
                </c:val>
                <c:extLst xmlns:c15="http://schemas.microsoft.com/office/drawing/2012/chart">
                  <c:ext xmlns:c16="http://schemas.microsoft.com/office/drawing/2014/chart" uri="{C3380CC4-5D6E-409C-BE32-E72D297353CC}">
                    <c16:uniqueId val="{00000016-733E-4B7C-B902-8D9E2D30C0E3}"/>
                  </c:ext>
                </c:extLst>
              </c15:ser>
            </c15:filteredBarSeries>
            <c15:filteredBarSeries>
              <c15:ser>
                <c:idx val="21"/>
                <c:order val="21"/>
                <c:tx>
                  <c:strRef>
                    <c:extLst xmlns:c15="http://schemas.microsoft.com/office/drawing/2012/chart">
                      <c:ext xmlns:c15="http://schemas.microsoft.com/office/drawing/2012/chart" uri="{02D57815-91ED-43cb-92C2-25804820EDAC}">
                        <c15:formulaRef>
                          <c15:sqref>'Costuri per boală pe țară (mil '!$A$24</c15:sqref>
                        </c15:formulaRef>
                      </c:ext>
                    </c:extLst>
                    <c:strCache>
                      <c:ptCount val="1"/>
                      <c:pt idx="0">
                        <c:v>Portugalia</c:v>
                      </c:pt>
                    </c:strCache>
                  </c:strRef>
                </c:tx>
                <c:spPr>
                  <a:solidFill>
                    <a:schemeClr val="accent4">
                      <a:lumMod val="80000"/>
                    </a:schemeClr>
                  </a:solidFill>
                  <a:ln>
                    <a:noFill/>
                  </a:ln>
                  <a:effectLst/>
                  <a:sp3d/>
                </c:spPr>
                <c:invertIfNegative val="0"/>
                <c:cat>
                  <c:strRef>
                    <c:extLst xmlns:c15="http://schemas.microsoft.com/office/drawing/2012/chart">
                      <c:ext xmlns:c15="http://schemas.microsoft.com/office/drawing/2012/chart" uri="{02D57815-91ED-43cb-92C2-25804820EDAC}">
                        <c15:formulaRef>
                          <c15:sqref>'Costuri per boală pe țară (mil '!$B$2:$T$2</c15:sqref>
                        </c15:formulaRef>
                      </c:ext>
                    </c:extLst>
                    <c:strCache>
                      <c:ptCount val="19"/>
                      <c:pt idx="0">
                        <c:v>Diabet zaharat</c:v>
                      </c:pt>
                      <c:pt idx="1">
                        <c:v>Fractura de șold</c:v>
                      </c:pt>
                      <c:pt idx="2">
                        <c:v>Artrita reumatoidă</c:v>
                      </c:pt>
                      <c:pt idx="3">
                        <c:v>Pneumonie</c:v>
                      </c:pt>
                      <c:pt idx="4">
                        <c:v>BPCO</c:v>
                      </c:pt>
                      <c:pt idx="5">
                        <c:v>BCI</c:v>
                      </c:pt>
                      <c:pt idx="6">
                        <c:v>AVC</c:v>
                      </c:pt>
                      <c:pt idx="7">
                        <c:v>Cancer oral</c:v>
                      </c:pt>
                      <c:pt idx="8">
                        <c:v>Cancer de esofag</c:v>
                      </c:pt>
                      <c:pt idx="9">
                        <c:v>Cancer de stomac</c:v>
                      </c:pt>
                      <c:pt idx="10">
                        <c:v>Cancer hepatic</c:v>
                      </c:pt>
                      <c:pt idx="11">
                        <c:v>Cancer de pancreas</c:v>
                      </c:pt>
                      <c:pt idx="12">
                        <c:v>Cancer de laringe</c:v>
                      </c:pt>
                      <c:pt idx="13">
                        <c:v>Cancer bronhopulmonar</c:v>
                      </c:pt>
                      <c:pt idx="14">
                        <c:v>Cancer de col uterin</c:v>
                      </c:pt>
                      <c:pt idx="15">
                        <c:v>Cancer rinichi</c:v>
                      </c:pt>
                      <c:pt idx="16">
                        <c:v>Cancer de vezică urinară</c:v>
                      </c:pt>
                      <c:pt idx="17">
                        <c:v>Leucemie</c:v>
                      </c:pt>
                      <c:pt idx="18">
                        <c:v>Cancer colorectal</c:v>
                      </c:pt>
                    </c:strCache>
                  </c:strRef>
                </c:cat>
                <c:val>
                  <c:numRef>
                    <c:extLst xmlns:c15="http://schemas.microsoft.com/office/drawing/2012/chart">
                      <c:ext xmlns:c15="http://schemas.microsoft.com/office/drawing/2012/chart" uri="{02D57815-91ED-43cb-92C2-25804820EDAC}">
                        <c15:formulaRef>
                          <c15:sqref>'Costuri per boală pe țară (mil '!$B$24:$T$24</c15:sqref>
                        </c15:formulaRef>
                      </c:ext>
                    </c:extLst>
                    <c:numCache>
                      <c:formatCode>General</c:formatCode>
                      <c:ptCount val="19"/>
                      <c:pt idx="0">
                        <c:v>3528</c:v>
                      </c:pt>
                      <c:pt idx="1">
                        <c:v>395</c:v>
                      </c:pt>
                      <c:pt idx="2">
                        <c:v>994</c:v>
                      </c:pt>
                      <c:pt idx="3">
                        <c:v>178</c:v>
                      </c:pt>
                      <c:pt idx="4">
                        <c:v>739</c:v>
                      </c:pt>
                      <c:pt idx="5">
                        <c:v>843</c:v>
                      </c:pt>
                      <c:pt idx="6">
                        <c:v>732</c:v>
                      </c:pt>
                      <c:pt idx="7">
                        <c:v>44</c:v>
                      </c:pt>
                      <c:pt idx="8">
                        <c:v>7</c:v>
                      </c:pt>
                      <c:pt idx="9">
                        <c:v>67</c:v>
                      </c:pt>
                      <c:pt idx="10">
                        <c:v>10</c:v>
                      </c:pt>
                      <c:pt idx="11">
                        <c:v>12</c:v>
                      </c:pt>
                      <c:pt idx="12">
                        <c:v>29</c:v>
                      </c:pt>
                      <c:pt idx="13">
                        <c:v>72</c:v>
                      </c:pt>
                      <c:pt idx="14">
                        <c:v>110</c:v>
                      </c:pt>
                      <c:pt idx="15">
                        <c:v>70</c:v>
                      </c:pt>
                      <c:pt idx="16">
                        <c:v>83</c:v>
                      </c:pt>
                      <c:pt idx="17">
                        <c:v>17</c:v>
                      </c:pt>
                      <c:pt idx="18">
                        <c:v>393</c:v>
                      </c:pt>
                    </c:numCache>
                  </c:numRef>
                </c:val>
                <c:extLst xmlns:c15="http://schemas.microsoft.com/office/drawing/2012/chart">
                  <c:ext xmlns:c16="http://schemas.microsoft.com/office/drawing/2014/chart" uri="{C3380CC4-5D6E-409C-BE32-E72D297353CC}">
                    <c16:uniqueId val="{00000017-733E-4B7C-B902-8D9E2D30C0E3}"/>
                  </c:ext>
                </c:extLst>
              </c15:ser>
            </c15:filteredBarSeries>
            <c15:filteredBarSeries>
              <c15:ser>
                <c:idx val="23"/>
                <c:order val="23"/>
                <c:tx>
                  <c:strRef>
                    <c:extLst xmlns:c15="http://schemas.microsoft.com/office/drawing/2012/chart">
                      <c:ext xmlns:c15="http://schemas.microsoft.com/office/drawing/2012/chart" uri="{02D57815-91ED-43cb-92C2-25804820EDAC}">
                        <c15:formulaRef>
                          <c15:sqref>'Costuri per boală pe țară (mil '!$A$26</c15:sqref>
                        </c15:formulaRef>
                      </c:ext>
                    </c:extLst>
                    <c:strCache>
                      <c:ptCount val="1"/>
                      <c:pt idx="0">
                        <c:v>Slovenia</c:v>
                      </c:pt>
                    </c:strCache>
                  </c:strRef>
                </c:tx>
                <c:spPr>
                  <a:solidFill>
                    <a:schemeClr val="accent6">
                      <a:lumMod val="80000"/>
                    </a:schemeClr>
                  </a:solidFill>
                  <a:ln>
                    <a:noFill/>
                  </a:ln>
                  <a:effectLst/>
                  <a:sp3d/>
                </c:spPr>
                <c:invertIfNegative val="0"/>
                <c:cat>
                  <c:strRef>
                    <c:extLst xmlns:c15="http://schemas.microsoft.com/office/drawing/2012/chart">
                      <c:ext xmlns:c15="http://schemas.microsoft.com/office/drawing/2012/chart" uri="{02D57815-91ED-43cb-92C2-25804820EDAC}">
                        <c15:formulaRef>
                          <c15:sqref>'Costuri per boală pe țară (mil '!$B$2:$T$2</c15:sqref>
                        </c15:formulaRef>
                      </c:ext>
                    </c:extLst>
                    <c:strCache>
                      <c:ptCount val="19"/>
                      <c:pt idx="0">
                        <c:v>Diabet zaharat</c:v>
                      </c:pt>
                      <c:pt idx="1">
                        <c:v>Fractura de șold</c:v>
                      </c:pt>
                      <c:pt idx="2">
                        <c:v>Artrita reumatoidă</c:v>
                      </c:pt>
                      <c:pt idx="3">
                        <c:v>Pneumonie</c:v>
                      </c:pt>
                      <c:pt idx="4">
                        <c:v>BPCO</c:v>
                      </c:pt>
                      <c:pt idx="5">
                        <c:v>BCI</c:v>
                      </c:pt>
                      <c:pt idx="6">
                        <c:v>AVC</c:v>
                      </c:pt>
                      <c:pt idx="7">
                        <c:v>Cancer oral</c:v>
                      </c:pt>
                      <c:pt idx="8">
                        <c:v>Cancer de esofag</c:v>
                      </c:pt>
                      <c:pt idx="9">
                        <c:v>Cancer de stomac</c:v>
                      </c:pt>
                      <c:pt idx="10">
                        <c:v>Cancer hepatic</c:v>
                      </c:pt>
                      <c:pt idx="11">
                        <c:v>Cancer de pancreas</c:v>
                      </c:pt>
                      <c:pt idx="12">
                        <c:v>Cancer de laringe</c:v>
                      </c:pt>
                      <c:pt idx="13">
                        <c:v>Cancer bronhopulmonar</c:v>
                      </c:pt>
                      <c:pt idx="14">
                        <c:v>Cancer de col uterin</c:v>
                      </c:pt>
                      <c:pt idx="15">
                        <c:v>Cancer rinichi</c:v>
                      </c:pt>
                      <c:pt idx="16">
                        <c:v>Cancer de vezică urinară</c:v>
                      </c:pt>
                      <c:pt idx="17">
                        <c:v>Leucemie</c:v>
                      </c:pt>
                      <c:pt idx="18">
                        <c:v>Cancer colorectal</c:v>
                      </c:pt>
                    </c:strCache>
                  </c:strRef>
                </c:cat>
                <c:val>
                  <c:numRef>
                    <c:extLst xmlns:c15="http://schemas.microsoft.com/office/drawing/2012/chart">
                      <c:ext xmlns:c15="http://schemas.microsoft.com/office/drawing/2012/chart" uri="{02D57815-91ED-43cb-92C2-25804820EDAC}">
                        <c15:formulaRef>
                          <c15:sqref>'Costuri per boală pe țară (mil '!$B$26:$T$26</c15:sqref>
                        </c15:formulaRef>
                      </c:ext>
                    </c:extLst>
                    <c:numCache>
                      <c:formatCode>General</c:formatCode>
                      <c:ptCount val="19"/>
                      <c:pt idx="0">
                        <c:v>548</c:v>
                      </c:pt>
                      <c:pt idx="1">
                        <c:v>40</c:v>
                      </c:pt>
                      <c:pt idx="2">
                        <c:v>187</c:v>
                      </c:pt>
                      <c:pt idx="3">
                        <c:v>38</c:v>
                      </c:pt>
                      <c:pt idx="4">
                        <c:v>157</c:v>
                      </c:pt>
                      <c:pt idx="5">
                        <c:v>156</c:v>
                      </c:pt>
                      <c:pt idx="6">
                        <c:v>101</c:v>
                      </c:pt>
                      <c:pt idx="7">
                        <c:v>13</c:v>
                      </c:pt>
                      <c:pt idx="8">
                        <c:v>1</c:v>
                      </c:pt>
                      <c:pt idx="9">
                        <c:v>16</c:v>
                      </c:pt>
                      <c:pt idx="10">
                        <c:v>2</c:v>
                      </c:pt>
                      <c:pt idx="11">
                        <c:v>3</c:v>
                      </c:pt>
                      <c:pt idx="12">
                        <c:v>8</c:v>
                      </c:pt>
                      <c:pt idx="13">
                        <c:v>24</c:v>
                      </c:pt>
                      <c:pt idx="14">
                        <c:v>27</c:v>
                      </c:pt>
                      <c:pt idx="15">
                        <c:v>28</c:v>
                      </c:pt>
                      <c:pt idx="16">
                        <c:v>33</c:v>
                      </c:pt>
                      <c:pt idx="17">
                        <c:v>5</c:v>
                      </c:pt>
                      <c:pt idx="18">
                        <c:v>114</c:v>
                      </c:pt>
                    </c:numCache>
                  </c:numRef>
                </c:val>
                <c:extLst xmlns:c15="http://schemas.microsoft.com/office/drawing/2012/chart">
                  <c:ext xmlns:c16="http://schemas.microsoft.com/office/drawing/2014/chart" uri="{C3380CC4-5D6E-409C-BE32-E72D297353CC}">
                    <c16:uniqueId val="{00000018-733E-4B7C-B902-8D9E2D30C0E3}"/>
                  </c:ext>
                </c:extLst>
              </c15:ser>
            </c15:filteredBarSeries>
            <c15:filteredBarSeries>
              <c15:ser>
                <c:idx val="24"/>
                <c:order val="24"/>
                <c:tx>
                  <c:strRef>
                    <c:extLst xmlns:c15="http://schemas.microsoft.com/office/drawing/2012/chart">
                      <c:ext xmlns:c15="http://schemas.microsoft.com/office/drawing/2012/chart" uri="{02D57815-91ED-43cb-92C2-25804820EDAC}">
                        <c15:formulaRef>
                          <c15:sqref>'Costuri per boală pe țară (mil '!$A$27</c15:sqref>
                        </c15:formulaRef>
                      </c:ext>
                    </c:extLst>
                    <c:strCache>
                      <c:ptCount val="1"/>
                      <c:pt idx="0">
                        <c:v>Slovacia</c:v>
                      </c:pt>
                    </c:strCache>
                  </c:strRef>
                </c:tx>
                <c:spPr>
                  <a:solidFill>
                    <a:schemeClr val="accent1">
                      <a:lumMod val="60000"/>
                      <a:lumOff val="40000"/>
                    </a:schemeClr>
                  </a:solidFill>
                  <a:ln>
                    <a:noFill/>
                  </a:ln>
                  <a:effectLst/>
                  <a:sp3d/>
                </c:spPr>
                <c:invertIfNegative val="0"/>
                <c:cat>
                  <c:strRef>
                    <c:extLst xmlns:c15="http://schemas.microsoft.com/office/drawing/2012/chart">
                      <c:ext xmlns:c15="http://schemas.microsoft.com/office/drawing/2012/chart" uri="{02D57815-91ED-43cb-92C2-25804820EDAC}">
                        <c15:formulaRef>
                          <c15:sqref>'Costuri per boală pe țară (mil '!$B$2:$T$2</c15:sqref>
                        </c15:formulaRef>
                      </c:ext>
                    </c:extLst>
                    <c:strCache>
                      <c:ptCount val="19"/>
                      <c:pt idx="0">
                        <c:v>Diabet zaharat</c:v>
                      </c:pt>
                      <c:pt idx="1">
                        <c:v>Fractura de șold</c:v>
                      </c:pt>
                      <c:pt idx="2">
                        <c:v>Artrita reumatoidă</c:v>
                      </c:pt>
                      <c:pt idx="3">
                        <c:v>Pneumonie</c:v>
                      </c:pt>
                      <c:pt idx="4">
                        <c:v>BPCO</c:v>
                      </c:pt>
                      <c:pt idx="5">
                        <c:v>BCI</c:v>
                      </c:pt>
                      <c:pt idx="6">
                        <c:v>AVC</c:v>
                      </c:pt>
                      <c:pt idx="7">
                        <c:v>Cancer oral</c:v>
                      </c:pt>
                      <c:pt idx="8">
                        <c:v>Cancer de esofag</c:v>
                      </c:pt>
                      <c:pt idx="9">
                        <c:v>Cancer de stomac</c:v>
                      </c:pt>
                      <c:pt idx="10">
                        <c:v>Cancer hepatic</c:v>
                      </c:pt>
                      <c:pt idx="11">
                        <c:v>Cancer de pancreas</c:v>
                      </c:pt>
                      <c:pt idx="12">
                        <c:v>Cancer de laringe</c:v>
                      </c:pt>
                      <c:pt idx="13">
                        <c:v>Cancer bronhopulmonar</c:v>
                      </c:pt>
                      <c:pt idx="14">
                        <c:v>Cancer de col uterin</c:v>
                      </c:pt>
                      <c:pt idx="15">
                        <c:v>Cancer rinichi</c:v>
                      </c:pt>
                      <c:pt idx="16">
                        <c:v>Cancer de vezică urinară</c:v>
                      </c:pt>
                      <c:pt idx="17">
                        <c:v>Leucemie</c:v>
                      </c:pt>
                      <c:pt idx="18">
                        <c:v>Cancer colorectal</c:v>
                      </c:pt>
                    </c:strCache>
                  </c:strRef>
                </c:cat>
                <c:val>
                  <c:numRef>
                    <c:extLst xmlns:c15="http://schemas.microsoft.com/office/drawing/2012/chart">
                      <c:ext xmlns:c15="http://schemas.microsoft.com/office/drawing/2012/chart" uri="{02D57815-91ED-43cb-92C2-25804820EDAC}">
                        <c15:formulaRef>
                          <c15:sqref>'Costuri per boală pe țară (mil '!$B$27:$T$27</c15:sqref>
                        </c15:formulaRef>
                      </c:ext>
                    </c:extLst>
                    <c:numCache>
                      <c:formatCode>General</c:formatCode>
                      <c:ptCount val="19"/>
                      <c:pt idx="0">
                        <c:v>921</c:v>
                      </c:pt>
                      <c:pt idx="1">
                        <c:v>87</c:v>
                      </c:pt>
                      <c:pt idx="2">
                        <c:v>289</c:v>
                      </c:pt>
                      <c:pt idx="3">
                        <c:v>87</c:v>
                      </c:pt>
                      <c:pt idx="4">
                        <c:v>363</c:v>
                      </c:pt>
                      <c:pt idx="5">
                        <c:v>379</c:v>
                      </c:pt>
                      <c:pt idx="6">
                        <c:v>243</c:v>
                      </c:pt>
                      <c:pt idx="7">
                        <c:v>25</c:v>
                      </c:pt>
                      <c:pt idx="8">
                        <c:v>3</c:v>
                      </c:pt>
                      <c:pt idx="9">
                        <c:v>24</c:v>
                      </c:pt>
                      <c:pt idx="10">
                        <c:v>5</c:v>
                      </c:pt>
                      <c:pt idx="11">
                        <c:v>8</c:v>
                      </c:pt>
                      <c:pt idx="12">
                        <c:v>15</c:v>
                      </c:pt>
                      <c:pt idx="13">
                        <c:v>40</c:v>
                      </c:pt>
                      <c:pt idx="14">
                        <c:v>69</c:v>
                      </c:pt>
                      <c:pt idx="15">
                        <c:v>71</c:v>
                      </c:pt>
                      <c:pt idx="16">
                        <c:v>62</c:v>
                      </c:pt>
                      <c:pt idx="17">
                        <c:v>18</c:v>
                      </c:pt>
                      <c:pt idx="18">
                        <c:v>196</c:v>
                      </c:pt>
                    </c:numCache>
                  </c:numRef>
                </c:val>
                <c:extLst xmlns:c15="http://schemas.microsoft.com/office/drawing/2012/chart">
                  <c:ext xmlns:c16="http://schemas.microsoft.com/office/drawing/2014/chart" uri="{C3380CC4-5D6E-409C-BE32-E72D297353CC}">
                    <c16:uniqueId val="{00000019-733E-4B7C-B902-8D9E2D30C0E3}"/>
                  </c:ext>
                </c:extLst>
              </c15:ser>
            </c15:filteredBarSeries>
            <c15:filteredBarSeries>
              <c15:ser>
                <c:idx val="25"/>
                <c:order val="25"/>
                <c:tx>
                  <c:strRef>
                    <c:extLst xmlns:c15="http://schemas.microsoft.com/office/drawing/2012/chart">
                      <c:ext xmlns:c15="http://schemas.microsoft.com/office/drawing/2012/chart" uri="{02D57815-91ED-43cb-92C2-25804820EDAC}">
                        <c15:formulaRef>
                          <c15:sqref>'Costuri per boală pe țară (mil '!$A$28</c15:sqref>
                        </c15:formulaRef>
                      </c:ext>
                    </c:extLst>
                    <c:strCache>
                      <c:ptCount val="1"/>
                      <c:pt idx="0">
                        <c:v>Finlanda</c:v>
                      </c:pt>
                    </c:strCache>
                  </c:strRef>
                </c:tx>
                <c:spPr>
                  <a:solidFill>
                    <a:schemeClr val="accent2">
                      <a:lumMod val="60000"/>
                      <a:lumOff val="40000"/>
                    </a:schemeClr>
                  </a:solidFill>
                  <a:ln>
                    <a:noFill/>
                  </a:ln>
                  <a:effectLst/>
                  <a:sp3d/>
                </c:spPr>
                <c:invertIfNegative val="0"/>
                <c:cat>
                  <c:strRef>
                    <c:extLst xmlns:c15="http://schemas.microsoft.com/office/drawing/2012/chart">
                      <c:ext xmlns:c15="http://schemas.microsoft.com/office/drawing/2012/chart" uri="{02D57815-91ED-43cb-92C2-25804820EDAC}">
                        <c15:formulaRef>
                          <c15:sqref>'Costuri per boală pe țară (mil '!$B$2:$T$2</c15:sqref>
                        </c15:formulaRef>
                      </c:ext>
                    </c:extLst>
                    <c:strCache>
                      <c:ptCount val="19"/>
                      <c:pt idx="0">
                        <c:v>Diabet zaharat</c:v>
                      </c:pt>
                      <c:pt idx="1">
                        <c:v>Fractura de șold</c:v>
                      </c:pt>
                      <c:pt idx="2">
                        <c:v>Artrita reumatoidă</c:v>
                      </c:pt>
                      <c:pt idx="3">
                        <c:v>Pneumonie</c:v>
                      </c:pt>
                      <c:pt idx="4">
                        <c:v>BPCO</c:v>
                      </c:pt>
                      <c:pt idx="5">
                        <c:v>BCI</c:v>
                      </c:pt>
                      <c:pt idx="6">
                        <c:v>AVC</c:v>
                      </c:pt>
                      <c:pt idx="7">
                        <c:v>Cancer oral</c:v>
                      </c:pt>
                      <c:pt idx="8">
                        <c:v>Cancer de esofag</c:v>
                      </c:pt>
                      <c:pt idx="9">
                        <c:v>Cancer de stomac</c:v>
                      </c:pt>
                      <c:pt idx="10">
                        <c:v>Cancer hepatic</c:v>
                      </c:pt>
                      <c:pt idx="11">
                        <c:v>Cancer de pancreas</c:v>
                      </c:pt>
                      <c:pt idx="12">
                        <c:v>Cancer de laringe</c:v>
                      </c:pt>
                      <c:pt idx="13">
                        <c:v>Cancer bronhopulmonar</c:v>
                      </c:pt>
                      <c:pt idx="14">
                        <c:v>Cancer de col uterin</c:v>
                      </c:pt>
                      <c:pt idx="15">
                        <c:v>Cancer rinichi</c:v>
                      </c:pt>
                      <c:pt idx="16">
                        <c:v>Cancer de vezică urinară</c:v>
                      </c:pt>
                      <c:pt idx="17">
                        <c:v>Leucemie</c:v>
                      </c:pt>
                      <c:pt idx="18">
                        <c:v>Cancer colorectal</c:v>
                      </c:pt>
                    </c:strCache>
                  </c:strRef>
                </c:cat>
                <c:val>
                  <c:numRef>
                    <c:extLst xmlns:c15="http://schemas.microsoft.com/office/drawing/2012/chart">
                      <c:ext xmlns:c15="http://schemas.microsoft.com/office/drawing/2012/chart" uri="{02D57815-91ED-43cb-92C2-25804820EDAC}">
                        <c15:formulaRef>
                          <c15:sqref>'Costuri per boală pe țară (mil '!$B$28:$T$28</c15:sqref>
                        </c15:formulaRef>
                      </c:ext>
                    </c:extLst>
                    <c:numCache>
                      <c:formatCode>General</c:formatCode>
                      <c:ptCount val="19"/>
                      <c:pt idx="0">
                        <c:v>3291</c:v>
                      </c:pt>
                      <c:pt idx="1">
                        <c:v>267</c:v>
                      </c:pt>
                      <c:pt idx="2">
                        <c:v>933</c:v>
                      </c:pt>
                      <c:pt idx="3">
                        <c:v>194</c:v>
                      </c:pt>
                      <c:pt idx="4">
                        <c:v>805</c:v>
                      </c:pt>
                      <c:pt idx="5">
                        <c:v>634</c:v>
                      </c:pt>
                      <c:pt idx="6">
                        <c:v>1014</c:v>
                      </c:pt>
                      <c:pt idx="7">
                        <c:v>33</c:v>
                      </c:pt>
                      <c:pt idx="8">
                        <c:v>5</c:v>
                      </c:pt>
                      <c:pt idx="9">
                        <c:v>18</c:v>
                      </c:pt>
                      <c:pt idx="10">
                        <c:v>6</c:v>
                      </c:pt>
                      <c:pt idx="11">
                        <c:v>11</c:v>
                      </c:pt>
                      <c:pt idx="12">
                        <c:v>8</c:v>
                      </c:pt>
                      <c:pt idx="13">
                        <c:v>38</c:v>
                      </c:pt>
                      <c:pt idx="14">
                        <c:v>20</c:v>
                      </c:pt>
                      <c:pt idx="15">
                        <c:v>73</c:v>
                      </c:pt>
                      <c:pt idx="16">
                        <c:v>80</c:v>
                      </c:pt>
                      <c:pt idx="17">
                        <c:v>23</c:v>
                      </c:pt>
                      <c:pt idx="18">
                        <c:v>213</c:v>
                      </c:pt>
                    </c:numCache>
                  </c:numRef>
                </c:val>
                <c:extLst xmlns:c15="http://schemas.microsoft.com/office/drawing/2012/chart">
                  <c:ext xmlns:c16="http://schemas.microsoft.com/office/drawing/2014/chart" uri="{C3380CC4-5D6E-409C-BE32-E72D297353CC}">
                    <c16:uniqueId val="{0000001A-733E-4B7C-B902-8D9E2D30C0E3}"/>
                  </c:ext>
                </c:extLst>
              </c15:ser>
            </c15:filteredBarSeries>
            <c15:filteredBarSeries>
              <c15:ser>
                <c:idx val="26"/>
                <c:order val="26"/>
                <c:tx>
                  <c:strRef>
                    <c:extLst xmlns:c15="http://schemas.microsoft.com/office/drawing/2012/chart">
                      <c:ext xmlns:c15="http://schemas.microsoft.com/office/drawing/2012/chart" uri="{02D57815-91ED-43cb-92C2-25804820EDAC}">
                        <c15:formulaRef>
                          <c15:sqref>'Costuri per boală pe țară (mil '!$A$29</c15:sqref>
                        </c15:formulaRef>
                      </c:ext>
                    </c:extLst>
                    <c:strCache>
                      <c:ptCount val="1"/>
                      <c:pt idx="0">
                        <c:v>Suedia</c:v>
                      </c:pt>
                    </c:strCache>
                  </c:strRef>
                </c:tx>
                <c:spPr>
                  <a:solidFill>
                    <a:schemeClr val="accent3">
                      <a:lumMod val="60000"/>
                      <a:lumOff val="40000"/>
                    </a:schemeClr>
                  </a:solidFill>
                  <a:ln>
                    <a:noFill/>
                  </a:ln>
                  <a:effectLst/>
                  <a:sp3d/>
                </c:spPr>
                <c:invertIfNegative val="0"/>
                <c:cat>
                  <c:strRef>
                    <c:extLst xmlns:c15="http://schemas.microsoft.com/office/drawing/2012/chart">
                      <c:ext xmlns:c15="http://schemas.microsoft.com/office/drawing/2012/chart" uri="{02D57815-91ED-43cb-92C2-25804820EDAC}">
                        <c15:formulaRef>
                          <c15:sqref>'Costuri per boală pe țară (mil '!$B$2:$T$2</c15:sqref>
                        </c15:formulaRef>
                      </c:ext>
                    </c:extLst>
                    <c:strCache>
                      <c:ptCount val="19"/>
                      <c:pt idx="0">
                        <c:v>Diabet zaharat</c:v>
                      </c:pt>
                      <c:pt idx="1">
                        <c:v>Fractura de șold</c:v>
                      </c:pt>
                      <c:pt idx="2">
                        <c:v>Artrita reumatoidă</c:v>
                      </c:pt>
                      <c:pt idx="3">
                        <c:v>Pneumonie</c:v>
                      </c:pt>
                      <c:pt idx="4">
                        <c:v>BPCO</c:v>
                      </c:pt>
                      <c:pt idx="5">
                        <c:v>BCI</c:v>
                      </c:pt>
                      <c:pt idx="6">
                        <c:v>AVC</c:v>
                      </c:pt>
                      <c:pt idx="7">
                        <c:v>Cancer oral</c:v>
                      </c:pt>
                      <c:pt idx="8">
                        <c:v>Cancer de esofag</c:v>
                      </c:pt>
                      <c:pt idx="9">
                        <c:v>Cancer de stomac</c:v>
                      </c:pt>
                      <c:pt idx="10">
                        <c:v>Cancer hepatic</c:v>
                      </c:pt>
                      <c:pt idx="11">
                        <c:v>Cancer de pancreas</c:v>
                      </c:pt>
                      <c:pt idx="12">
                        <c:v>Cancer de laringe</c:v>
                      </c:pt>
                      <c:pt idx="13">
                        <c:v>Cancer bronhopulmonar</c:v>
                      </c:pt>
                      <c:pt idx="14">
                        <c:v>Cancer de col uterin</c:v>
                      </c:pt>
                      <c:pt idx="15">
                        <c:v>Cancer rinichi</c:v>
                      </c:pt>
                      <c:pt idx="16">
                        <c:v>Cancer de vezică urinară</c:v>
                      </c:pt>
                      <c:pt idx="17">
                        <c:v>Leucemie</c:v>
                      </c:pt>
                      <c:pt idx="18">
                        <c:v>Cancer colorectal</c:v>
                      </c:pt>
                    </c:strCache>
                  </c:strRef>
                </c:cat>
                <c:val>
                  <c:numRef>
                    <c:extLst xmlns:c15="http://schemas.microsoft.com/office/drawing/2012/chart">
                      <c:ext xmlns:c15="http://schemas.microsoft.com/office/drawing/2012/chart" uri="{02D57815-91ED-43cb-92C2-25804820EDAC}">
                        <c15:formulaRef>
                          <c15:sqref>'Costuri per boală pe țară (mil '!$B$29:$T$29</c15:sqref>
                        </c15:formulaRef>
                      </c:ext>
                    </c:extLst>
                    <c:numCache>
                      <c:formatCode>General</c:formatCode>
                      <c:ptCount val="19"/>
                      <c:pt idx="0">
                        <c:v>5923</c:v>
                      </c:pt>
                      <c:pt idx="1">
                        <c:v>1048</c:v>
                      </c:pt>
                      <c:pt idx="2">
                        <c:v>1092</c:v>
                      </c:pt>
                      <c:pt idx="3">
                        <c:v>314</c:v>
                      </c:pt>
                      <c:pt idx="4">
                        <c:v>1277</c:v>
                      </c:pt>
                      <c:pt idx="5">
                        <c:v>931</c:v>
                      </c:pt>
                      <c:pt idx="6">
                        <c:v>862</c:v>
                      </c:pt>
                      <c:pt idx="7">
                        <c:v>76</c:v>
                      </c:pt>
                      <c:pt idx="8">
                        <c:v>17</c:v>
                      </c:pt>
                      <c:pt idx="9">
                        <c:v>35</c:v>
                      </c:pt>
                      <c:pt idx="10">
                        <c:v>13</c:v>
                      </c:pt>
                      <c:pt idx="11">
                        <c:v>23</c:v>
                      </c:pt>
                      <c:pt idx="12">
                        <c:v>25</c:v>
                      </c:pt>
                      <c:pt idx="13">
                        <c:v>146</c:v>
                      </c:pt>
                      <c:pt idx="14">
                        <c:v>102</c:v>
                      </c:pt>
                      <c:pt idx="15">
                        <c:v>150</c:v>
                      </c:pt>
                      <c:pt idx="16">
                        <c:v>253</c:v>
                      </c:pt>
                      <c:pt idx="17">
                        <c:v>64</c:v>
                      </c:pt>
                      <c:pt idx="18">
                        <c:v>594</c:v>
                      </c:pt>
                    </c:numCache>
                  </c:numRef>
                </c:val>
                <c:extLst xmlns:c15="http://schemas.microsoft.com/office/drawing/2012/chart">
                  <c:ext xmlns:c16="http://schemas.microsoft.com/office/drawing/2014/chart" uri="{C3380CC4-5D6E-409C-BE32-E72D297353CC}">
                    <c16:uniqueId val="{0000001B-733E-4B7C-B902-8D9E2D30C0E3}"/>
                  </c:ext>
                </c:extLst>
              </c15:ser>
            </c15:filteredBarSeries>
          </c:ext>
        </c:extLst>
      </c:bar3DChart>
      <c:catAx>
        <c:axId val="298068800"/>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o-RO"/>
          </a:p>
        </c:txPr>
        <c:crossAx val="177177760"/>
        <c:crosses val="autoZero"/>
        <c:auto val="1"/>
        <c:lblAlgn val="ctr"/>
        <c:lblOffset val="100"/>
        <c:noMultiLvlLbl val="0"/>
      </c:catAx>
      <c:valAx>
        <c:axId val="17717776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o-RO"/>
          </a:p>
        </c:txPr>
        <c:crossAx val="298068800"/>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o-RO"/>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3175" cap="flat" cmpd="sng" algn="ctr">
      <a:solidFill>
        <a:srgbClr val="6D6D6D">
          <a:lumMod val="15000"/>
          <a:lumOff val="85000"/>
        </a:srgbClr>
      </a:solidFill>
      <a:round/>
    </a:ln>
    <a:effectLst/>
  </c:spPr>
  <c:txPr>
    <a:bodyPr/>
    <a:lstStyle/>
    <a:p>
      <a:pPr>
        <a:defRPr/>
      </a:pPr>
      <a:endParaRPr lang="ro-RO"/>
    </a:p>
  </c:txPr>
  <c:externalData r:id="rId2">
    <c:autoUpdate val="0"/>
  </c:externalData>
</c:chartSpace>
</file>

<file path=word/charts/chart6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o-R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'Fig 1 direct si indirect'!$A$2:$A$20</c:f>
              <c:strCache>
                <c:ptCount val="19"/>
                <c:pt idx="0">
                  <c:v>Diabet zaharat</c:v>
                </c:pt>
                <c:pt idx="1">
                  <c:v>Fractura de sold</c:v>
                </c:pt>
                <c:pt idx="2">
                  <c:v>Artrita reumatoidă</c:v>
                </c:pt>
                <c:pt idx="3">
                  <c:v>Pneumonie</c:v>
                </c:pt>
                <c:pt idx="4">
                  <c:v>BPCO</c:v>
                </c:pt>
                <c:pt idx="5">
                  <c:v>Boala cardiacă ischemică</c:v>
                </c:pt>
                <c:pt idx="6">
                  <c:v>AVC</c:v>
                </c:pt>
                <c:pt idx="7">
                  <c:v>Cancer oral</c:v>
                </c:pt>
                <c:pt idx="8">
                  <c:v>Cancer esofagian</c:v>
                </c:pt>
                <c:pt idx="9">
                  <c:v>Cancer de stomac</c:v>
                </c:pt>
                <c:pt idx="10">
                  <c:v>Cancer hepatic</c:v>
                </c:pt>
                <c:pt idx="11">
                  <c:v>Cancer de pancreas</c:v>
                </c:pt>
                <c:pt idx="12">
                  <c:v>Cancer de laringe</c:v>
                </c:pt>
                <c:pt idx="13">
                  <c:v>Cancer de col uterin</c:v>
                </c:pt>
                <c:pt idx="14">
                  <c:v>Cancer de rinichi</c:v>
                </c:pt>
                <c:pt idx="15">
                  <c:v>Cancer de vezică urinară</c:v>
                </c:pt>
                <c:pt idx="16">
                  <c:v>Leucemie</c:v>
                </c:pt>
                <c:pt idx="17">
                  <c:v>Cancer colorectal</c:v>
                </c:pt>
                <c:pt idx="18">
                  <c:v>Cancer bronhopulmonar</c:v>
                </c:pt>
              </c:strCache>
            </c:strRef>
          </c:cat>
          <c:val>
            <c:numRef>
              <c:f>'Fig 1 direct si indirect'!$B$2:$B$20</c:f>
              <c:numCache>
                <c:formatCode>0.00%</c:formatCode>
                <c:ptCount val="19"/>
                <c:pt idx="0">
                  <c:v>0.217</c:v>
                </c:pt>
                <c:pt idx="1">
                  <c:v>4.2999999999999997E-2</c:v>
                </c:pt>
                <c:pt idx="2">
                  <c:v>8.3000000000000004E-2</c:v>
                </c:pt>
                <c:pt idx="3">
                  <c:v>1.7999999999999999E-2</c:v>
                </c:pt>
                <c:pt idx="4">
                  <c:v>0.33400000000000002</c:v>
                </c:pt>
                <c:pt idx="5">
                  <c:v>8.7999999999999995E-2</c:v>
                </c:pt>
                <c:pt idx="6">
                  <c:v>6.9000000000000006E-2</c:v>
                </c:pt>
                <c:pt idx="7">
                  <c:v>0.01</c:v>
                </c:pt>
                <c:pt idx="8">
                  <c:v>5.0000000000000001E-3</c:v>
                </c:pt>
                <c:pt idx="9">
                  <c:v>4.0000000000000001E-3</c:v>
                </c:pt>
                <c:pt idx="10">
                  <c:v>1E-3</c:v>
                </c:pt>
                <c:pt idx="11">
                  <c:v>2E-3</c:v>
                </c:pt>
                <c:pt idx="12">
                  <c:v>7.0000000000000001E-3</c:v>
                </c:pt>
                <c:pt idx="13">
                  <c:v>8.0000000000000002E-3</c:v>
                </c:pt>
                <c:pt idx="14">
                  <c:v>8.9999999999999993E-3</c:v>
                </c:pt>
                <c:pt idx="15">
                  <c:v>3.9E-2</c:v>
                </c:pt>
                <c:pt idx="16">
                  <c:v>3.0000000000000001E-3</c:v>
                </c:pt>
                <c:pt idx="17">
                  <c:v>0.01</c:v>
                </c:pt>
                <c:pt idx="18">
                  <c:v>5.0999999999999997E-2</c:v>
                </c:pt>
              </c:numCache>
            </c:numRef>
          </c:val>
          <c:extLst>
            <c:ext xmlns:c16="http://schemas.microsoft.com/office/drawing/2014/chart" uri="{C3380CC4-5D6E-409C-BE32-E72D297353CC}">
              <c16:uniqueId val="{00000000-E6DA-4919-90DA-01A533D24124}"/>
            </c:ext>
          </c:extLst>
        </c:ser>
        <c:dLbls>
          <c:showLegendKey val="0"/>
          <c:showVal val="0"/>
          <c:showCatName val="0"/>
          <c:showSerName val="0"/>
          <c:showPercent val="0"/>
          <c:showBubbleSize val="0"/>
        </c:dLbls>
        <c:gapWidth val="219"/>
        <c:overlap val="-27"/>
        <c:axId val="1963371183"/>
        <c:axId val="1963369743"/>
      </c:barChart>
      <c:catAx>
        <c:axId val="196337118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o-RO"/>
          </a:p>
        </c:txPr>
        <c:crossAx val="1963369743"/>
        <c:crosses val="autoZero"/>
        <c:auto val="1"/>
        <c:lblAlgn val="ctr"/>
        <c:lblOffset val="100"/>
        <c:noMultiLvlLbl val="0"/>
      </c:catAx>
      <c:valAx>
        <c:axId val="1963369743"/>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o-RO"/>
          </a:p>
        </c:txPr>
        <c:crossAx val="1963371183"/>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o-RO"/>
    </a:p>
  </c:txPr>
  <c:externalData r:id="rId4">
    <c:autoUpdate val="0"/>
  </c:externalData>
</c:chartSpace>
</file>

<file path=word/charts/chart6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'Fig 2 Cost consum de tutun T  '!$B$1</c:f>
              <c:strCache>
                <c:ptCount val="1"/>
                <c:pt idx="0">
                  <c:v>Cost consum tutun (mld euro)</c:v>
                </c:pt>
              </c:strCache>
            </c:strRef>
          </c:tx>
          <c:spPr>
            <a:solidFill>
              <a:schemeClr val="accent1"/>
            </a:solidFill>
            <a:ln>
              <a:noFill/>
            </a:ln>
            <a:effectLst/>
          </c:spPr>
          <c:invertIfNegative val="0"/>
          <c:dPt>
            <c:idx val="20"/>
            <c:invertIfNegative val="0"/>
            <c:bubble3D val="0"/>
            <c:spPr>
              <a:solidFill>
                <a:srgbClr val="002060"/>
              </a:solidFill>
              <a:ln>
                <a:noFill/>
              </a:ln>
              <a:effectLst/>
            </c:spPr>
            <c:extLst>
              <c:ext xmlns:c16="http://schemas.microsoft.com/office/drawing/2014/chart" uri="{C3380CC4-5D6E-409C-BE32-E72D297353CC}">
                <c16:uniqueId val="{00000001-792A-44A3-BEA1-1B43F780D2F9}"/>
              </c:ext>
            </c:extLst>
          </c:dPt>
          <c:dLbls>
            <c:spPr>
              <a:noFill/>
              <a:ln>
                <a:noFill/>
              </a:ln>
              <a:effectLst/>
            </c:spPr>
            <c:txPr>
              <a:bodyPr rot="-5400000" spcFirstLastPara="1" vertOverflow="ellipsis"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ro-R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'Fig 2 Cost consum de tutun T  '!$A$2:$A$28</c:f>
              <c:strCache>
                <c:ptCount val="27"/>
                <c:pt idx="0">
                  <c:v>Austria</c:v>
                </c:pt>
                <c:pt idx="1">
                  <c:v>Belgia</c:v>
                </c:pt>
                <c:pt idx="2">
                  <c:v>Bulgaria</c:v>
                </c:pt>
                <c:pt idx="3">
                  <c:v>Cehia</c:v>
                </c:pt>
                <c:pt idx="4">
                  <c:v>Cipru</c:v>
                </c:pt>
                <c:pt idx="5">
                  <c:v>Croaţia</c:v>
                </c:pt>
                <c:pt idx="6">
                  <c:v>Danemarca</c:v>
                </c:pt>
                <c:pt idx="7">
                  <c:v>Estonia</c:v>
                </c:pt>
                <c:pt idx="8">
                  <c:v>Finlanda</c:v>
                </c:pt>
                <c:pt idx="9">
                  <c:v>Franța</c:v>
                </c:pt>
                <c:pt idx="10">
                  <c:v>Germania</c:v>
                </c:pt>
                <c:pt idx="11">
                  <c:v>Grecia</c:v>
                </c:pt>
                <c:pt idx="12">
                  <c:v>Irlanda</c:v>
                </c:pt>
                <c:pt idx="13">
                  <c:v>Italia</c:v>
                </c:pt>
                <c:pt idx="14">
                  <c:v>Letonia</c:v>
                </c:pt>
                <c:pt idx="15">
                  <c:v>Lituania</c:v>
                </c:pt>
                <c:pt idx="16">
                  <c:v>Luxemburg</c:v>
                </c:pt>
                <c:pt idx="17">
                  <c:v>Malta</c:v>
                </c:pt>
                <c:pt idx="18">
                  <c:v>Polonia</c:v>
                </c:pt>
                <c:pt idx="19">
                  <c:v>Portugalia</c:v>
                </c:pt>
                <c:pt idx="20">
                  <c:v>România</c:v>
                </c:pt>
                <c:pt idx="21">
                  <c:v>Slovacia</c:v>
                </c:pt>
                <c:pt idx="22">
                  <c:v>Slovenia</c:v>
                </c:pt>
                <c:pt idx="23">
                  <c:v>Spania</c:v>
                </c:pt>
                <c:pt idx="24">
                  <c:v>Suedia</c:v>
                </c:pt>
                <c:pt idx="25">
                  <c:v>Țările de Jos</c:v>
                </c:pt>
                <c:pt idx="26">
                  <c:v>Ungaria</c:v>
                </c:pt>
              </c:strCache>
            </c:strRef>
          </c:cat>
          <c:val>
            <c:numRef>
              <c:f>'Fig 2 Cost consum de tutun T  '!$B$2:$B$28</c:f>
              <c:numCache>
                <c:formatCode>General</c:formatCode>
                <c:ptCount val="27"/>
                <c:pt idx="0">
                  <c:v>2.2599999999999998</c:v>
                </c:pt>
                <c:pt idx="1">
                  <c:v>1.89</c:v>
                </c:pt>
                <c:pt idx="2">
                  <c:v>0.56000000000000005</c:v>
                </c:pt>
                <c:pt idx="3">
                  <c:v>1.22</c:v>
                </c:pt>
                <c:pt idx="4">
                  <c:v>0.11</c:v>
                </c:pt>
                <c:pt idx="5">
                  <c:v>0.48</c:v>
                </c:pt>
                <c:pt idx="6">
                  <c:v>1.02</c:v>
                </c:pt>
                <c:pt idx="7">
                  <c:v>0.18</c:v>
                </c:pt>
                <c:pt idx="8">
                  <c:v>0.74</c:v>
                </c:pt>
                <c:pt idx="9">
                  <c:v>11.31</c:v>
                </c:pt>
                <c:pt idx="10">
                  <c:v>28.23</c:v>
                </c:pt>
                <c:pt idx="11">
                  <c:v>1.3</c:v>
                </c:pt>
                <c:pt idx="12">
                  <c:v>0.62</c:v>
                </c:pt>
                <c:pt idx="13">
                  <c:v>10.14</c:v>
                </c:pt>
                <c:pt idx="14">
                  <c:v>0.21</c:v>
                </c:pt>
                <c:pt idx="15">
                  <c:v>0.27</c:v>
                </c:pt>
                <c:pt idx="16">
                  <c:v>0.09</c:v>
                </c:pt>
                <c:pt idx="17">
                  <c:v>0.05</c:v>
                </c:pt>
                <c:pt idx="18">
                  <c:v>3.22</c:v>
                </c:pt>
                <c:pt idx="19">
                  <c:v>1.02</c:v>
                </c:pt>
                <c:pt idx="20">
                  <c:v>1.1100000000000001</c:v>
                </c:pt>
                <c:pt idx="21">
                  <c:v>0.51</c:v>
                </c:pt>
                <c:pt idx="22">
                  <c:v>0.22</c:v>
                </c:pt>
                <c:pt idx="23">
                  <c:v>7.08</c:v>
                </c:pt>
                <c:pt idx="24">
                  <c:v>0.94</c:v>
                </c:pt>
                <c:pt idx="25">
                  <c:v>3.27</c:v>
                </c:pt>
                <c:pt idx="26">
                  <c:v>1.3</c:v>
                </c:pt>
              </c:numCache>
            </c:numRef>
          </c:val>
          <c:extLst>
            <c:ext xmlns:c16="http://schemas.microsoft.com/office/drawing/2014/chart" uri="{C3380CC4-5D6E-409C-BE32-E72D297353CC}">
              <c16:uniqueId val="{00000002-792A-44A3-BEA1-1B43F780D2F9}"/>
            </c:ext>
          </c:extLst>
        </c:ser>
        <c:dLbls>
          <c:showLegendKey val="0"/>
          <c:showVal val="0"/>
          <c:showCatName val="0"/>
          <c:showSerName val="0"/>
          <c:showPercent val="0"/>
          <c:showBubbleSize val="0"/>
        </c:dLbls>
        <c:gapWidth val="300"/>
        <c:overlap val="-27"/>
        <c:axId val="1991202399"/>
        <c:axId val="1991201439"/>
      </c:barChart>
      <c:catAx>
        <c:axId val="199120239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o-RO"/>
          </a:p>
        </c:txPr>
        <c:crossAx val="1991201439"/>
        <c:crosses val="autoZero"/>
        <c:auto val="1"/>
        <c:lblAlgn val="ctr"/>
        <c:lblOffset val="100"/>
        <c:noMultiLvlLbl val="0"/>
      </c:catAx>
      <c:valAx>
        <c:axId val="199120143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o-RO"/>
          </a:p>
        </c:txPr>
        <c:crossAx val="1991202399"/>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o-RO"/>
    </a:p>
  </c:txPr>
  <c:externalData r:id="rId4">
    <c:autoUpdate val="0"/>
  </c:externalData>
</c:chartSpace>
</file>

<file path=word/charts/chart6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'Fig 3 Cost consum de tutun loc'!$B$1</c:f>
              <c:strCache>
                <c:ptCount val="1"/>
                <c:pt idx="0">
                  <c:v>Cost consum tutun pe cap de locuitor (mil EUR la 1000 loc)</c:v>
                </c:pt>
              </c:strCache>
            </c:strRef>
          </c:tx>
          <c:spPr>
            <a:solidFill>
              <a:schemeClr val="accent1"/>
            </a:solidFill>
            <a:ln>
              <a:noFill/>
            </a:ln>
            <a:effectLst/>
          </c:spPr>
          <c:invertIfNegative val="0"/>
          <c:dPt>
            <c:idx val="20"/>
            <c:invertIfNegative val="0"/>
            <c:bubble3D val="0"/>
            <c:spPr>
              <a:solidFill>
                <a:srgbClr val="E41D48">
                  <a:lumMod val="20000"/>
                  <a:lumOff val="80000"/>
                </a:srgbClr>
              </a:solidFill>
              <a:ln>
                <a:solidFill>
                  <a:srgbClr val="E41D48">
                    <a:lumMod val="20000"/>
                    <a:lumOff val="80000"/>
                  </a:srgbClr>
                </a:solidFill>
              </a:ln>
              <a:effectLst/>
            </c:spPr>
            <c:extLst>
              <c:ext xmlns:c16="http://schemas.microsoft.com/office/drawing/2014/chart" uri="{C3380CC4-5D6E-409C-BE32-E72D297353CC}">
                <c16:uniqueId val="{00000001-888B-4636-9B72-A8C3204CD41E}"/>
              </c:ext>
            </c:extLst>
          </c:dPt>
          <c:dPt>
            <c:idx val="27"/>
            <c:invertIfNegative val="0"/>
            <c:bubble3D val="0"/>
            <c:spPr>
              <a:solidFill>
                <a:srgbClr val="262262">
                  <a:lumMod val="20000"/>
                  <a:lumOff val="80000"/>
                </a:srgbClr>
              </a:solidFill>
              <a:ln>
                <a:solidFill>
                  <a:srgbClr val="262262">
                    <a:lumMod val="20000"/>
                    <a:lumOff val="80000"/>
                  </a:srgbClr>
                </a:solidFill>
              </a:ln>
              <a:effectLst/>
            </c:spPr>
            <c:extLst>
              <c:ext xmlns:c16="http://schemas.microsoft.com/office/drawing/2014/chart" uri="{C3380CC4-5D6E-409C-BE32-E72D297353CC}">
                <c16:uniqueId val="{00000003-888B-4636-9B72-A8C3204CD41E}"/>
              </c:ext>
            </c:extLst>
          </c:dPt>
          <c:dLbls>
            <c:spPr>
              <a:noFill/>
              <a:ln>
                <a:noFill/>
              </a:ln>
              <a:effectLst/>
            </c:spPr>
            <c:txPr>
              <a:bodyPr rot="-5400000" spcFirstLastPara="1" vertOverflow="ellipsis"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ro-R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'Fig 3 Cost consum de tutun loc'!$A$2:$A$29</c:f>
              <c:strCache>
                <c:ptCount val="28"/>
                <c:pt idx="0">
                  <c:v>Austria</c:v>
                </c:pt>
                <c:pt idx="1">
                  <c:v>Belgia</c:v>
                </c:pt>
                <c:pt idx="2">
                  <c:v>Bulgaria</c:v>
                </c:pt>
                <c:pt idx="3">
                  <c:v>Cehia</c:v>
                </c:pt>
                <c:pt idx="4">
                  <c:v>Cipru</c:v>
                </c:pt>
                <c:pt idx="5">
                  <c:v>Croaţia</c:v>
                </c:pt>
                <c:pt idx="6">
                  <c:v>Danemarca</c:v>
                </c:pt>
                <c:pt idx="7">
                  <c:v>Estonia</c:v>
                </c:pt>
                <c:pt idx="8">
                  <c:v>Finlanda</c:v>
                </c:pt>
                <c:pt idx="9">
                  <c:v>Franța</c:v>
                </c:pt>
                <c:pt idx="10">
                  <c:v>Germania</c:v>
                </c:pt>
                <c:pt idx="11">
                  <c:v>Grecia</c:v>
                </c:pt>
                <c:pt idx="12">
                  <c:v>Irlanda</c:v>
                </c:pt>
                <c:pt idx="13">
                  <c:v>Italia</c:v>
                </c:pt>
                <c:pt idx="14">
                  <c:v>Letonia</c:v>
                </c:pt>
                <c:pt idx="15">
                  <c:v>Lituania</c:v>
                </c:pt>
                <c:pt idx="16">
                  <c:v>Luxemburg</c:v>
                </c:pt>
                <c:pt idx="17">
                  <c:v>Malta</c:v>
                </c:pt>
                <c:pt idx="18">
                  <c:v>Polonia</c:v>
                </c:pt>
                <c:pt idx="19">
                  <c:v>Portugalia</c:v>
                </c:pt>
                <c:pt idx="20">
                  <c:v>România</c:v>
                </c:pt>
                <c:pt idx="21">
                  <c:v>Slovacia</c:v>
                </c:pt>
                <c:pt idx="22">
                  <c:v>Slovenia</c:v>
                </c:pt>
                <c:pt idx="23">
                  <c:v>Spania</c:v>
                </c:pt>
                <c:pt idx="24">
                  <c:v>Suedia</c:v>
                </c:pt>
                <c:pt idx="25">
                  <c:v>Țările de Jos</c:v>
                </c:pt>
                <c:pt idx="26">
                  <c:v>Ungaria</c:v>
                </c:pt>
                <c:pt idx="27">
                  <c:v>UE</c:v>
                </c:pt>
              </c:strCache>
            </c:strRef>
          </c:cat>
          <c:val>
            <c:numRef>
              <c:f>'Fig 3 Cost consum de tutun loc'!$B$2:$B$29</c:f>
              <c:numCache>
                <c:formatCode>General</c:formatCode>
                <c:ptCount val="28"/>
                <c:pt idx="0">
                  <c:v>0.25</c:v>
                </c:pt>
                <c:pt idx="1">
                  <c:v>0.16</c:v>
                </c:pt>
                <c:pt idx="2">
                  <c:v>0.09</c:v>
                </c:pt>
                <c:pt idx="3">
                  <c:v>0.11</c:v>
                </c:pt>
                <c:pt idx="4">
                  <c:v>0.12</c:v>
                </c:pt>
                <c:pt idx="5">
                  <c:v>0.13</c:v>
                </c:pt>
                <c:pt idx="6">
                  <c:v>0.17</c:v>
                </c:pt>
                <c:pt idx="7">
                  <c:v>0.13</c:v>
                </c:pt>
                <c:pt idx="8">
                  <c:v>0.13</c:v>
                </c:pt>
                <c:pt idx="9">
                  <c:v>0.17</c:v>
                </c:pt>
                <c:pt idx="10">
                  <c:v>0.33</c:v>
                </c:pt>
                <c:pt idx="11">
                  <c:v>0.12</c:v>
                </c:pt>
                <c:pt idx="12">
                  <c:v>0.12</c:v>
                </c:pt>
                <c:pt idx="13">
                  <c:v>0.17</c:v>
                </c:pt>
                <c:pt idx="14">
                  <c:v>0.11</c:v>
                </c:pt>
                <c:pt idx="15">
                  <c:v>0.09</c:v>
                </c:pt>
                <c:pt idx="16">
                  <c:v>0.14000000000000001</c:v>
                </c:pt>
                <c:pt idx="17">
                  <c:v>0.1</c:v>
                </c:pt>
                <c:pt idx="18">
                  <c:v>0.09</c:v>
                </c:pt>
                <c:pt idx="19">
                  <c:v>0.1</c:v>
                </c:pt>
                <c:pt idx="20">
                  <c:v>0.06</c:v>
                </c:pt>
                <c:pt idx="21">
                  <c:v>0.09</c:v>
                </c:pt>
                <c:pt idx="22">
                  <c:v>0.1</c:v>
                </c:pt>
                <c:pt idx="23">
                  <c:v>0.15</c:v>
                </c:pt>
                <c:pt idx="24">
                  <c:v>0.09</c:v>
                </c:pt>
                <c:pt idx="25">
                  <c:v>0.18</c:v>
                </c:pt>
                <c:pt idx="26">
                  <c:v>0.14000000000000001</c:v>
                </c:pt>
                <c:pt idx="27">
                  <c:v>0.15</c:v>
                </c:pt>
              </c:numCache>
            </c:numRef>
          </c:val>
          <c:extLst>
            <c:ext xmlns:c16="http://schemas.microsoft.com/office/drawing/2014/chart" uri="{C3380CC4-5D6E-409C-BE32-E72D297353CC}">
              <c16:uniqueId val="{00000004-888B-4636-9B72-A8C3204CD41E}"/>
            </c:ext>
          </c:extLst>
        </c:ser>
        <c:dLbls>
          <c:showLegendKey val="0"/>
          <c:showVal val="0"/>
          <c:showCatName val="0"/>
          <c:showSerName val="0"/>
          <c:showPercent val="0"/>
          <c:showBubbleSize val="0"/>
        </c:dLbls>
        <c:gapWidth val="300"/>
        <c:overlap val="-27"/>
        <c:axId val="1991202399"/>
        <c:axId val="1991201439"/>
      </c:barChart>
      <c:catAx>
        <c:axId val="199120239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o-RO"/>
          </a:p>
        </c:txPr>
        <c:crossAx val="1991201439"/>
        <c:crosses val="autoZero"/>
        <c:auto val="1"/>
        <c:lblAlgn val="ctr"/>
        <c:lblOffset val="100"/>
        <c:noMultiLvlLbl val="0"/>
      </c:catAx>
      <c:valAx>
        <c:axId val="199120143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o-RO"/>
          </a:p>
        </c:txPr>
        <c:crossAx val="1991202399"/>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o-RO"/>
    </a:p>
  </c:txPr>
  <c:externalData r:id="rId4">
    <c:autoUpdate val="0"/>
  </c:externalData>
</c:chartSpace>
</file>

<file path=word/charts/chart6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'Fig 4 Cost consum de tutun  PIB'!$B$1</c:f>
              <c:strCache>
                <c:ptCount val="1"/>
                <c:pt idx="0">
                  <c:v>Cost consum tutun relativ la PIB (2023, val %)</c:v>
                </c:pt>
              </c:strCache>
            </c:strRef>
          </c:tx>
          <c:spPr>
            <a:solidFill>
              <a:schemeClr val="accent1"/>
            </a:solidFill>
            <a:ln>
              <a:noFill/>
            </a:ln>
            <a:effectLst/>
          </c:spPr>
          <c:invertIfNegative val="0"/>
          <c:dPt>
            <c:idx val="20"/>
            <c:invertIfNegative val="0"/>
            <c:bubble3D val="0"/>
            <c:spPr>
              <a:solidFill>
                <a:srgbClr val="E41D48">
                  <a:lumMod val="20000"/>
                  <a:lumOff val="80000"/>
                </a:srgbClr>
              </a:solidFill>
              <a:ln>
                <a:solidFill>
                  <a:srgbClr val="E41D48">
                    <a:lumMod val="20000"/>
                    <a:lumOff val="80000"/>
                  </a:srgbClr>
                </a:solidFill>
              </a:ln>
              <a:effectLst/>
            </c:spPr>
            <c:extLst>
              <c:ext xmlns:c16="http://schemas.microsoft.com/office/drawing/2014/chart" uri="{C3380CC4-5D6E-409C-BE32-E72D297353CC}">
                <c16:uniqueId val="{00000001-7FCD-426B-AA1F-3F2A5C5FCFBF}"/>
              </c:ext>
            </c:extLst>
          </c:dPt>
          <c:dPt>
            <c:idx val="27"/>
            <c:invertIfNegative val="0"/>
            <c:bubble3D val="0"/>
            <c:spPr>
              <a:solidFill>
                <a:srgbClr val="262262">
                  <a:lumMod val="20000"/>
                  <a:lumOff val="80000"/>
                </a:srgbClr>
              </a:solidFill>
              <a:ln>
                <a:solidFill>
                  <a:srgbClr val="262262">
                    <a:lumMod val="20000"/>
                    <a:lumOff val="80000"/>
                  </a:srgbClr>
                </a:solidFill>
              </a:ln>
              <a:effectLst/>
            </c:spPr>
            <c:extLst>
              <c:ext xmlns:c16="http://schemas.microsoft.com/office/drawing/2014/chart" uri="{C3380CC4-5D6E-409C-BE32-E72D297353CC}">
                <c16:uniqueId val="{00000003-7FCD-426B-AA1F-3F2A5C5FCFBF}"/>
              </c:ext>
            </c:extLst>
          </c:dPt>
          <c:dLbls>
            <c:spPr>
              <a:noFill/>
              <a:ln>
                <a:noFill/>
              </a:ln>
              <a:effectLst/>
            </c:spPr>
            <c:txPr>
              <a:bodyPr rot="-5400000" spcFirstLastPara="1" vertOverflow="ellipsis"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ro-R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'Fig 4 Cost consum de tutun  PIB'!$A$2:$A$29</c:f>
              <c:strCache>
                <c:ptCount val="28"/>
                <c:pt idx="0">
                  <c:v>Austria</c:v>
                </c:pt>
                <c:pt idx="1">
                  <c:v>Belgia</c:v>
                </c:pt>
                <c:pt idx="2">
                  <c:v>Bulgaria</c:v>
                </c:pt>
                <c:pt idx="3">
                  <c:v>Cehia</c:v>
                </c:pt>
                <c:pt idx="4">
                  <c:v>Cipru</c:v>
                </c:pt>
                <c:pt idx="5">
                  <c:v>Croaţia</c:v>
                </c:pt>
                <c:pt idx="6">
                  <c:v>Danemarca</c:v>
                </c:pt>
                <c:pt idx="7">
                  <c:v>Estonia</c:v>
                </c:pt>
                <c:pt idx="8">
                  <c:v>Finlanda</c:v>
                </c:pt>
                <c:pt idx="9">
                  <c:v>Franța</c:v>
                </c:pt>
                <c:pt idx="10">
                  <c:v>Germania</c:v>
                </c:pt>
                <c:pt idx="11">
                  <c:v>Grecia</c:v>
                </c:pt>
                <c:pt idx="12">
                  <c:v>Irlanda</c:v>
                </c:pt>
                <c:pt idx="13">
                  <c:v>Italia</c:v>
                </c:pt>
                <c:pt idx="14">
                  <c:v>Letonia</c:v>
                </c:pt>
                <c:pt idx="15">
                  <c:v>Lituania</c:v>
                </c:pt>
                <c:pt idx="16">
                  <c:v>Luxemburg</c:v>
                </c:pt>
                <c:pt idx="17">
                  <c:v>Malta</c:v>
                </c:pt>
                <c:pt idx="18">
                  <c:v>Polonia</c:v>
                </c:pt>
                <c:pt idx="19">
                  <c:v>Portugalia</c:v>
                </c:pt>
                <c:pt idx="20">
                  <c:v>România</c:v>
                </c:pt>
                <c:pt idx="21">
                  <c:v>Slovacia</c:v>
                </c:pt>
                <c:pt idx="22">
                  <c:v>Slovenia</c:v>
                </c:pt>
                <c:pt idx="23">
                  <c:v>Spania</c:v>
                </c:pt>
                <c:pt idx="24">
                  <c:v>Suedia</c:v>
                </c:pt>
                <c:pt idx="25">
                  <c:v>Țările de Jos</c:v>
                </c:pt>
                <c:pt idx="26">
                  <c:v>Ungaria</c:v>
                </c:pt>
                <c:pt idx="27">
                  <c:v>UE</c:v>
                </c:pt>
              </c:strCache>
            </c:strRef>
          </c:cat>
          <c:val>
            <c:numRef>
              <c:f>'Fig 4 Cost consum de tutun  PIB'!$B$2:$B$29</c:f>
              <c:numCache>
                <c:formatCode>0.00%</c:formatCode>
                <c:ptCount val="28"/>
                <c:pt idx="0">
                  <c:v>4.7999999999999996E-3</c:v>
                </c:pt>
                <c:pt idx="1">
                  <c:v>3.2000000000000002E-3</c:v>
                </c:pt>
                <c:pt idx="2">
                  <c:v>5.8999999999999999E-3</c:v>
                </c:pt>
                <c:pt idx="3">
                  <c:v>3.8999999999999998E-3</c:v>
                </c:pt>
                <c:pt idx="4">
                  <c:v>3.5000000000000001E-3</c:v>
                </c:pt>
                <c:pt idx="5">
                  <c:v>6.3E-3</c:v>
                </c:pt>
                <c:pt idx="6">
                  <c:v>2.7000000000000001E-3</c:v>
                </c:pt>
                <c:pt idx="7">
                  <c:v>4.5999999999999999E-3</c:v>
                </c:pt>
                <c:pt idx="8">
                  <c:v>2.7000000000000001E-3</c:v>
                </c:pt>
                <c:pt idx="9">
                  <c:v>4.0000000000000001E-3</c:v>
                </c:pt>
                <c:pt idx="10">
                  <c:v>6.7999999999999996E-3</c:v>
                </c:pt>
                <c:pt idx="11">
                  <c:v>5.8999999999999999E-3</c:v>
                </c:pt>
                <c:pt idx="12">
                  <c:v>1.1999999999999999E-3</c:v>
                </c:pt>
                <c:pt idx="13">
                  <c:v>4.7999999999999996E-3</c:v>
                </c:pt>
                <c:pt idx="14">
                  <c:v>5.3E-3</c:v>
                </c:pt>
                <c:pt idx="15">
                  <c:v>3.5999999999999999E-3</c:v>
                </c:pt>
                <c:pt idx="16">
                  <c:v>1.1000000000000001E-3</c:v>
                </c:pt>
                <c:pt idx="17">
                  <c:v>2.7000000000000001E-3</c:v>
                </c:pt>
                <c:pt idx="18">
                  <c:v>4.4000000000000003E-3</c:v>
                </c:pt>
                <c:pt idx="19">
                  <c:v>3.8E-3</c:v>
                </c:pt>
                <c:pt idx="20">
                  <c:v>3.3999999999999998E-3</c:v>
                </c:pt>
                <c:pt idx="21">
                  <c:v>4.1999999999999997E-3</c:v>
                </c:pt>
                <c:pt idx="22">
                  <c:v>3.3999999999999998E-3</c:v>
                </c:pt>
                <c:pt idx="23">
                  <c:v>4.7999999999999996E-3</c:v>
                </c:pt>
                <c:pt idx="24">
                  <c:v>1.8E-3</c:v>
                </c:pt>
                <c:pt idx="25">
                  <c:v>3.0999999999999999E-3</c:v>
                </c:pt>
                <c:pt idx="26">
                  <c:v>6.6E-3</c:v>
                </c:pt>
                <c:pt idx="27">
                  <c:v>4.7000000000000002E-3</c:v>
                </c:pt>
              </c:numCache>
            </c:numRef>
          </c:val>
          <c:extLst>
            <c:ext xmlns:c16="http://schemas.microsoft.com/office/drawing/2014/chart" uri="{C3380CC4-5D6E-409C-BE32-E72D297353CC}">
              <c16:uniqueId val="{00000004-7FCD-426B-AA1F-3F2A5C5FCFBF}"/>
            </c:ext>
          </c:extLst>
        </c:ser>
        <c:dLbls>
          <c:showLegendKey val="0"/>
          <c:showVal val="0"/>
          <c:showCatName val="0"/>
          <c:showSerName val="0"/>
          <c:showPercent val="0"/>
          <c:showBubbleSize val="0"/>
        </c:dLbls>
        <c:gapWidth val="300"/>
        <c:overlap val="-27"/>
        <c:axId val="1991202399"/>
        <c:axId val="1991201439"/>
      </c:barChart>
      <c:catAx>
        <c:axId val="199120239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o-RO"/>
          </a:p>
        </c:txPr>
        <c:crossAx val="1991201439"/>
        <c:crosses val="autoZero"/>
        <c:auto val="1"/>
        <c:lblAlgn val="ctr"/>
        <c:lblOffset val="100"/>
        <c:noMultiLvlLbl val="0"/>
      </c:catAx>
      <c:valAx>
        <c:axId val="1991201439"/>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o-RO"/>
          </a:p>
        </c:txPr>
        <c:crossAx val="1991202399"/>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o-RO"/>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a:t>
            </a:r>
            <a:endParaRPr lang="ro-RO"/>
          </a:p>
        </c:rich>
      </c:tx>
      <c:layout>
        <c:manualLayout>
          <c:xMode val="edge"/>
          <c:yMode val="edge"/>
          <c:x val="0.64865818319264201"/>
          <c:y val="3.0241935483870969E-2"/>
        </c:manualLayout>
      </c:layout>
      <c:overlay val="1"/>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o-RO"/>
        </a:p>
      </c:txPr>
    </c:title>
    <c:autoTitleDeleted val="0"/>
    <c:plotArea>
      <c:layout>
        <c:manualLayout>
          <c:layoutTarget val="inner"/>
          <c:xMode val="edge"/>
          <c:yMode val="edge"/>
          <c:x val="9.8219816272965874E-2"/>
          <c:y val="0.13004629629629633"/>
          <c:w val="0.87122462817147861"/>
          <c:h val="0.71169765237678628"/>
        </c:manualLayout>
      </c:layout>
      <c:barChart>
        <c:barDir val="col"/>
        <c:grouping val="clustered"/>
        <c:varyColors val="0"/>
        <c:ser>
          <c:idx val="0"/>
          <c:order val="0"/>
          <c:spPr>
            <a:solidFill>
              <a:schemeClr val="accent1"/>
            </a:solidFill>
            <a:ln>
              <a:noFill/>
            </a:ln>
            <a:effectLst/>
          </c:spPr>
          <c:invertIfNegative val="0"/>
          <c:dLbls>
            <c:dLbl>
              <c:idx val="2"/>
              <c:layout>
                <c:manualLayout>
                  <c:x val="2.777780533512434E-3"/>
                  <c:y val="7.2056769113538113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5909-4F9D-A870-9FCBF4C45485}"/>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o-R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'52'!$D$4:$I$4</c:f>
              <c:strCache>
                <c:ptCount val="6"/>
                <c:pt idx="0">
                  <c:v>Sub 5 
ţigări</c:v>
                </c:pt>
                <c:pt idx="1">
                  <c:v>5-9 
ţigări</c:v>
                </c:pt>
                <c:pt idx="2">
                  <c:v>10-19 
ţigări</c:v>
                </c:pt>
                <c:pt idx="3">
                  <c:v>20-29 
ţigări</c:v>
                </c:pt>
                <c:pt idx="4">
                  <c:v>30-39 
ţigări</c:v>
                </c:pt>
                <c:pt idx="5">
                  <c:v>40 ţigări 
şi peste</c:v>
                </c:pt>
              </c:strCache>
            </c:strRef>
          </c:cat>
          <c:val>
            <c:numRef>
              <c:f>'52'!$D$7:$I$7</c:f>
              <c:numCache>
                <c:formatCode>0.00</c:formatCode>
                <c:ptCount val="6"/>
                <c:pt idx="0">
                  <c:v>3.4</c:v>
                </c:pt>
                <c:pt idx="1">
                  <c:v>10.73</c:v>
                </c:pt>
                <c:pt idx="2">
                  <c:v>56.83</c:v>
                </c:pt>
                <c:pt idx="3">
                  <c:v>26.94</c:v>
                </c:pt>
                <c:pt idx="4">
                  <c:v>1.86</c:v>
                </c:pt>
                <c:pt idx="5">
                  <c:v>0.23</c:v>
                </c:pt>
              </c:numCache>
            </c:numRef>
          </c:val>
          <c:extLst>
            <c:ext xmlns:c16="http://schemas.microsoft.com/office/drawing/2014/chart" uri="{C3380CC4-5D6E-409C-BE32-E72D297353CC}">
              <c16:uniqueId val="{00000001-5909-4F9D-A870-9FCBF4C45485}"/>
            </c:ext>
          </c:extLst>
        </c:ser>
        <c:dLbls>
          <c:showLegendKey val="0"/>
          <c:showVal val="0"/>
          <c:showCatName val="0"/>
          <c:showSerName val="0"/>
          <c:showPercent val="0"/>
          <c:showBubbleSize val="0"/>
        </c:dLbls>
        <c:gapWidth val="219"/>
        <c:overlap val="-27"/>
        <c:axId val="1206421856"/>
        <c:axId val="1353283728"/>
      </c:barChart>
      <c:catAx>
        <c:axId val="12064218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o-RO"/>
          </a:p>
        </c:txPr>
        <c:crossAx val="1353283728"/>
        <c:crosses val="autoZero"/>
        <c:auto val="1"/>
        <c:lblAlgn val="ctr"/>
        <c:lblOffset val="100"/>
        <c:noMultiLvlLbl val="0"/>
      </c:catAx>
      <c:valAx>
        <c:axId val="135328372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o-RO"/>
          </a:p>
        </c:txPr>
        <c:crossAx val="1206421856"/>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o-RO"/>
    </a:p>
  </c:txPr>
  <c:externalData r:id="rId4">
    <c:autoUpdate val="0"/>
  </c:externalData>
</c:chartSpace>
</file>

<file path=word/charts/chart7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'Fig 5 Cost consum de tutun DIR'!$B$1</c:f>
              <c:strCache>
                <c:ptCount val="1"/>
                <c:pt idx="0">
                  <c:v>Costuri directe consum tutun în rap cu cheltuieli totale (val %)</c:v>
                </c:pt>
              </c:strCache>
            </c:strRef>
          </c:tx>
          <c:spPr>
            <a:solidFill>
              <a:schemeClr val="accent1"/>
            </a:solidFill>
            <a:ln>
              <a:noFill/>
            </a:ln>
            <a:effectLst/>
          </c:spPr>
          <c:invertIfNegative val="0"/>
          <c:dPt>
            <c:idx val="20"/>
            <c:invertIfNegative val="0"/>
            <c:bubble3D val="0"/>
            <c:spPr>
              <a:solidFill>
                <a:srgbClr val="E41D48">
                  <a:lumMod val="20000"/>
                  <a:lumOff val="80000"/>
                </a:srgbClr>
              </a:solidFill>
              <a:ln>
                <a:solidFill>
                  <a:srgbClr val="E41D48">
                    <a:lumMod val="20000"/>
                    <a:lumOff val="80000"/>
                  </a:srgbClr>
                </a:solidFill>
              </a:ln>
              <a:effectLst/>
            </c:spPr>
            <c:extLst>
              <c:ext xmlns:c16="http://schemas.microsoft.com/office/drawing/2014/chart" uri="{C3380CC4-5D6E-409C-BE32-E72D297353CC}">
                <c16:uniqueId val="{00000001-8B35-49D9-B3A3-571EC8826F7D}"/>
              </c:ext>
            </c:extLst>
          </c:dPt>
          <c:dPt>
            <c:idx val="27"/>
            <c:invertIfNegative val="0"/>
            <c:bubble3D val="0"/>
            <c:spPr>
              <a:solidFill>
                <a:srgbClr val="262262">
                  <a:lumMod val="20000"/>
                  <a:lumOff val="80000"/>
                </a:srgbClr>
              </a:solidFill>
              <a:ln>
                <a:solidFill>
                  <a:srgbClr val="262262">
                    <a:lumMod val="20000"/>
                    <a:lumOff val="80000"/>
                  </a:srgbClr>
                </a:solidFill>
              </a:ln>
              <a:effectLst/>
            </c:spPr>
            <c:extLst>
              <c:ext xmlns:c16="http://schemas.microsoft.com/office/drawing/2014/chart" uri="{C3380CC4-5D6E-409C-BE32-E72D297353CC}">
                <c16:uniqueId val="{00000003-8B35-49D9-B3A3-571EC8826F7D}"/>
              </c:ext>
            </c:extLst>
          </c:dPt>
          <c:dLbls>
            <c:spPr>
              <a:noFill/>
              <a:ln>
                <a:noFill/>
              </a:ln>
              <a:effectLst/>
            </c:spPr>
            <c:txPr>
              <a:bodyPr rot="-5400000" spcFirstLastPara="1" vertOverflow="ellipsis" wrap="square" lIns="38100" tIns="19050" rIns="38100" bIns="19050" anchor="ctr" anchorCtr="1">
                <a:spAutoFit/>
              </a:bodyPr>
              <a:lstStyle/>
              <a:p>
                <a:pPr>
                  <a:defRPr sz="800" b="1" i="0" u="none" strike="noStrike" kern="1200" baseline="0">
                    <a:solidFill>
                      <a:schemeClr val="tx1">
                        <a:lumMod val="75000"/>
                        <a:lumOff val="25000"/>
                      </a:schemeClr>
                    </a:solidFill>
                    <a:latin typeface="+mn-lt"/>
                    <a:ea typeface="+mn-ea"/>
                    <a:cs typeface="+mn-cs"/>
                  </a:defRPr>
                </a:pPr>
                <a:endParaRPr lang="ro-R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'Fig 5 Cost consum de tutun DIR'!$A$2:$A$29</c:f>
              <c:strCache>
                <c:ptCount val="28"/>
                <c:pt idx="0">
                  <c:v>Austria</c:v>
                </c:pt>
                <c:pt idx="1">
                  <c:v>Belgia</c:v>
                </c:pt>
                <c:pt idx="2">
                  <c:v>Bulgaria</c:v>
                </c:pt>
                <c:pt idx="3">
                  <c:v>Cehia</c:v>
                </c:pt>
                <c:pt idx="4">
                  <c:v>Cipru</c:v>
                </c:pt>
                <c:pt idx="5">
                  <c:v>Croaţia</c:v>
                </c:pt>
                <c:pt idx="6">
                  <c:v>Danemarca</c:v>
                </c:pt>
                <c:pt idx="7">
                  <c:v>Estonia</c:v>
                </c:pt>
                <c:pt idx="8">
                  <c:v>Finlanda</c:v>
                </c:pt>
                <c:pt idx="9">
                  <c:v>Franța</c:v>
                </c:pt>
                <c:pt idx="10">
                  <c:v>Germania</c:v>
                </c:pt>
                <c:pt idx="11">
                  <c:v>Grecia</c:v>
                </c:pt>
                <c:pt idx="12">
                  <c:v>Irlanda</c:v>
                </c:pt>
                <c:pt idx="13">
                  <c:v>Italia</c:v>
                </c:pt>
                <c:pt idx="14">
                  <c:v>Letonia</c:v>
                </c:pt>
                <c:pt idx="15">
                  <c:v>Lituania</c:v>
                </c:pt>
                <c:pt idx="16">
                  <c:v>Luxemburg</c:v>
                </c:pt>
                <c:pt idx="17">
                  <c:v>Malta</c:v>
                </c:pt>
                <c:pt idx="18">
                  <c:v>Polonia</c:v>
                </c:pt>
                <c:pt idx="19">
                  <c:v>Portugalia</c:v>
                </c:pt>
                <c:pt idx="20">
                  <c:v>România</c:v>
                </c:pt>
                <c:pt idx="21">
                  <c:v>Slovacia</c:v>
                </c:pt>
                <c:pt idx="22">
                  <c:v>Slovenia</c:v>
                </c:pt>
                <c:pt idx="23">
                  <c:v>Spania</c:v>
                </c:pt>
                <c:pt idx="24">
                  <c:v>Suedia</c:v>
                </c:pt>
                <c:pt idx="25">
                  <c:v>Țările de Jos</c:v>
                </c:pt>
                <c:pt idx="26">
                  <c:v>Ungaria</c:v>
                </c:pt>
                <c:pt idx="27">
                  <c:v>UE</c:v>
                </c:pt>
              </c:strCache>
            </c:strRef>
          </c:cat>
          <c:val>
            <c:numRef>
              <c:f>'Fig 5 Cost consum de tutun DIR'!$B$2:$B$29</c:f>
              <c:numCache>
                <c:formatCode>0.00%</c:formatCode>
                <c:ptCount val="28"/>
                <c:pt idx="0">
                  <c:v>2.3E-2</c:v>
                </c:pt>
                <c:pt idx="1">
                  <c:v>1.4999999999999999E-2</c:v>
                </c:pt>
                <c:pt idx="2">
                  <c:v>4.3999999999999997E-2</c:v>
                </c:pt>
                <c:pt idx="3">
                  <c:v>2.5999999999999999E-2</c:v>
                </c:pt>
                <c:pt idx="4">
                  <c:v>2.1999999999999999E-2</c:v>
                </c:pt>
                <c:pt idx="5">
                  <c:v>4.3999999999999997E-2</c:v>
                </c:pt>
                <c:pt idx="6">
                  <c:v>1.4E-2</c:v>
                </c:pt>
                <c:pt idx="7">
                  <c:v>3.1E-2</c:v>
                </c:pt>
                <c:pt idx="8">
                  <c:v>1.6E-2</c:v>
                </c:pt>
                <c:pt idx="9">
                  <c:v>1.9E-2</c:v>
                </c:pt>
                <c:pt idx="10">
                  <c:v>2.8000000000000001E-2</c:v>
                </c:pt>
                <c:pt idx="11">
                  <c:v>3.7999999999999999E-2</c:v>
                </c:pt>
                <c:pt idx="12">
                  <c:v>0.01</c:v>
                </c:pt>
                <c:pt idx="13">
                  <c:v>2.8000000000000001E-2</c:v>
                </c:pt>
                <c:pt idx="14">
                  <c:v>0.03</c:v>
                </c:pt>
                <c:pt idx="15">
                  <c:v>2.5000000000000001E-2</c:v>
                </c:pt>
                <c:pt idx="16">
                  <c:v>1.0999999999999999E-2</c:v>
                </c:pt>
                <c:pt idx="17">
                  <c:v>1.7000000000000001E-2</c:v>
                </c:pt>
                <c:pt idx="18">
                  <c:v>3.5999999999999997E-2</c:v>
                </c:pt>
                <c:pt idx="19">
                  <c:v>1.9E-2</c:v>
                </c:pt>
                <c:pt idx="20">
                  <c:v>3.2000000000000001E-2</c:v>
                </c:pt>
                <c:pt idx="21">
                  <c:v>0.03</c:v>
                </c:pt>
                <c:pt idx="22">
                  <c:v>1.9E-2</c:v>
                </c:pt>
                <c:pt idx="23">
                  <c:v>2.8000000000000001E-2</c:v>
                </c:pt>
                <c:pt idx="24">
                  <c:v>8.0000000000000002E-3</c:v>
                </c:pt>
                <c:pt idx="25">
                  <c:v>1.7999999999999999E-2</c:v>
                </c:pt>
                <c:pt idx="26">
                  <c:v>5.7000000000000002E-2</c:v>
                </c:pt>
                <c:pt idx="27">
                  <c:v>2.5000000000000001E-2</c:v>
                </c:pt>
              </c:numCache>
            </c:numRef>
          </c:val>
          <c:extLst>
            <c:ext xmlns:c16="http://schemas.microsoft.com/office/drawing/2014/chart" uri="{C3380CC4-5D6E-409C-BE32-E72D297353CC}">
              <c16:uniqueId val="{00000004-8B35-49D9-B3A3-571EC8826F7D}"/>
            </c:ext>
          </c:extLst>
        </c:ser>
        <c:dLbls>
          <c:showLegendKey val="0"/>
          <c:showVal val="0"/>
          <c:showCatName val="0"/>
          <c:showSerName val="0"/>
          <c:showPercent val="0"/>
          <c:showBubbleSize val="0"/>
        </c:dLbls>
        <c:gapWidth val="300"/>
        <c:overlap val="-27"/>
        <c:axId val="1991202399"/>
        <c:axId val="1991201439"/>
      </c:barChart>
      <c:catAx>
        <c:axId val="199120239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o-RO"/>
          </a:p>
        </c:txPr>
        <c:crossAx val="1991201439"/>
        <c:crosses val="autoZero"/>
        <c:auto val="1"/>
        <c:lblAlgn val="ctr"/>
        <c:lblOffset val="100"/>
        <c:noMultiLvlLbl val="0"/>
      </c:catAx>
      <c:valAx>
        <c:axId val="1991201439"/>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o-RO"/>
          </a:p>
        </c:txPr>
        <c:crossAx val="1991202399"/>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o-RO"/>
    </a:p>
  </c:txPr>
  <c:externalData r:id="rId4">
    <c:autoUpdate val="0"/>
  </c:externalData>
</c:chartSpace>
</file>

<file path=word/charts/chart7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chemeClr val="accent1"/>
            </a:solidFill>
            <a:ln>
              <a:noFill/>
            </a:ln>
            <a:effectLst/>
          </c:spPr>
          <c:invertIfNegative val="0"/>
          <c:dPt>
            <c:idx val="2"/>
            <c:invertIfNegative val="0"/>
            <c:bubble3D val="0"/>
            <c:spPr>
              <a:solidFill>
                <a:schemeClr val="accent2"/>
              </a:solidFill>
              <a:ln>
                <a:noFill/>
              </a:ln>
              <a:effectLst/>
            </c:spPr>
            <c:extLst>
              <c:ext xmlns:c16="http://schemas.microsoft.com/office/drawing/2014/chart" uri="{C3380CC4-5D6E-409C-BE32-E72D297353CC}">
                <c16:uniqueId val="{00000001-F550-4605-A3D1-DE27F80530E0}"/>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o-R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('51'!$C$3:$C$4,'51'!$D$4,'51'!$E$4)</c:f>
              <c:strCache>
                <c:ptCount val="3"/>
                <c:pt idx="0">
                  <c:v>Persoane
fumătoare
(%)</c:v>
                </c:pt>
                <c:pt idx="1">
                  <c:v> Zilnic</c:v>
                </c:pt>
                <c:pt idx="2">
                  <c:v>Ocazional</c:v>
                </c:pt>
              </c:strCache>
            </c:strRef>
          </c:cat>
          <c:val>
            <c:numRef>
              <c:f>'51'!$C$8:$E$8</c:f>
              <c:numCache>
                <c:formatCode>0.00</c:formatCode>
                <c:ptCount val="3"/>
                <c:pt idx="0">
                  <c:v>19.97</c:v>
                </c:pt>
                <c:pt idx="1">
                  <c:v>10.16</c:v>
                </c:pt>
                <c:pt idx="2">
                  <c:v>9.81</c:v>
                </c:pt>
              </c:numCache>
            </c:numRef>
          </c:val>
          <c:extLst>
            <c:ext xmlns:c16="http://schemas.microsoft.com/office/drawing/2014/chart" uri="{C3380CC4-5D6E-409C-BE32-E72D297353CC}">
              <c16:uniqueId val="{00000002-F550-4605-A3D1-DE27F80530E0}"/>
            </c:ext>
          </c:extLst>
        </c:ser>
        <c:dLbls>
          <c:showLegendKey val="0"/>
          <c:showVal val="0"/>
          <c:showCatName val="0"/>
          <c:showSerName val="0"/>
          <c:showPercent val="0"/>
          <c:showBubbleSize val="0"/>
        </c:dLbls>
        <c:gapWidth val="219"/>
        <c:overlap val="-27"/>
        <c:axId val="766564111"/>
        <c:axId val="766561231"/>
      </c:barChart>
      <c:catAx>
        <c:axId val="76656411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o-RO"/>
          </a:p>
        </c:txPr>
        <c:crossAx val="766561231"/>
        <c:crosses val="autoZero"/>
        <c:auto val="1"/>
        <c:lblAlgn val="ctr"/>
        <c:lblOffset val="100"/>
        <c:noMultiLvlLbl val="0"/>
      </c:catAx>
      <c:valAx>
        <c:axId val="766561231"/>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o-RO"/>
          </a:p>
        </c:txPr>
        <c:crossAx val="766564111"/>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o-RO"/>
    </a:p>
  </c:txPr>
  <c:externalData r:id="rId4">
    <c:autoUpdate val="0"/>
  </c:externalData>
</c:chartSpace>
</file>

<file path=word/charts/chart7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o-RO"/>
              <a:t>%</a:t>
            </a:r>
          </a:p>
        </c:rich>
      </c:tx>
      <c:layout>
        <c:manualLayout>
          <c:xMode val="edge"/>
          <c:yMode val="edge"/>
          <c:x val="0.5793605292171996"/>
          <c:y val="5.2925610114672159E-2"/>
        </c:manualLayout>
      </c:layout>
      <c:overlay val="1"/>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o-RO"/>
        </a:p>
      </c:txPr>
    </c:title>
    <c:autoTitleDeleted val="0"/>
    <c:plotArea>
      <c:layout/>
      <c:barChart>
        <c:barDir val="col"/>
        <c:grouping val="clustered"/>
        <c:varyColors val="0"/>
        <c:ser>
          <c:idx val="0"/>
          <c:order val="0"/>
          <c:tx>
            <c:strRef>
              <c:f>'51'!$D$4</c:f>
              <c:strCache>
                <c:ptCount val="1"/>
                <c:pt idx="0">
                  <c:v> Zilnic</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o-R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('51'!$A$16,'51'!$A$25)</c:f>
              <c:strCache>
                <c:ptCount val="2"/>
                <c:pt idx="0">
                  <c:v>Masculin</c:v>
                </c:pt>
                <c:pt idx="1">
                  <c:v>Feminin</c:v>
                </c:pt>
              </c:strCache>
            </c:strRef>
          </c:cat>
          <c:val>
            <c:numRef>
              <c:f>('51'!$D$17,'51'!$D$26)</c:f>
              <c:numCache>
                <c:formatCode>0.00</c:formatCode>
                <c:ptCount val="2"/>
                <c:pt idx="0">
                  <c:v>14.49</c:v>
                </c:pt>
                <c:pt idx="1">
                  <c:v>5.71</c:v>
                </c:pt>
              </c:numCache>
            </c:numRef>
          </c:val>
          <c:extLst>
            <c:ext xmlns:c16="http://schemas.microsoft.com/office/drawing/2014/chart" uri="{C3380CC4-5D6E-409C-BE32-E72D297353CC}">
              <c16:uniqueId val="{00000000-572D-4B20-A732-287E725A1EA5}"/>
            </c:ext>
          </c:extLst>
        </c:ser>
        <c:ser>
          <c:idx val="1"/>
          <c:order val="1"/>
          <c:tx>
            <c:strRef>
              <c:f>'51'!$E$4</c:f>
              <c:strCache>
                <c:ptCount val="1"/>
                <c:pt idx="0">
                  <c:v>Ocazional</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o-R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('51'!$A$16,'51'!$A$25)</c:f>
              <c:strCache>
                <c:ptCount val="2"/>
                <c:pt idx="0">
                  <c:v>Masculin</c:v>
                </c:pt>
                <c:pt idx="1">
                  <c:v>Feminin</c:v>
                </c:pt>
              </c:strCache>
            </c:strRef>
          </c:cat>
          <c:val>
            <c:numRef>
              <c:f>('51'!$E$17,'51'!$E$26)</c:f>
              <c:numCache>
                <c:formatCode>0.00</c:formatCode>
                <c:ptCount val="2"/>
                <c:pt idx="0">
                  <c:v>12.37</c:v>
                </c:pt>
                <c:pt idx="1">
                  <c:v>7.18</c:v>
                </c:pt>
              </c:numCache>
            </c:numRef>
          </c:val>
          <c:extLst>
            <c:ext xmlns:c16="http://schemas.microsoft.com/office/drawing/2014/chart" uri="{C3380CC4-5D6E-409C-BE32-E72D297353CC}">
              <c16:uniqueId val="{00000001-572D-4B20-A732-287E725A1EA5}"/>
            </c:ext>
          </c:extLst>
        </c:ser>
        <c:dLbls>
          <c:showLegendKey val="0"/>
          <c:showVal val="0"/>
          <c:showCatName val="0"/>
          <c:showSerName val="0"/>
          <c:showPercent val="0"/>
          <c:showBubbleSize val="0"/>
        </c:dLbls>
        <c:gapWidth val="219"/>
        <c:overlap val="-27"/>
        <c:axId val="1665063471"/>
        <c:axId val="1665066351"/>
      </c:barChart>
      <c:catAx>
        <c:axId val="166506347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o-RO"/>
          </a:p>
        </c:txPr>
        <c:crossAx val="1665066351"/>
        <c:crosses val="autoZero"/>
        <c:auto val="1"/>
        <c:lblAlgn val="ctr"/>
        <c:lblOffset val="100"/>
        <c:noMultiLvlLbl val="0"/>
      </c:catAx>
      <c:valAx>
        <c:axId val="1665066351"/>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o-RO"/>
          </a:p>
        </c:txPr>
        <c:crossAx val="1665063471"/>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ro-RO"/>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o-RO"/>
    </a:p>
  </c:txPr>
  <c:externalData r:id="rId4">
    <c:autoUpdate val="0"/>
  </c:externalData>
</c:chartSpace>
</file>

<file path=word/charts/chart7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400" b="0"/>
            </a:pPr>
            <a:r>
              <a:rPr lang="ro-RO" sz="1400" b="0"/>
              <a:t>%</a:t>
            </a:r>
          </a:p>
        </c:rich>
      </c:tx>
      <c:overlay val="1"/>
    </c:title>
    <c:autoTitleDeleted val="0"/>
    <c:plotArea>
      <c:layout/>
      <c:barChart>
        <c:barDir val="col"/>
        <c:grouping val="clustered"/>
        <c:varyColors val="0"/>
        <c:ser>
          <c:idx val="0"/>
          <c:order val="0"/>
          <c:tx>
            <c:strRef>
              <c:f>'51'!$D$4</c:f>
              <c:strCache>
                <c:ptCount val="1"/>
                <c:pt idx="0">
                  <c:v> Zilnic</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o-R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('51'!$A$34,'51'!$A$43)</c:f>
              <c:strCache>
                <c:ptCount val="2"/>
                <c:pt idx="0">
                  <c:v>Urban</c:v>
                </c:pt>
                <c:pt idx="1">
                  <c:v>Rural</c:v>
                </c:pt>
              </c:strCache>
            </c:strRef>
          </c:cat>
          <c:val>
            <c:numRef>
              <c:f>('51'!$D$35,'51'!$D$44)</c:f>
              <c:numCache>
                <c:formatCode>0.00</c:formatCode>
                <c:ptCount val="2"/>
                <c:pt idx="0">
                  <c:v>10.69</c:v>
                </c:pt>
                <c:pt idx="1">
                  <c:v>9.66</c:v>
                </c:pt>
              </c:numCache>
            </c:numRef>
          </c:val>
          <c:extLst>
            <c:ext xmlns:c16="http://schemas.microsoft.com/office/drawing/2014/chart" uri="{C3380CC4-5D6E-409C-BE32-E72D297353CC}">
              <c16:uniqueId val="{00000000-5945-4D50-A64B-B6CB4FE03856}"/>
            </c:ext>
          </c:extLst>
        </c:ser>
        <c:ser>
          <c:idx val="1"/>
          <c:order val="1"/>
          <c:tx>
            <c:strRef>
              <c:f>'51'!$E$4</c:f>
              <c:strCache>
                <c:ptCount val="1"/>
                <c:pt idx="0">
                  <c:v>Ocazional</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o-R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('51'!$A$34,'51'!$A$43)</c:f>
              <c:strCache>
                <c:ptCount val="2"/>
                <c:pt idx="0">
                  <c:v>Urban</c:v>
                </c:pt>
                <c:pt idx="1">
                  <c:v>Rural</c:v>
                </c:pt>
              </c:strCache>
            </c:strRef>
          </c:cat>
          <c:val>
            <c:numRef>
              <c:f>('51'!$E$35,'51'!$E$44)</c:f>
              <c:numCache>
                <c:formatCode>0.00</c:formatCode>
                <c:ptCount val="2"/>
                <c:pt idx="0">
                  <c:v>9.3800000000000008</c:v>
                </c:pt>
                <c:pt idx="1">
                  <c:v>10.210000000000001</c:v>
                </c:pt>
              </c:numCache>
            </c:numRef>
          </c:val>
          <c:extLst>
            <c:ext xmlns:c16="http://schemas.microsoft.com/office/drawing/2014/chart" uri="{C3380CC4-5D6E-409C-BE32-E72D297353CC}">
              <c16:uniqueId val="{00000001-5945-4D50-A64B-B6CB4FE03856}"/>
            </c:ext>
          </c:extLst>
        </c:ser>
        <c:dLbls>
          <c:showLegendKey val="0"/>
          <c:showVal val="0"/>
          <c:showCatName val="0"/>
          <c:showSerName val="0"/>
          <c:showPercent val="0"/>
          <c:showBubbleSize val="0"/>
        </c:dLbls>
        <c:gapWidth val="219"/>
        <c:overlap val="-27"/>
        <c:axId val="1665063471"/>
        <c:axId val="1665066351"/>
      </c:barChart>
      <c:catAx>
        <c:axId val="166506347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o-RO"/>
          </a:p>
        </c:txPr>
        <c:crossAx val="1665066351"/>
        <c:crosses val="autoZero"/>
        <c:auto val="1"/>
        <c:lblAlgn val="ctr"/>
        <c:lblOffset val="100"/>
        <c:noMultiLvlLbl val="0"/>
      </c:catAx>
      <c:valAx>
        <c:axId val="1665066351"/>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o-RO"/>
          </a:p>
        </c:txPr>
        <c:crossAx val="1665063471"/>
        <c:crosses val="autoZero"/>
        <c:crossBetween val="between"/>
      </c:valAx>
      <c:spPr>
        <a:ln>
          <a:noFill/>
        </a:ln>
      </c:spPr>
    </c:plotArea>
    <c:legend>
      <c:legendPos val="b"/>
      <c:overlay val="0"/>
      <c:spPr>
        <a:noFill/>
        <a:ln>
          <a:noFill/>
        </a:ln>
        <a:effectLst/>
      </c:spPr>
      <c:txPr>
        <a:bodyPr rot="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ro-RO"/>
        </a:p>
      </c:txPr>
    </c:legend>
    <c:plotVisOnly val="1"/>
    <c:dispBlanksAs val="gap"/>
    <c:showDLblsOverMax val="0"/>
    <c:extLst/>
  </c:chart>
  <c:txPr>
    <a:bodyPr/>
    <a:lstStyle/>
    <a:p>
      <a:pPr>
        <a:defRPr/>
      </a:pPr>
      <a:endParaRPr lang="ro-RO"/>
    </a:p>
  </c:txPr>
  <c:externalData r:id="rId2">
    <c:autoUpdate val="0"/>
  </c:externalData>
</c:chartSpace>
</file>

<file path=word/charts/chart7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9.8219816272965874E-2"/>
          <c:y val="0.13004629629629633"/>
          <c:w val="0.87122462817147861"/>
          <c:h val="0.71169765237678628"/>
        </c:manualLayout>
      </c:layout>
      <c:barChart>
        <c:barDir val="col"/>
        <c:grouping val="clustered"/>
        <c:varyColors val="0"/>
        <c:ser>
          <c:idx val="0"/>
          <c:order val="0"/>
          <c:tx>
            <c:strRef>
              <c:f>'52'!$A$8</c:f>
              <c:strCache>
                <c:ptCount val="1"/>
                <c:pt idx="0">
                  <c:v>15-24 ani</c:v>
                </c:pt>
              </c:strCache>
            </c:strRef>
          </c:tx>
          <c:spPr>
            <a:solidFill>
              <a:schemeClr val="accent1"/>
            </a:solidFill>
            <a:ln>
              <a:noFill/>
            </a:ln>
            <a:effectLst/>
          </c:spPr>
          <c:invertIfNegative val="0"/>
          <c:dLbls>
            <c:dLbl>
              <c:idx val="2"/>
              <c:layout>
                <c:manualLayout>
                  <c:x val="2.7777777777777779E-3"/>
                  <c:y val="3.240740740740740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AAB6-4BB5-AFBC-6E84525D0A4E}"/>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o-R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'52'!$D$4:$I$4</c:f>
              <c:strCache>
                <c:ptCount val="6"/>
                <c:pt idx="0">
                  <c:v>Sub 5 
ţigări</c:v>
                </c:pt>
                <c:pt idx="1">
                  <c:v>5-9 
ţigări</c:v>
                </c:pt>
                <c:pt idx="2">
                  <c:v>10-19 
ţigări</c:v>
                </c:pt>
                <c:pt idx="3">
                  <c:v>20-29 
ţigări</c:v>
                </c:pt>
                <c:pt idx="4">
                  <c:v>30-39 
ţigări</c:v>
                </c:pt>
                <c:pt idx="5">
                  <c:v>40 ţigări 
şi peste</c:v>
                </c:pt>
              </c:strCache>
            </c:strRef>
          </c:cat>
          <c:val>
            <c:numRef>
              <c:f>'52'!$D$8:$G$8</c:f>
              <c:numCache>
                <c:formatCode>0.00</c:formatCode>
                <c:ptCount val="4"/>
                <c:pt idx="0">
                  <c:v>2.81</c:v>
                </c:pt>
                <c:pt idx="1">
                  <c:v>17.2</c:v>
                </c:pt>
                <c:pt idx="2">
                  <c:v>59.97</c:v>
                </c:pt>
                <c:pt idx="3">
                  <c:v>20.02</c:v>
                </c:pt>
              </c:numCache>
            </c:numRef>
          </c:val>
          <c:extLst>
            <c:ext xmlns:c16="http://schemas.microsoft.com/office/drawing/2014/chart" uri="{C3380CC4-5D6E-409C-BE32-E72D297353CC}">
              <c16:uniqueId val="{00000001-AAB6-4BB5-AFBC-6E84525D0A4E}"/>
            </c:ext>
          </c:extLst>
        </c:ser>
        <c:dLbls>
          <c:showLegendKey val="0"/>
          <c:showVal val="0"/>
          <c:showCatName val="0"/>
          <c:showSerName val="0"/>
          <c:showPercent val="0"/>
          <c:showBubbleSize val="0"/>
        </c:dLbls>
        <c:gapWidth val="219"/>
        <c:overlap val="-27"/>
        <c:axId val="1206421856"/>
        <c:axId val="1353283728"/>
      </c:barChart>
      <c:catAx>
        <c:axId val="12064218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o-RO"/>
          </a:p>
        </c:txPr>
        <c:crossAx val="1353283728"/>
        <c:crosses val="autoZero"/>
        <c:auto val="1"/>
        <c:lblAlgn val="ctr"/>
        <c:lblOffset val="100"/>
        <c:noMultiLvlLbl val="0"/>
      </c:catAx>
      <c:valAx>
        <c:axId val="1353283728"/>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o-RO"/>
          </a:p>
        </c:txPr>
        <c:crossAx val="1206421856"/>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o-RO"/>
    </a:p>
  </c:txPr>
  <c:externalData r:id="rId4">
    <c:autoUpdate val="0"/>
  </c:externalData>
</c:chartSpace>
</file>

<file path=word/charts/chart7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'52'!$A$16</c:f>
              <c:strCache>
                <c:ptCount val="1"/>
                <c:pt idx="0">
                  <c:v>Masculin</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o-R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'52'!$D$4:$I$4</c:f>
              <c:strCache>
                <c:ptCount val="6"/>
                <c:pt idx="0">
                  <c:v>Sub 5 
ţigări</c:v>
                </c:pt>
                <c:pt idx="1">
                  <c:v>5-9 
ţigări</c:v>
                </c:pt>
                <c:pt idx="2">
                  <c:v>10-19 
ţigări</c:v>
                </c:pt>
                <c:pt idx="3">
                  <c:v>20-29 
ţigări</c:v>
                </c:pt>
                <c:pt idx="4">
                  <c:v>30-39 
ţigări</c:v>
                </c:pt>
                <c:pt idx="5">
                  <c:v>40 ţigări 
şi peste</c:v>
                </c:pt>
              </c:strCache>
            </c:strRef>
          </c:cat>
          <c:val>
            <c:numRef>
              <c:f>'52'!$D$17:$G$17</c:f>
              <c:numCache>
                <c:formatCode>0.00</c:formatCode>
                <c:ptCount val="4"/>
                <c:pt idx="0">
                  <c:v>2.15</c:v>
                </c:pt>
                <c:pt idx="1">
                  <c:v>14.04</c:v>
                </c:pt>
                <c:pt idx="2">
                  <c:v>62.91</c:v>
                </c:pt>
                <c:pt idx="3">
                  <c:v>20.9</c:v>
                </c:pt>
              </c:numCache>
            </c:numRef>
          </c:val>
          <c:extLst>
            <c:ext xmlns:c16="http://schemas.microsoft.com/office/drawing/2014/chart" uri="{C3380CC4-5D6E-409C-BE32-E72D297353CC}">
              <c16:uniqueId val="{00000000-CEC3-477F-A682-93A31FF1679A}"/>
            </c:ext>
          </c:extLst>
        </c:ser>
        <c:ser>
          <c:idx val="1"/>
          <c:order val="1"/>
          <c:tx>
            <c:strRef>
              <c:f>'52'!$A$25</c:f>
              <c:strCache>
                <c:ptCount val="1"/>
                <c:pt idx="0">
                  <c:v>Feminin</c:v>
                </c:pt>
              </c:strCache>
            </c:strRef>
          </c:tx>
          <c:spPr>
            <a:solidFill>
              <a:schemeClr val="accent2"/>
            </a:solidFill>
            <a:ln>
              <a:noFill/>
            </a:ln>
            <a:effectLst/>
          </c:spPr>
          <c:invertIfNegative val="0"/>
          <c:dLbls>
            <c:dLbl>
              <c:idx val="0"/>
              <c:layout>
                <c:manualLayout>
                  <c:x val="2.6460859977949242E-2"/>
                  <c:y val="-5.8806233460746843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CEC3-477F-A682-93A31FF1679A}"/>
                </c:ext>
              </c:extLst>
            </c:dLbl>
            <c:dLbl>
              <c:idx val="2"/>
              <c:layout>
                <c:manualLayout>
                  <c:x val="2.6460859977949284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CEC3-477F-A682-93A31FF1679A}"/>
                </c:ext>
              </c:extLst>
            </c:dLbl>
            <c:dLbl>
              <c:idx val="3"/>
              <c:layout>
                <c:manualLayout>
                  <c:x val="2.8751703721709539E-2"/>
                  <c:y val="1.388892104452835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CEC3-477F-A682-93A31FF1679A}"/>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o-R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'52'!$D$4:$I$4</c:f>
              <c:strCache>
                <c:ptCount val="6"/>
                <c:pt idx="0">
                  <c:v>Sub 5 
ţigări</c:v>
                </c:pt>
                <c:pt idx="1">
                  <c:v>5-9 
ţigări</c:v>
                </c:pt>
                <c:pt idx="2">
                  <c:v>10-19 
ţigări</c:v>
                </c:pt>
                <c:pt idx="3">
                  <c:v>20-29 
ţigări</c:v>
                </c:pt>
                <c:pt idx="4">
                  <c:v>30-39 
ţigări</c:v>
                </c:pt>
                <c:pt idx="5">
                  <c:v>40 ţigări 
şi peste</c:v>
                </c:pt>
              </c:strCache>
            </c:strRef>
          </c:cat>
          <c:val>
            <c:numRef>
              <c:f>'52'!$D$26:$G$26</c:f>
              <c:numCache>
                <c:formatCode>0.00</c:formatCode>
                <c:ptCount val="4"/>
                <c:pt idx="0">
                  <c:v>4.53</c:v>
                </c:pt>
                <c:pt idx="1">
                  <c:v>25.38</c:v>
                </c:pt>
                <c:pt idx="2">
                  <c:v>52.37</c:v>
                </c:pt>
                <c:pt idx="3">
                  <c:v>17.72</c:v>
                </c:pt>
              </c:numCache>
            </c:numRef>
          </c:val>
          <c:extLst>
            <c:ext xmlns:c16="http://schemas.microsoft.com/office/drawing/2014/chart" uri="{C3380CC4-5D6E-409C-BE32-E72D297353CC}">
              <c16:uniqueId val="{00000004-CEC3-477F-A682-93A31FF1679A}"/>
            </c:ext>
          </c:extLst>
        </c:ser>
        <c:dLbls>
          <c:showLegendKey val="0"/>
          <c:showVal val="0"/>
          <c:showCatName val="0"/>
          <c:showSerName val="0"/>
          <c:showPercent val="0"/>
          <c:showBubbleSize val="0"/>
        </c:dLbls>
        <c:gapWidth val="219"/>
        <c:overlap val="-27"/>
        <c:axId val="1672947375"/>
        <c:axId val="1672946415"/>
      </c:barChart>
      <c:catAx>
        <c:axId val="167294737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o-RO"/>
          </a:p>
        </c:txPr>
        <c:crossAx val="1672946415"/>
        <c:crosses val="autoZero"/>
        <c:auto val="1"/>
        <c:lblAlgn val="ctr"/>
        <c:lblOffset val="100"/>
        <c:noMultiLvlLbl val="0"/>
      </c:catAx>
      <c:valAx>
        <c:axId val="1672946415"/>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o-RO"/>
          </a:p>
        </c:txPr>
        <c:crossAx val="1672947375"/>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o-RO"/>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o-RO"/>
    </a:p>
  </c:txPr>
  <c:externalData r:id="rId4">
    <c:autoUpdate val="0"/>
  </c:externalData>
</c:chartSpace>
</file>

<file path=word/charts/chart7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'52'!$A$34</c:f>
              <c:strCache>
                <c:ptCount val="1"/>
                <c:pt idx="0">
                  <c:v>Urban</c:v>
                </c:pt>
              </c:strCache>
            </c:strRef>
          </c:tx>
          <c:spPr>
            <a:solidFill>
              <a:schemeClr val="accent1"/>
            </a:solidFill>
            <a:ln>
              <a:noFill/>
            </a:ln>
            <a:effectLst/>
          </c:spPr>
          <c:invertIfNegative val="0"/>
          <c:dLbls>
            <c:dLbl>
              <c:idx val="3"/>
              <c:layout>
                <c:manualLayout>
                  <c:x val="-1.1111111111111162E-2"/>
                  <c:y val="-4.6296296296297144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C4A7-4166-9CEB-D896F50BB313}"/>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o-R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'52'!$D$4:$I$4</c:f>
              <c:strCache>
                <c:ptCount val="6"/>
                <c:pt idx="0">
                  <c:v>Sub 5 
ţigări</c:v>
                </c:pt>
                <c:pt idx="1">
                  <c:v>5-9 
ţigări</c:v>
                </c:pt>
                <c:pt idx="2">
                  <c:v>10-19 
ţigări</c:v>
                </c:pt>
                <c:pt idx="3">
                  <c:v>20-29 
ţigări</c:v>
                </c:pt>
                <c:pt idx="4">
                  <c:v>30-39 
ţigări</c:v>
                </c:pt>
                <c:pt idx="5">
                  <c:v>40 ţigări 
şi peste</c:v>
                </c:pt>
              </c:strCache>
            </c:strRef>
          </c:cat>
          <c:val>
            <c:numRef>
              <c:f>'52'!$D$35:$G$35</c:f>
              <c:numCache>
                <c:formatCode>0.00</c:formatCode>
                <c:ptCount val="4"/>
                <c:pt idx="0">
                  <c:v>0.46</c:v>
                </c:pt>
                <c:pt idx="1">
                  <c:v>20.54</c:v>
                </c:pt>
                <c:pt idx="2">
                  <c:v>57.54</c:v>
                </c:pt>
                <c:pt idx="3">
                  <c:v>21.46</c:v>
                </c:pt>
              </c:numCache>
            </c:numRef>
          </c:val>
          <c:extLst>
            <c:ext xmlns:c16="http://schemas.microsoft.com/office/drawing/2014/chart" uri="{C3380CC4-5D6E-409C-BE32-E72D297353CC}">
              <c16:uniqueId val="{00000001-C4A7-4166-9CEB-D896F50BB313}"/>
            </c:ext>
          </c:extLst>
        </c:ser>
        <c:ser>
          <c:idx val="1"/>
          <c:order val="1"/>
          <c:tx>
            <c:strRef>
              <c:f>'52'!$A$43</c:f>
              <c:strCache>
                <c:ptCount val="1"/>
                <c:pt idx="0">
                  <c:v>Rural</c:v>
                </c:pt>
              </c:strCache>
            </c:strRef>
          </c:tx>
          <c:spPr>
            <a:solidFill>
              <a:schemeClr val="accent2"/>
            </a:solidFill>
            <a:ln>
              <a:noFill/>
            </a:ln>
            <a:effectLst/>
          </c:spPr>
          <c:invertIfNegative val="0"/>
          <c:dLbls>
            <c:dLbl>
              <c:idx val="0"/>
              <c:layout>
                <c:manualLayout>
                  <c:x val="4.149528166752034E-2"/>
                  <c:y val="3.240732809016338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C4A7-4166-9CEB-D896F50BB313}"/>
                </c:ext>
              </c:extLst>
            </c:dLbl>
            <c:dLbl>
              <c:idx val="1"/>
              <c:layout>
                <c:manualLayout>
                  <c:x val="1.9444444444444393E-2"/>
                  <c:y val="2.314814814814823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C4A7-4166-9CEB-D896F50BB313}"/>
                </c:ext>
              </c:extLst>
            </c:dLbl>
            <c:dLbl>
              <c:idx val="2"/>
              <c:layout>
                <c:manualLayout>
                  <c:x val="3.9862834124786223E-2"/>
                  <c:y val="4.6294860011066681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C4A7-4166-9CEB-D896F50BB313}"/>
                </c:ext>
              </c:extLst>
            </c:dLbl>
            <c:dLbl>
              <c:idx val="3"/>
              <c:layout>
                <c:manualLayout>
                  <c:x val="3.3161847051367752E-2"/>
                  <c:y val="4.6294860011066681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C4A7-4166-9CEB-D896F50BB313}"/>
                </c:ext>
              </c:extLst>
            </c:dLbl>
            <c:dLbl>
              <c:idx val="4"/>
              <c:layout>
                <c:manualLayout>
                  <c:x val="1.6666666666666666E-2"/>
                  <c:y val="2.77777777777776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C4A7-4166-9CEB-D896F50BB313}"/>
                </c:ext>
              </c:extLst>
            </c:dLbl>
            <c:dLbl>
              <c:idx val="5"/>
              <c:layout>
                <c:manualLayout>
                  <c:x val="2.4999999999999897E-2"/>
                  <c:y val="9.2592592592592587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C4A7-4166-9CEB-D896F50BB313}"/>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o-R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'52'!$D$4:$I$4</c:f>
              <c:strCache>
                <c:ptCount val="6"/>
                <c:pt idx="0">
                  <c:v>Sub 5 
ţigări</c:v>
                </c:pt>
                <c:pt idx="1">
                  <c:v>5-9 
ţigări</c:v>
                </c:pt>
                <c:pt idx="2">
                  <c:v>10-19 
ţigări</c:v>
                </c:pt>
                <c:pt idx="3">
                  <c:v>20-29 
ţigări</c:v>
                </c:pt>
                <c:pt idx="4">
                  <c:v>30-39 
ţigări</c:v>
                </c:pt>
                <c:pt idx="5">
                  <c:v>40 ţigări 
şi peste</c:v>
                </c:pt>
              </c:strCache>
            </c:strRef>
          </c:cat>
          <c:val>
            <c:numRef>
              <c:f>'52'!$D$44:$G$44</c:f>
              <c:numCache>
                <c:formatCode>0.00</c:formatCode>
                <c:ptCount val="4"/>
                <c:pt idx="0">
                  <c:v>5.25</c:v>
                </c:pt>
                <c:pt idx="1">
                  <c:v>13.75</c:v>
                </c:pt>
                <c:pt idx="2">
                  <c:v>62.49</c:v>
                </c:pt>
                <c:pt idx="3">
                  <c:v>18.52</c:v>
                </c:pt>
              </c:numCache>
            </c:numRef>
          </c:val>
          <c:extLst>
            <c:ext xmlns:c16="http://schemas.microsoft.com/office/drawing/2014/chart" uri="{C3380CC4-5D6E-409C-BE32-E72D297353CC}">
              <c16:uniqueId val="{00000008-C4A7-4166-9CEB-D896F50BB313}"/>
            </c:ext>
          </c:extLst>
        </c:ser>
        <c:dLbls>
          <c:showLegendKey val="0"/>
          <c:showVal val="0"/>
          <c:showCatName val="0"/>
          <c:showSerName val="0"/>
          <c:showPercent val="0"/>
          <c:showBubbleSize val="0"/>
        </c:dLbls>
        <c:gapWidth val="219"/>
        <c:overlap val="-27"/>
        <c:axId val="1672947375"/>
        <c:axId val="1672946415"/>
      </c:barChart>
      <c:catAx>
        <c:axId val="167294737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o-RO"/>
          </a:p>
        </c:txPr>
        <c:crossAx val="1672946415"/>
        <c:crosses val="autoZero"/>
        <c:auto val="1"/>
        <c:lblAlgn val="ctr"/>
        <c:lblOffset val="100"/>
        <c:noMultiLvlLbl val="0"/>
      </c:catAx>
      <c:valAx>
        <c:axId val="1672946415"/>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o-RO"/>
          </a:p>
        </c:txPr>
        <c:crossAx val="1672947375"/>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o-RO"/>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o-RO"/>
    </a:p>
  </c:txPr>
  <c:externalData r:id="rId4">
    <c:autoUpdate val="0"/>
  </c:externalData>
</c:chartSpace>
</file>

<file path=word/charts/chart7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chemeClr val="accent1"/>
            </a:solidFill>
            <a:ln>
              <a:noFill/>
            </a:ln>
            <a:effectLst/>
          </c:spPr>
          <c:invertIfNegative val="0"/>
          <c:dPt>
            <c:idx val="2"/>
            <c:invertIfNegative val="0"/>
            <c:bubble3D val="0"/>
            <c:spPr>
              <a:solidFill>
                <a:schemeClr val="accent1">
                  <a:lumMod val="20000"/>
                  <a:lumOff val="80000"/>
                </a:schemeClr>
              </a:solidFill>
              <a:ln>
                <a:noFill/>
              </a:ln>
              <a:effectLst/>
            </c:spPr>
            <c:extLst>
              <c:ext xmlns:c16="http://schemas.microsoft.com/office/drawing/2014/chart" uri="{C3380CC4-5D6E-409C-BE32-E72D297353CC}">
                <c16:uniqueId val="{00000001-1101-49A0-A800-4182B62E26BF}"/>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o-R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('53'!$A$7,'53'!$D$4,'53'!$E$4)</c:f>
              <c:strCache>
                <c:ptCount val="3"/>
                <c:pt idx="0">
                  <c:v>Total</c:v>
                </c:pt>
                <c:pt idx="1">
                  <c:v>Zilnic</c:v>
                </c:pt>
                <c:pt idx="2">
                  <c:v>Ocazional</c:v>
                </c:pt>
              </c:strCache>
            </c:strRef>
          </c:cat>
          <c:val>
            <c:numRef>
              <c:f>'53'!$C$8:$E$8</c:f>
              <c:numCache>
                <c:formatCode>0.00</c:formatCode>
                <c:ptCount val="3"/>
                <c:pt idx="0">
                  <c:v>1.56</c:v>
                </c:pt>
                <c:pt idx="1">
                  <c:v>0.17</c:v>
                </c:pt>
                <c:pt idx="2">
                  <c:v>1.39</c:v>
                </c:pt>
              </c:numCache>
            </c:numRef>
          </c:val>
          <c:extLst>
            <c:ext xmlns:c16="http://schemas.microsoft.com/office/drawing/2014/chart" uri="{C3380CC4-5D6E-409C-BE32-E72D297353CC}">
              <c16:uniqueId val="{00000002-1101-49A0-A800-4182B62E26BF}"/>
            </c:ext>
          </c:extLst>
        </c:ser>
        <c:dLbls>
          <c:showLegendKey val="0"/>
          <c:showVal val="0"/>
          <c:showCatName val="0"/>
          <c:showSerName val="0"/>
          <c:showPercent val="0"/>
          <c:showBubbleSize val="0"/>
        </c:dLbls>
        <c:gapWidth val="219"/>
        <c:overlap val="-27"/>
        <c:axId val="254780223"/>
        <c:axId val="254776383"/>
      </c:barChart>
      <c:catAx>
        <c:axId val="25478022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o-RO"/>
          </a:p>
        </c:txPr>
        <c:crossAx val="254776383"/>
        <c:crosses val="autoZero"/>
        <c:auto val="1"/>
        <c:lblAlgn val="ctr"/>
        <c:lblOffset val="100"/>
        <c:noMultiLvlLbl val="0"/>
      </c:catAx>
      <c:valAx>
        <c:axId val="254776383"/>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o-RO"/>
          </a:p>
        </c:txPr>
        <c:crossAx val="254780223"/>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o-RO"/>
    </a:p>
  </c:txPr>
  <c:externalData r:id="rId4">
    <c:autoUpdate val="0"/>
  </c:externalData>
</c:chartSpace>
</file>

<file path=word/charts/chart7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o-RO"/>
              <a:t>%</a:t>
            </a:r>
          </a:p>
        </c:rich>
      </c:tx>
      <c:overlay val="1"/>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o-RO"/>
        </a:p>
      </c:txPr>
    </c:title>
    <c:autoTitleDeleted val="0"/>
    <c:plotArea>
      <c:layout/>
      <c:barChart>
        <c:barDir val="col"/>
        <c:grouping val="clustered"/>
        <c:varyColors val="0"/>
        <c:ser>
          <c:idx val="0"/>
          <c:order val="0"/>
          <c:tx>
            <c:strRef>
              <c:f>'53'!$D$4</c:f>
              <c:strCache>
                <c:ptCount val="1"/>
                <c:pt idx="0">
                  <c:v>Zilnic</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o-R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('53'!$A$16,'53'!$A$25)</c:f>
              <c:strCache>
                <c:ptCount val="2"/>
                <c:pt idx="0">
                  <c:v>Masculin</c:v>
                </c:pt>
                <c:pt idx="1">
                  <c:v>Feminin</c:v>
                </c:pt>
              </c:strCache>
            </c:strRef>
          </c:cat>
          <c:val>
            <c:numRef>
              <c:f>('53'!$D$17,'53'!$D$26)</c:f>
              <c:numCache>
                <c:formatCode>0.00</c:formatCode>
                <c:ptCount val="2"/>
                <c:pt idx="0">
                  <c:v>0.06</c:v>
                </c:pt>
                <c:pt idx="1">
                  <c:v>0.28999999999999998</c:v>
                </c:pt>
              </c:numCache>
            </c:numRef>
          </c:val>
          <c:extLst>
            <c:ext xmlns:c16="http://schemas.microsoft.com/office/drawing/2014/chart" uri="{C3380CC4-5D6E-409C-BE32-E72D297353CC}">
              <c16:uniqueId val="{00000000-2BA3-4EE2-9F36-865EC89B8BDA}"/>
            </c:ext>
          </c:extLst>
        </c:ser>
        <c:ser>
          <c:idx val="1"/>
          <c:order val="1"/>
          <c:tx>
            <c:strRef>
              <c:f>'53'!$E$4</c:f>
              <c:strCache>
                <c:ptCount val="1"/>
                <c:pt idx="0">
                  <c:v>Ocazional</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o-R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('53'!$A$16,'53'!$A$25)</c:f>
              <c:strCache>
                <c:ptCount val="2"/>
                <c:pt idx="0">
                  <c:v>Masculin</c:v>
                </c:pt>
                <c:pt idx="1">
                  <c:v>Feminin</c:v>
                </c:pt>
              </c:strCache>
            </c:strRef>
          </c:cat>
          <c:val>
            <c:numRef>
              <c:f>('53'!$E$17,'53'!$E$26)</c:f>
              <c:numCache>
                <c:formatCode>0.00</c:formatCode>
                <c:ptCount val="2"/>
                <c:pt idx="0">
                  <c:v>1.54</c:v>
                </c:pt>
                <c:pt idx="1">
                  <c:v>1.24</c:v>
                </c:pt>
              </c:numCache>
            </c:numRef>
          </c:val>
          <c:extLst>
            <c:ext xmlns:c16="http://schemas.microsoft.com/office/drawing/2014/chart" uri="{C3380CC4-5D6E-409C-BE32-E72D297353CC}">
              <c16:uniqueId val="{00000001-2BA3-4EE2-9F36-865EC89B8BDA}"/>
            </c:ext>
          </c:extLst>
        </c:ser>
        <c:dLbls>
          <c:showLegendKey val="0"/>
          <c:showVal val="0"/>
          <c:showCatName val="0"/>
          <c:showSerName val="0"/>
          <c:showPercent val="0"/>
          <c:showBubbleSize val="0"/>
        </c:dLbls>
        <c:gapWidth val="219"/>
        <c:overlap val="-27"/>
        <c:axId val="1622112479"/>
        <c:axId val="1622111519"/>
      </c:barChart>
      <c:catAx>
        <c:axId val="162211247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o-RO"/>
          </a:p>
        </c:txPr>
        <c:crossAx val="1622111519"/>
        <c:crosses val="autoZero"/>
        <c:auto val="1"/>
        <c:lblAlgn val="ctr"/>
        <c:lblOffset val="100"/>
        <c:noMultiLvlLbl val="0"/>
      </c:catAx>
      <c:valAx>
        <c:axId val="1622111519"/>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o-RO"/>
          </a:p>
        </c:txPr>
        <c:crossAx val="1622112479"/>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o-RO"/>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o-RO"/>
    </a:p>
  </c:txPr>
  <c:externalData r:id="rId4">
    <c:autoUpdate val="0"/>
  </c:externalData>
</c:chartSpace>
</file>

<file path=word/charts/chart7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o-RO"/>
              <a:t>%</a:t>
            </a:r>
          </a:p>
        </c:rich>
      </c:tx>
      <c:overlay val="1"/>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o-RO"/>
        </a:p>
      </c:txPr>
    </c:title>
    <c:autoTitleDeleted val="0"/>
    <c:plotArea>
      <c:layout/>
      <c:barChart>
        <c:barDir val="col"/>
        <c:grouping val="clustered"/>
        <c:varyColors val="0"/>
        <c:ser>
          <c:idx val="0"/>
          <c:order val="0"/>
          <c:tx>
            <c:strRef>
              <c:f>'53'!$D$4</c:f>
              <c:strCache>
                <c:ptCount val="1"/>
                <c:pt idx="0">
                  <c:v>Zilnic</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o-R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('53'!$A$34,'53'!$A$43)</c:f>
              <c:strCache>
                <c:ptCount val="2"/>
                <c:pt idx="0">
                  <c:v>Urban</c:v>
                </c:pt>
                <c:pt idx="1">
                  <c:v>Rural</c:v>
                </c:pt>
              </c:strCache>
            </c:strRef>
          </c:cat>
          <c:val>
            <c:numRef>
              <c:f>('53'!$D$35,'53'!$D$44)</c:f>
              <c:numCache>
                <c:formatCode>0.00</c:formatCode>
                <c:ptCount val="2"/>
                <c:pt idx="0">
                  <c:v>0.35</c:v>
                </c:pt>
                <c:pt idx="1">
                  <c:v>0</c:v>
                </c:pt>
              </c:numCache>
            </c:numRef>
          </c:val>
          <c:extLst>
            <c:ext xmlns:c16="http://schemas.microsoft.com/office/drawing/2014/chart" uri="{C3380CC4-5D6E-409C-BE32-E72D297353CC}">
              <c16:uniqueId val="{00000000-26C1-47CC-96B2-8805CE471137}"/>
            </c:ext>
          </c:extLst>
        </c:ser>
        <c:ser>
          <c:idx val="1"/>
          <c:order val="1"/>
          <c:tx>
            <c:strRef>
              <c:f>'53'!$E$4</c:f>
              <c:strCache>
                <c:ptCount val="1"/>
                <c:pt idx="0">
                  <c:v>Ocazional</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o-R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('53'!$A$34,'53'!$A$43)</c:f>
              <c:strCache>
                <c:ptCount val="2"/>
                <c:pt idx="0">
                  <c:v>Urban</c:v>
                </c:pt>
                <c:pt idx="1">
                  <c:v>Rural</c:v>
                </c:pt>
              </c:strCache>
            </c:strRef>
          </c:cat>
          <c:val>
            <c:numRef>
              <c:f>('53'!$E$35,'53'!$E$44)</c:f>
              <c:numCache>
                <c:formatCode>0.00</c:formatCode>
                <c:ptCount val="2"/>
                <c:pt idx="0">
                  <c:v>1.68</c:v>
                </c:pt>
                <c:pt idx="1">
                  <c:v>1.1200000000000001</c:v>
                </c:pt>
              </c:numCache>
            </c:numRef>
          </c:val>
          <c:extLst>
            <c:ext xmlns:c16="http://schemas.microsoft.com/office/drawing/2014/chart" uri="{C3380CC4-5D6E-409C-BE32-E72D297353CC}">
              <c16:uniqueId val="{00000001-26C1-47CC-96B2-8805CE471137}"/>
            </c:ext>
          </c:extLst>
        </c:ser>
        <c:dLbls>
          <c:showLegendKey val="0"/>
          <c:showVal val="0"/>
          <c:showCatName val="0"/>
          <c:showSerName val="0"/>
          <c:showPercent val="0"/>
          <c:showBubbleSize val="0"/>
        </c:dLbls>
        <c:gapWidth val="219"/>
        <c:overlap val="-27"/>
        <c:axId val="1781471807"/>
        <c:axId val="1781469407"/>
      </c:barChart>
      <c:catAx>
        <c:axId val="178147180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o-RO"/>
          </a:p>
        </c:txPr>
        <c:crossAx val="1781469407"/>
        <c:crosses val="autoZero"/>
        <c:auto val="1"/>
        <c:lblAlgn val="ctr"/>
        <c:lblOffset val="100"/>
        <c:noMultiLvlLbl val="0"/>
      </c:catAx>
      <c:valAx>
        <c:axId val="1781469407"/>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o-RO"/>
          </a:p>
        </c:txPr>
        <c:crossAx val="178147180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o-RO"/>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o-RO"/>
    </a:p>
  </c:txPr>
  <c:externalData r:id="rId4">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a:t>
            </a:r>
            <a:endParaRPr lang="ro-RO"/>
          </a:p>
        </c:rich>
      </c:tx>
      <c:layout>
        <c:manualLayout>
          <c:xMode val="edge"/>
          <c:yMode val="edge"/>
          <c:x val="0.62532533488440734"/>
          <c:y val="3.5283740076448106E-2"/>
        </c:manualLayout>
      </c:layout>
      <c:overlay val="1"/>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o-RO"/>
        </a:p>
      </c:txPr>
    </c:title>
    <c:autoTitleDeleted val="0"/>
    <c:plotArea>
      <c:layout/>
      <c:barChart>
        <c:barDir val="col"/>
        <c:grouping val="clustered"/>
        <c:varyColors val="0"/>
        <c:ser>
          <c:idx val="0"/>
          <c:order val="0"/>
          <c:tx>
            <c:strRef>
              <c:f>'52'!$A$16</c:f>
              <c:strCache>
                <c:ptCount val="1"/>
                <c:pt idx="0">
                  <c:v>Masculin</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o-R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'52'!$D$4:$I$4</c:f>
              <c:strCache>
                <c:ptCount val="6"/>
                <c:pt idx="0">
                  <c:v>Sub 5 
ţigări</c:v>
                </c:pt>
                <c:pt idx="1">
                  <c:v>5-9 
ţigări</c:v>
                </c:pt>
                <c:pt idx="2">
                  <c:v>10-19 
ţigări</c:v>
                </c:pt>
                <c:pt idx="3">
                  <c:v>20-29 
ţigări</c:v>
                </c:pt>
                <c:pt idx="4">
                  <c:v>30-39 
ţigări</c:v>
                </c:pt>
                <c:pt idx="5">
                  <c:v>40 ţigări 
şi peste</c:v>
                </c:pt>
              </c:strCache>
            </c:strRef>
          </c:cat>
          <c:val>
            <c:numRef>
              <c:f>'52'!$D$16:$I$16</c:f>
              <c:numCache>
                <c:formatCode>0.00</c:formatCode>
                <c:ptCount val="6"/>
                <c:pt idx="0">
                  <c:v>2.52</c:v>
                </c:pt>
                <c:pt idx="1">
                  <c:v>8.9499999999999993</c:v>
                </c:pt>
                <c:pt idx="2">
                  <c:v>56.62</c:v>
                </c:pt>
                <c:pt idx="3">
                  <c:v>29.57</c:v>
                </c:pt>
                <c:pt idx="4">
                  <c:v>2.0499999999999998</c:v>
                </c:pt>
                <c:pt idx="5">
                  <c:v>0.28999999999999998</c:v>
                </c:pt>
              </c:numCache>
            </c:numRef>
          </c:val>
          <c:extLst>
            <c:ext xmlns:c16="http://schemas.microsoft.com/office/drawing/2014/chart" uri="{C3380CC4-5D6E-409C-BE32-E72D297353CC}">
              <c16:uniqueId val="{00000000-C2DC-4ECF-96C8-51FC68A76E87}"/>
            </c:ext>
          </c:extLst>
        </c:ser>
        <c:ser>
          <c:idx val="1"/>
          <c:order val="1"/>
          <c:tx>
            <c:strRef>
              <c:f>'52'!$A$25</c:f>
              <c:strCache>
                <c:ptCount val="1"/>
                <c:pt idx="0">
                  <c:v>Feminin</c:v>
                </c:pt>
              </c:strCache>
            </c:strRef>
          </c:tx>
          <c:spPr>
            <a:solidFill>
              <a:schemeClr val="accent2"/>
            </a:solidFill>
            <a:ln>
              <a:noFill/>
            </a:ln>
            <a:effectLst/>
          </c:spPr>
          <c:invertIfNegative val="0"/>
          <c:dLbls>
            <c:dLbl>
              <c:idx val="2"/>
              <c:layout>
                <c:manualLayout>
                  <c:x val="5.7016555400255152E-2"/>
                  <c:y val="-1.3476272822367531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C2DC-4ECF-96C8-51FC68A76E87}"/>
                </c:ext>
              </c:extLst>
            </c:dLbl>
            <c:dLbl>
              <c:idx val="3"/>
              <c:layout>
                <c:manualLayout>
                  <c:x val="2.6460859977949204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C2DC-4ECF-96C8-51FC68A76E87}"/>
                </c:ext>
              </c:extLst>
            </c:dLbl>
            <c:dLbl>
              <c:idx val="4"/>
              <c:layout>
                <c:manualLayout>
                  <c:x val="8.8202866593162666E-3"/>
                  <c:y val="2.940311673037341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C2DC-4ECF-96C8-51FC68A76E87}"/>
                </c:ext>
              </c:extLst>
            </c:dLbl>
            <c:dLbl>
              <c:idx val="5"/>
              <c:layout>
                <c:manualLayout>
                  <c:x val="8.8202866593164279E-3"/>
                  <c:y val="2.352249338429873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C2DC-4ECF-96C8-51FC68A76E87}"/>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o-R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'52'!$D$4:$I$4</c:f>
              <c:strCache>
                <c:ptCount val="6"/>
                <c:pt idx="0">
                  <c:v>Sub 5 
ţigări</c:v>
                </c:pt>
                <c:pt idx="1">
                  <c:v>5-9 
ţigări</c:v>
                </c:pt>
                <c:pt idx="2">
                  <c:v>10-19 
ţigări</c:v>
                </c:pt>
                <c:pt idx="3">
                  <c:v>20-29 
ţigări</c:v>
                </c:pt>
                <c:pt idx="4">
                  <c:v>30-39 
ţigări</c:v>
                </c:pt>
                <c:pt idx="5">
                  <c:v>40 ţigări 
şi peste</c:v>
                </c:pt>
              </c:strCache>
            </c:strRef>
          </c:cat>
          <c:val>
            <c:numRef>
              <c:f>'52'!$D$25:$I$25</c:f>
              <c:numCache>
                <c:formatCode>0.00</c:formatCode>
                <c:ptCount val="6"/>
                <c:pt idx="0">
                  <c:v>6.74</c:v>
                </c:pt>
                <c:pt idx="1">
                  <c:v>17.52</c:v>
                </c:pt>
                <c:pt idx="2">
                  <c:v>57.65</c:v>
                </c:pt>
                <c:pt idx="3">
                  <c:v>16.96</c:v>
                </c:pt>
                <c:pt idx="4">
                  <c:v>1.1299999999999999</c:v>
                </c:pt>
                <c:pt idx="5">
                  <c:v>0</c:v>
                </c:pt>
              </c:numCache>
            </c:numRef>
          </c:val>
          <c:extLst>
            <c:ext xmlns:c16="http://schemas.microsoft.com/office/drawing/2014/chart" uri="{C3380CC4-5D6E-409C-BE32-E72D297353CC}">
              <c16:uniqueId val="{00000005-C2DC-4ECF-96C8-51FC68A76E87}"/>
            </c:ext>
          </c:extLst>
        </c:ser>
        <c:dLbls>
          <c:showLegendKey val="0"/>
          <c:showVal val="0"/>
          <c:showCatName val="0"/>
          <c:showSerName val="0"/>
          <c:showPercent val="0"/>
          <c:showBubbleSize val="0"/>
        </c:dLbls>
        <c:gapWidth val="219"/>
        <c:overlap val="-27"/>
        <c:axId val="1672947375"/>
        <c:axId val="1672946415"/>
      </c:barChart>
      <c:catAx>
        <c:axId val="167294737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o-RO"/>
          </a:p>
        </c:txPr>
        <c:crossAx val="1672946415"/>
        <c:crosses val="autoZero"/>
        <c:auto val="1"/>
        <c:lblAlgn val="ctr"/>
        <c:lblOffset val="100"/>
        <c:noMultiLvlLbl val="0"/>
      </c:catAx>
      <c:valAx>
        <c:axId val="1672946415"/>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o-RO"/>
          </a:p>
        </c:txPr>
        <c:crossAx val="1672947375"/>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o-RO"/>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o-RO"/>
    </a:p>
  </c:txPr>
  <c:externalData r:id="rId4">
    <c:autoUpdate val="0"/>
  </c:externalData>
</c:chartSpace>
</file>

<file path=word/charts/chart8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lrMapOvr bg1="lt1" tx1="dk1" bg2="lt2" tx2="dk2" accent1="accent1" accent2="accent2" accent3="accent3" accent4="accent4" accent5="accent5" accent6="accent6" hlink="hlink" folHlink="folHlink"/>
  <c:chart>
    <c:autoTitleDeleted val="0"/>
    <c:plotArea>
      <c:layout/>
      <c:pieChart>
        <c:varyColors val="1"/>
        <c:ser>
          <c:idx val="0"/>
          <c:order val="0"/>
          <c:dPt>
            <c:idx val="0"/>
            <c:bubble3D val="0"/>
            <c:spPr>
              <a:solidFill>
                <a:srgbClr val="C00000"/>
              </a:solidFill>
            </c:spPr>
            <c:extLst>
              <c:ext xmlns:c16="http://schemas.microsoft.com/office/drawing/2014/chart" uri="{C3380CC4-5D6E-409C-BE32-E72D297353CC}">
                <c16:uniqueId val="{00000001-6F35-45FE-B761-B425BA8C354A}"/>
              </c:ext>
            </c:extLst>
          </c:dPt>
          <c:dPt>
            <c:idx val="1"/>
            <c:bubble3D val="0"/>
            <c:spPr>
              <a:solidFill>
                <a:srgbClr val="8FCFFF"/>
              </a:solidFill>
            </c:spPr>
            <c:extLst>
              <c:ext xmlns:c16="http://schemas.microsoft.com/office/drawing/2014/chart" uri="{C3380CC4-5D6E-409C-BE32-E72D297353CC}">
                <c16:uniqueId val="{00000003-6F35-45FE-B761-B425BA8C354A}"/>
              </c:ext>
            </c:extLst>
          </c:dPt>
          <c:dLbls>
            <c:dLbl>
              <c:idx val="0"/>
              <c:tx>
                <c:rich>
                  <a:bodyPr/>
                  <a:lstStyle/>
                  <a:p>
                    <a:fld id="{12B50C35-8139-4CE8-9CFC-BB7F4EB3C984}"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1-6F35-45FE-B761-B425BA8C354A}"/>
                </c:ext>
              </c:extLst>
            </c:dLbl>
            <c:dLbl>
              <c:idx val="1"/>
              <c:tx>
                <c:rich>
                  <a:bodyPr/>
                  <a:lstStyle/>
                  <a:p>
                    <a:fld id="{18A71474-FE2B-48AA-88C5-F252635E36ED}"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3-6F35-45FE-B761-B425BA8C354A}"/>
                </c:ext>
              </c:extLst>
            </c:dLbl>
            <c:spPr>
              <a:noFill/>
              <a:ln>
                <a:noFill/>
              </a:ln>
              <a:effectLst/>
            </c:spPr>
            <c:txPr>
              <a:bodyPr wrap="square" lIns="38100" tIns="19050" rIns="38100" bIns="19050" anchor="ctr">
                <a:spAutoFit/>
              </a:bodyPr>
              <a:lstStyle/>
              <a:p>
                <a:pPr>
                  <a:defRPr sz="1000">
                    <a:latin typeface="Calibri" panose="020F0502020204030204" pitchFamily="34" charset="0"/>
                    <a:ea typeface="Calibri" panose="020F0502020204030204" pitchFamily="34" charset="0"/>
                    <a:cs typeface="Calibri" panose="020F0502020204030204" pitchFamily="34" charset="0"/>
                  </a:defRPr>
                </a:pPr>
                <a:endParaRPr lang="ro-RO"/>
              </a:p>
            </c:txPr>
            <c:showLegendKey val="0"/>
            <c:showVal val="0"/>
            <c:showCatName val="0"/>
            <c:showSerName val="0"/>
            <c:showPercent val="0"/>
            <c:showBubbleSize val="0"/>
            <c:showLeaderLines val="1"/>
            <c:extLst>
              <c:ext xmlns:c15="http://schemas.microsoft.com/office/drawing/2012/chart" uri="{CE6537A1-D6FC-4f65-9D91-7224C49458BB}">
                <c15:showDataLabelsRange val="1"/>
              </c:ext>
            </c:extLst>
          </c:dLbls>
          <c:cat>
            <c:strRef>
              <c:f>Fumat!$B$2:$C$2</c:f>
              <c:strCache>
                <c:ptCount val="2"/>
                <c:pt idx="0">
                  <c:v>Da</c:v>
                </c:pt>
                <c:pt idx="1">
                  <c:v>Nu</c:v>
                </c:pt>
              </c:strCache>
            </c:strRef>
          </c:cat>
          <c:val>
            <c:numRef>
              <c:f>Fumat!$B$3:$C$3</c:f>
              <c:numCache>
                <c:formatCode>General</c:formatCode>
                <c:ptCount val="2"/>
                <c:pt idx="0">
                  <c:v>50.5</c:v>
                </c:pt>
                <c:pt idx="1">
                  <c:v>49.5</c:v>
                </c:pt>
              </c:numCache>
            </c:numRef>
          </c:val>
          <c:extLst>
            <c:ext xmlns:c15="http://schemas.microsoft.com/office/drawing/2012/chart" uri="{02D57815-91ED-43cb-92C2-25804820EDAC}">
              <c15:datalabelsRange>
                <c15:f>Fumat!$B$4:$C$4</c15:f>
                <c15:dlblRangeCache>
                  <c:ptCount val="2"/>
                  <c:pt idx="0">
                    <c:v>50,5</c:v>
                  </c:pt>
                  <c:pt idx="1">
                    <c:v>49,5</c:v>
                  </c:pt>
                </c15:dlblRangeCache>
              </c15:datalabelsRange>
            </c:ext>
            <c:ext xmlns:c16="http://schemas.microsoft.com/office/drawing/2014/chart" uri="{C3380CC4-5D6E-409C-BE32-E72D297353CC}">
              <c16:uniqueId val="{00000004-6F35-45FE-B761-B425BA8C354A}"/>
            </c:ext>
          </c:extLst>
        </c:ser>
        <c:dLbls>
          <c:showLegendKey val="0"/>
          <c:showVal val="0"/>
          <c:showCatName val="0"/>
          <c:showSerName val="0"/>
          <c:showPercent val="0"/>
          <c:showBubbleSize val="0"/>
          <c:showLeaderLines val="1"/>
        </c:dLbls>
        <c:firstSliceAng val="0"/>
      </c:pieChart>
    </c:plotArea>
    <c:legend>
      <c:legendPos val="b"/>
      <c:overlay val="0"/>
      <c:txPr>
        <a:bodyPr/>
        <a:lstStyle/>
        <a:p>
          <a:pPr>
            <a:defRPr>
              <a:latin typeface="Calibri" panose="020F0502020204030204" pitchFamily="34" charset="0"/>
              <a:ea typeface="Calibri" panose="020F0502020204030204" pitchFamily="34" charset="0"/>
              <a:cs typeface="Calibri" panose="020F0502020204030204" pitchFamily="34" charset="0"/>
            </a:defRPr>
          </a:pPr>
          <a:endParaRPr lang="ro-RO"/>
        </a:p>
      </c:txPr>
    </c:legend>
    <c:plotVisOnly val="1"/>
    <c:dispBlanksAs val="zero"/>
    <c:showDLblsOverMax val="0"/>
  </c:chart>
  <c:externalData r:id="rId2">
    <c:autoUpdate val="0"/>
  </c:externalData>
  <c:userShapes r:id="rId3"/>
</c:chartSpace>
</file>

<file path=word/charts/chart8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7.1988407699037624E-2"/>
          <c:y val="0.12547462817147856"/>
          <c:w val="0.89745603674540686"/>
          <c:h val="0.6726582093904967"/>
        </c:manualLayout>
      </c:layout>
      <c:barChart>
        <c:barDir val="col"/>
        <c:grouping val="clustered"/>
        <c:varyColors val="0"/>
        <c:ser>
          <c:idx val="0"/>
          <c:order val="0"/>
          <c:invertIfNegative val="0"/>
          <c:dPt>
            <c:idx val="1"/>
            <c:invertIfNegative val="0"/>
            <c:bubble3D val="0"/>
            <c:spPr>
              <a:solidFill>
                <a:srgbClr val="8FCFFF"/>
              </a:solidFill>
            </c:spPr>
            <c:extLst>
              <c:ext xmlns:c16="http://schemas.microsoft.com/office/drawing/2014/chart" uri="{C3380CC4-5D6E-409C-BE32-E72D297353CC}">
                <c16:uniqueId val="{00000001-26ED-4F8E-9C05-C6824DA6F5CB}"/>
              </c:ext>
            </c:extLst>
          </c:dPt>
          <c:dPt>
            <c:idx val="3"/>
            <c:invertIfNegative val="0"/>
            <c:bubble3D val="0"/>
            <c:spPr>
              <a:solidFill>
                <a:srgbClr val="8FCFFF"/>
              </a:solidFill>
            </c:spPr>
            <c:extLst>
              <c:ext xmlns:c16="http://schemas.microsoft.com/office/drawing/2014/chart" uri="{C3380CC4-5D6E-409C-BE32-E72D297353CC}">
                <c16:uniqueId val="{00000003-26ED-4F8E-9C05-C6824DA6F5CB}"/>
              </c:ext>
            </c:extLst>
          </c:dPt>
          <c:dLbls>
            <c:dLbl>
              <c:idx val="0"/>
              <c:tx>
                <c:rich>
                  <a:bodyPr/>
                  <a:lstStyle/>
                  <a:p>
                    <a:fld id="{53A29E44-698A-4530-BC5B-CF2802AEBCD8}"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4-26ED-4F8E-9C05-C6824DA6F5CB}"/>
                </c:ext>
              </c:extLst>
            </c:dLbl>
            <c:dLbl>
              <c:idx val="1"/>
              <c:tx>
                <c:rich>
                  <a:bodyPr/>
                  <a:lstStyle/>
                  <a:p>
                    <a:fld id="{3D5C066F-C3B8-4D25-8C91-3CD1F6808246}"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1-26ED-4F8E-9C05-C6824DA6F5CB}"/>
                </c:ext>
              </c:extLst>
            </c:dLbl>
            <c:dLbl>
              <c:idx val="2"/>
              <c:tx>
                <c:rich>
                  <a:bodyPr/>
                  <a:lstStyle/>
                  <a:p>
                    <a:fld id="{03A704DD-3FFB-4E0D-9801-07B868A51493}"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5-26ED-4F8E-9C05-C6824DA6F5CB}"/>
                </c:ext>
              </c:extLst>
            </c:dLbl>
            <c:dLbl>
              <c:idx val="3"/>
              <c:tx>
                <c:rich>
                  <a:bodyPr/>
                  <a:lstStyle/>
                  <a:p>
                    <a:fld id="{4675CF29-E13C-4B00-B2C1-2750C51AC041}"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3-26ED-4F8E-9C05-C6824DA6F5CB}"/>
                </c:ext>
              </c:extLst>
            </c:dLbl>
            <c:spPr>
              <a:noFill/>
              <a:ln>
                <a:noFill/>
              </a:ln>
              <a:effectLst/>
            </c:spPr>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0"/>
              </c:ext>
            </c:extLst>
          </c:dLbls>
          <c:cat>
            <c:multiLvlStrRef>
              <c:f>Fumat!$P$16:$S$17</c:f>
              <c:multiLvlStrCache>
                <c:ptCount val="4"/>
                <c:lvl>
                  <c:pt idx="0">
                    <c:v>da</c:v>
                  </c:pt>
                  <c:pt idx="1">
                    <c:v>nu</c:v>
                  </c:pt>
                  <c:pt idx="2">
                    <c:v>da</c:v>
                  </c:pt>
                  <c:pt idx="3">
                    <c:v>nu</c:v>
                  </c:pt>
                </c:lvl>
                <c:lvl>
                  <c:pt idx="0">
                    <c:v>fete</c:v>
                  </c:pt>
                  <c:pt idx="2">
                    <c:v>băieţi</c:v>
                  </c:pt>
                </c:lvl>
              </c:multiLvlStrCache>
            </c:multiLvlStrRef>
          </c:cat>
          <c:val>
            <c:numRef>
              <c:f>Fumat!$P$18:$S$18</c:f>
              <c:numCache>
                <c:formatCode>General</c:formatCode>
                <c:ptCount val="4"/>
                <c:pt idx="0">
                  <c:v>51.6</c:v>
                </c:pt>
                <c:pt idx="1">
                  <c:v>48.4</c:v>
                </c:pt>
                <c:pt idx="2">
                  <c:v>49.3</c:v>
                </c:pt>
                <c:pt idx="3">
                  <c:v>50.7</c:v>
                </c:pt>
              </c:numCache>
            </c:numRef>
          </c:val>
          <c:extLst>
            <c:ext xmlns:c15="http://schemas.microsoft.com/office/drawing/2012/chart" uri="{02D57815-91ED-43cb-92C2-25804820EDAC}">
              <c15:datalabelsRange>
                <c15:f>Fumat!$P$19:$S$19</c15:f>
                <c15:dlblRangeCache>
                  <c:ptCount val="4"/>
                  <c:pt idx="0">
                    <c:v>51,6</c:v>
                  </c:pt>
                  <c:pt idx="1">
                    <c:v>48,4</c:v>
                  </c:pt>
                  <c:pt idx="2">
                    <c:v>49,3</c:v>
                  </c:pt>
                  <c:pt idx="3">
                    <c:v>50,7</c:v>
                  </c:pt>
                </c15:dlblRangeCache>
              </c15:datalabelsRange>
            </c:ext>
            <c:ext xmlns:c16="http://schemas.microsoft.com/office/drawing/2014/chart" uri="{C3380CC4-5D6E-409C-BE32-E72D297353CC}">
              <c16:uniqueId val="{00000006-26ED-4F8E-9C05-C6824DA6F5CB}"/>
            </c:ext>
          </c:extLst>
        </c:ser>
        <c:dLbls>
          <c:showLegendKey val="0"/>
          <c:showVal val="0"/>
          <c:showCatName val="0"/>
          <c:showSerName val="0"/>
          <c:showPercent val="0"/>
          <c:showBubbleSize val="0"/>
        </c:dLbls>
        <c:gapWidth val="150"/>
        <c:axId val="81732352"/>
        <c:axId val="81733888"/>
      </c:barChart>
      <c:catAx>
        <c:axId val="81732352"/>
        <c:scaling>
          <c:orientation val="minMax"/>
        </c:scaling>
        <c:delete val="0"/>
        <c:axPos val="b"/>
        <c:numFmt formatCode="General" sourceLinked="0"/>
        <c:majorTickMark val="out"/>
        <c:minorTickMark val="none"/>
        <c:tickLblPos val="nextTo"/>
        <c:crossAx val="81733888"/>
        <c:crosses val="autoZero"/>
        <c:auto val="1"/>
        <c:lblAlgn val="ctr"/>
        <c:lblOffset val="100"/>
        <c:noMultiLvlLbl val="0"/>
      </c:catAx>
      <c:valAx>
        <c:axId val="81733888"/>
        <c:scaling>
          <c:orientation val="minMax"/>
          <c:min val="0"/>
        </c:scaling>
        <c:delete val="0"/>
        <c:axPos val="l"/>
        <c:majorGridlines/>
        <c:numFmt formatCode="General" sourceLinked="1"/>
        <c:majorTickMark val="out"/>
        <c:minorTickMark val="none"/>
        <c:tickLblPos val="nextTo"/>
        <c:crossAx val="81732352"/>
        <c:crosses val="autoZero"/>
        <c:crossBetween val="between"/>
      </c:valAx>
    </c:plotArea>
    <c:plotVisOnly val="1"/>
    <c:dispBlanksAs val="gap"/>
    <c:showDLblsOverMax val="0"/>
  </c:chart>
  <c:externalData r:id="rId2">
    <c:autoUpdate val="0"/>
  </c:externalData>
  <c:userShapes r:id="rId3"/>
</c:chartSpace>
</file>

<file path=word/charts/chart8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7.1988407699037624E-2"/>
          <c:y val="0.13010425780110821"/>
          <c:w val="0.89745603674540686"/>
          <c:h val="0.61152413240011883"/>
        </c:manualLayout>
      </c:layout>
      <c:barChart>
        <c:barDir val="col"/>
        <c:grouping val="clustered"/>
        <c:varyColors val="0"/>
        <c:ser>
          <c:idx val="0"/>
          <c:order val="0"/>
          <c:invertIfNegative val="0"/>
          <c:dPt>
            <c:idx val="1"/>
            <c:invertIfNegative val="0"/>
            <c:bubble3D val="0"/>
            <c:spPr>
              <a:solidFill>
                <a:srgbClr val="8FCFFF"/>
              </a:solidFill>
            </c:spPr>
            <c:extLst>
              <c:ext xmlns:c16="http://schemas.microsoft.com/office/drawing/2014/chart" uri="{C3380CC4-5D6E-409C-BE32-E72D297353CC}">
                <c16:uniqueId val="{00000001-11DD-4071-9EA3-0B04CA37F695}"/>
              </c:ext>
            </c:extLst>
          </c:dPt>
          <c:dPt>
            <c:idx val="3"/>
            <c:invertIfNegative val="0"/>
            <c:bubble3D val="0"/>
            <c:spPr>
              <a:solidFill>
                <a:srgbClr val="8FCFFF"/>
              </a:solidFill>
            </c:spPr>
            <c:extLst>
              <c:ext xmlns:c16="http://schemas.microsoft.com/office/drawing/2014/chart" uri="{C3380CC4-5D6E-409C-BE32-E72D297353CC}">
                <c16:uniqueId val="{00000003-11DD-4071-9EA3-0B04CA37F695}"/>
              </c:ext>
            </c:extLst>
          </c:dPt>
          <c:dPt>
            <c:idx val="5"/>
            <c:invertIfNegative val="0"/>
            <c:bubble3D val="0"/>
            <c:spPr>
              <a:solidFill>
                <a:srgbClr val="8FCFFF"/>
              </a:solidFill>
            </c:spPr>
            <c:extLst>
              <c:ext xmlns:c16="http://schemas.microsoft.com/office/drawing/2014/chart" uri="{C3380CC4-5D6E-409C-BE32-E72D297353CC}">
                <c16:uniqueId val="{00000005-11DD-4071-9EA3-0B04CA37F695}"/>
              </c:ext>
            </c:extLst>
          </c:dPt>
          <c:dPt>
            <c:idx val="7"/>
            <c:invertIfNegative val="0"/>
            <c:bubble3D val="0"/>
            <c:spPr>
              <a:solidFill>
                <a:srgbClr val="8FCFFF"/>
              </a:solidFill>
            </c:spPr>
            <c:extLst>
              <c:ext xmlns:c16="http://schemas.microsoft.com/office/drawing/2014/chart" uri="{C3380CC4-5D6E-409C-BE32-E72D297353CC}">
                <c16:uniqueId val="{00000007-11DD-4071-9EA3-0B04CA37F695}"/>
              </c:ext>
            </c:extLst>
          </c:dPt>
          <c:dPt>
            <c:idx val="9"/>
            <c:invertIfNegative val="0"/>
            <c:bubble3D val="0"/>
            <c:spPr>
              <a:solidFill>
                <a:srgbClr val="8FCFFF"/>
              </a:solidFill>
            </c:spPr>
            <c:extLst>
              <c:ext xmlns:c16="http://schemas.microsoft.com/office/drawing/2014/chart" uri="{C3380CC4-5D6E-409C-BE32-E72D297353CC}">
                <c16:uniqueId val="{00000009-11DD-4071-9EA3-0B04CA37F695}"/>
              </c:ext>
            </c:extLst>
          </c:dPt>
          <c:dLbls>
            <c:dLbl>
              <c:idx val="0"/>
              <c:tx>
                <c:rich>
                  <a:bodyPr/>
                  <a:lstStyle/>
                  <a:p>
                    <a:fld id="{51575177-7441-4034-8FB4-07BE3CF56766}"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A-11DD-4071-9EA3-0B04CA37F695}"/>
                </c:ext>
              </c:extLst>
            </c:dLbl>
            <c:dLbl>
              <c:idx val="1"/>
              <c:tx>
                <c:rich>
                  <a:bodyPr/>
                  <a:lstStyle/>
                  <a:p>
                    <a:fld id="{8F39F72A-C6BD-4175-A91F-DC89ED49E55C}"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1-11DD-4071-9EA3-0B04CA37F695}"/>
                </c:ext>
              </c:extLst>
            </c:dLbl>
            <c:dLbl>
              <c:idx val="2"/>
              <c:tx>
                <c:rich>
                  <a:bodyPr/>
                  <a:lstStyle/>
                  <a:p>
                    <a:fld id="{FFFE0C4E-DB39-4BDF-BF59-08AE45106551}"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B-11DD-4071-9EA3-0B04CA37F695}"/>
                </c:ext>
              </c:extLst>
            </c:dLbl>
            <c:dLbl>
              <c:idx val="3"/>
              <c:tx>
                <c:rich>
                  <a:bodyPr/>
                  <a:lstStyle/>
                  <a:p>
                    <a:fld id="{5DE9BFBD-F58D-42BE-A4A6-F5FBB59B124F}"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3-11DD-4071-9EA3-0B04CA37F695}"/>
                </c:ext>
              </c:extLst>
            </c:dLbl>
            <c:dLbl>
              <c:idx val="4"/>
              <c:tx>
                <c:rich>
                  <a:bodyPr/>
                  <a:lstStyle/>
                  <a:p>
                    <a:fld id="{7944AB85-150F-46FF-9835-B71084ABFF00}"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C-11DD-4071-9EA3-0B04CA37F695}"/>
                </c:ext>
              </c:extLst>
            </c:dLbl>
            <c:dLbl>
              <c:idx val="5"/>
              <c:tx>
                <c:rich>
                  <a:bodyPr/>
                  <a:lstStyle/>
                  <a:p>
                    <a:fld id="{810F590D-C036-4CFA-90FD-C172F99A6DF1}"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5-11DD-4071-9EA3-0B04CA37F695}"/>
                </c:ext>
              </c:extLst>
            </c:dLbl>
            <c:dLbl>
              <c:idx val="6"/>
              <c:tx>
                <c:rich>
                  <a:bodyPr/>
                  <a:lstStyle/>
                  <a:p>
                    <a:fld id="{088FFA06-C1EB-482D-AF4F-AFD833A3D621}"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D-11DD-4071-9EA3-0B04CA37F695}"/>
                </c:ext>
              </c:extLst>
            </c:dLbl>
            <c:dLbl>
              <c:idx val="7"/>
              <c:tx>
                <c:rich>
                  <a:bodyPr/>
                  <a:lstStyle/>
                  <a:p>
                    <a:fld id="{B916213A-8BE7-4CF8-8B3E-0B9B68BBEBA8}"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7-11DD-4071-9EA3-0B04CA37F695}"/>
                </c:ext>
              </c:extLst>
            </c:dLbl>
            <c:dLbl>
              <c:idx val="8"/>
              <c:tx>
                <c:rich>
                  <a:bodyPr/>
                  <a:lstStyle/>
                  <a:p>
                    <a:fld id="{4E2060DE-F287-4361-9E58-E01792D91396}"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E-11DD-4071-9EA3-0B04CA37F695}"/>
                </c:ext>
              </c:extLst>
            </c:dLbl>
            <c:dLbl>
              <c:idx val="9"/>
              <c:tx>
                <c:rich>
                  <a:bodyPr/>
                  <a:lstStyle/>
                  <a:p>
                    <a:fld id="{5B1433F5-DC2A-498B-8696-B068560ABA2F}"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9-11DD-4071-9EA3-0B04CA37F695}"/>
                </c:ext>
              </c:extLst>
            </c:dLbl>
            <c:spPr>
              <a:noFill/>
              <a:ln>
                <a:noFill/>
              </a:ln>
              <a:effectLst/>
            </c:spPr>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0"/>
              </c:ext>
            </c:extLst>
          </c:dLbls>
          <c:cat>
            <c:multiLvlStrRef>
              <c:f>Fumat!$T$51:$AC$52</c:f>
              <c:multiLvlStrCache>
                <c:ptCount val="10"/>
                <c:lvl>
                  <c:pt idx="0">
                    <c:v>da</c:v>
                  </c:pt>
                  <c:pt idx="1">
                    <c:v>nu</c:v>
                  </c:pt>
                  <c:pt idx="2">
                    <c:v>da</c:v>
                  </c:pt>
                  <c:pt idx="3">
                    <c:v>nu</c:v>
                  </c:pt>
                  <c:pt idx="4">
                    <c:v>da</c:v>
                  </c:pt>
                  <c:pt idx="5">
                    <c:v>nu</c:v>
                  </c:pt>
                  <c:pt idx="6">
                    <c:v>da</c:v>
                  </c:pt>
                  <c:pt idx="7">
                    <c:v>nu</c:v>
                  </c:pt>
                  <c:pt idx="8">
                    <c:v>da</c:v>
                  </c:pt>
                  <c:pt idx="9">
                    <c:v>nu</c:v>
                  </c:pt>
                </c:lvl>
                <c:lvl>
                  <c:pt idx="0">
                    <c:v>14</c:v>
                  </c:pt>
                  <c:pt idx="2">
                    <c:v>15</c:v>
                  </c:pt>
                  <c:pt idx="4">
                    <c:v>16</c:v>
                  </c:pt>
                  <c:pt idx="6">
                    <c:v>17</c:v>
                  </c:pt>
                  <c:pt idx="8">
                    <c:v>18 sau mai mult</c:v>
                  </c:pt>
                </c:lvl>
              </c:multiLvlStrCache>
            </c:multiLvlStrRef>
          </c:cat>
          <c:val>
            <c:numRef>
              <c:f>Fumat!$T$53:$AC$53</c:f>
              <c:numCache>
                <c:formatCode>General</c:formatCode>
                <c:ptCount val="10"/>
                <c:pt idx="0">
                  <c:v>37.200000000000003</c:v>
                </c:pt>
                <c:pt idx="1">
                  <c:v>62.8</c:v>
                </c:pt>
                <c:pt idx="2">
                  <c:v>38.5</c:v>
                </c:pt>
                <c:pt idx="3">
                  <c:v>61.5</c:v>
                </c:pt>
                <c:pt idx="4">
                  <c:v>49</c:v>
                </c:pt>
                <c:pt idx="5">
                  <c:v>51</c:v>
                </c:pt>
                <c:pt idx="6">
                  <c:v>56</c:v>
                </c:pt>
                <c:pt idx="7">
                  <c:v>44</c:v>
                </c:pt>
                <c:pt idx="8">
                  <c:v>59</c:v>
                </c:pt>
                <c:pt idx="9">
                  <c:v>41</c:v>
                </c:pt>
              </c:numCache>
            </c:numRef>
          </c:val>
          <c:extLst>
            <c:ext xmlns:c15="http://schemas.microsoft.com/office/drawing/2012/chart" uri="{02D57815-91ED-43cb-92C2-25804820EDAC}">
              <c15:datalabelsRange>
                <c15:f>Fumat!$T$54:$AC$54</c15:f>
                <c15:dlblRangeCache>
                  <c:ptCount val="10"/>
                  <c:pt idx="0">
                    <c:v>37,2</c:v>
                  </c:pt>
                  <c:pt idx="1">
                    <c:v>62,8</c:v>
                  </c:pt>
                  <c:pt idx="2">
                    <c:v>38,5</c:v>
                  </c:pt>
                  <c:pt idx="3">
                    <c:v>61,5</c:v>
                  </c:pt>
                  <c:pt idx="4">
                    <c:v>49</c:v>
                  </c:pt>
                  <c:pt idx="5">
                    <c:v>51</c:v>
                  </c:pt>
                  <c:pt idx="6">
                    <c:v>56</c:v>
                  </c:pt>
                  <c:pt idx="7">
                    <c:v>44</c:v>
                  </c:pt>
                  <c:pt idx="8">
                    <c:v>59</c:v>
                  </c:pt>
                  <c:pt idx="9">
                    <c:v>41</c:v>
                  </c:pt>
                </c15:dlblRangeCache>
              </c15:datalabelsRange>
            </c:ext>
            <c:ext xmlns:c16="http://schemas.microsoft.com/office/drawing/2014/chart" uri="{C3380CC4-5D6E-409C-BE32-E72D297353CC}">
              <c16:uniqueId val="{0000000F-11DD-4071-9EA3-0B04CA37F695}"/>
            </c:ext>
          </c:extLst>
        </c:ser>
        <c:dLbls>
          <c:showLegendKey val="0"/>
          <c:showVal val="0"/>
          <c:showCatName val="0"/>
          <c:showSerName val="0"/>
          <c:showPercent val="0"/>
          <c:showBubbleSize val="0"/>
        </c:dLbls>
        <c:gapWidth val="150"/>
        <c:axId val="81704448"/>
        <c:axId val="81705984"/>
      </c:barChart>
      <c:catAx>
        <c:axId val="81704448"/>
        <c:scaling>
          <c:orientation val="minMax"/>
        </c:scaling>
        <c:delete val="0"/>
        <c:axPos val="b"/>
        <c:numFmt formatCode="General" sourceLinked="0"/>
        <c:majorTickMark val="out"/>
        <c:minorTickMark val="none"/>
        <c:tickLblPos val="nextTo"/>
        <c:crossAx val="81705984"/>
        <c:crosses val="autoZero"/>
        <c:auto val="1"/>
        <c:lblAlgn val="ctr"/>
        <c:lblOffset val="100"/>
        <c:noMultiLvlLbl val="0"/>
      </c:catAx>
      <c:valAx>
        <c:axId val="81705984"/>
        <c:scaling>
          <c:orientation val="minMax"/>
        </c:scaling>
        <c:delete val="0"/>
        <c:axPos val="l"/>
        <c:majorGridlines/>
        <c:numFmt formatCode="General" sourceLinked="1"/>
        <c:majorTickMark val="out"/>
        <c:minorTickMark val="none"/>
        <c:tickLblPos val="nextTo"/>
        <c:crossAx val="81704448"/>
        <c:crosses val="autoZero"/>
        <c:crossBetween val="between"/>
      </c:valAx>
    </c:plotArea>
    <c:plotVisOnly val="1"/>
    <c:dispBlanksAs val="gap"/>
    <c:showDLblsOverMax val="0"/>
  </c:chart>
  <c:txPr>
    <a:bodyPr/>
    <a:lstStyle/>
    <a:p>
      <a:pPr>
        <a:defRPr>
          <a:latin typeface="Calibri" panose="020F0502020204030204" pitchFamily="34" charset="0"/>
          <a:ea typeface="Calibri" panose="020F0502020204030204" pitchFamily="34" charset="0"/>
          <a:cs typeface="Calibri" panose="020F0502020204030204" pitchFamily="34" charset="0"/>
        </a:defRPr>
      </a:pPr>
      <a:endParaRPr lang="ro-RO"/>
    </a:p>
  </c:txPr>
  <c:externalData r:id="rId2">
    <c:autoUpdate val="0"/>
  </c:externalData>
  <c:userShapes r:id="rId3"/>
</c:chartSpace>
</file>

<file path=word/charts/chart8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percentStacked"/>
        <c:varyColors val="0"/>
        <c:ser>
          <c:idx val="0"/>
          <c:order val="0"/>
          <c:tx>
            <c:strRef>
              <c:f>Fumat!$AF$53</c:f>
              <c:strCache>
                <c:ptCount val="1"/>
                <c:pt idx="0">
                  <c:v>da</c:v>
                </c:pt>
              </c:strCache>
            </c:strRef>
          </c:tx>
          <c:spPr>
            <a:solidFill>
              <a:srgbClr val="FF7171"/>
            </a:solidFill>
          </c:spPr>
          <c:invertIfNegative val="0"/>
          <c:dLbls>
            <c:spPr>
              <a:noFill/>
              <a:ln>
                <a:noFill/>
              </a:ln>
              <a:effectLst/>
            </c:spPr>
            <c:txPr>
              <a:bodyPr wrap="square" lIns="38100" tIns="19050" rIns="38100" bIns="19050" anchor="ctr">
                <a:spAutoFit/>
              </a:bodyPr>
              <a:lstStyle/>
              <a:p>
                <a:pPr>
                  <a:defRPr>
                    <a:latin typeface="Calibri" panose="020F0502020204030204" pitchFamily="34" charset="0"/>
                    <a:ea typeface="Calibri" panose="020F0502020204030204" pitchFamily="34" charset="0"/>
                    <a:cs typeface="Calibri" panose="020F0502020204030204" pitchFamily="34" charset="0"/>
                  </a:defRPr>
                </a:pPr>
                <a:endParaRPr lang="ro-RO"/>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multiLvlStrRef>
              <c:f>Fumat!$AG$51:$AP$52</c:f>
              <c:multiLvlStrCache>
                <c:ptCount val="10"/>
                <c:lvl>
                  <c:pt idx="0">
                    <c:v>fete</c:v>
                  </c:pt>
                  <c:pt idx="1">
                    <c:v>băieţi</c:v>
                  </c:pt>
                  <c:pt idx="2">
                    <c:v>fete</c:v>
                  </c:pt>
                  <c:pt idx="3">
                    <c:v>băieţi</c:v>
                  </c:pt>
                  <c:pt idx="4">
                    <c:v>fete</c:v>
                  </c:pt>
                  <c:pt idx="5">
                    <c:v>băieţi</c:v>
                  </c:pt>
                  <c:pt idx="6">
                    <c:v>fete</c:v>
                  </c:pt>
                  <c:pt idx="7">
                    <c:v>băieţi</c:v>
                  </c:pt>
                  <c:pt idx="8">
                    <c:v>fete</c:v>
                  </c:pt>
                  <c:pt idx="9">
                    <c:v>băieţi</c:v>
                  </c:pt>
                </c:lvl>
                <c:lvl>
                  <c:pt idx="0">
                    <c:v>14 ani</c:v>
                  </c:pt>
                  <c:pt idx="2">
                    <c:v>15 ani</c:v>
                  </c:pt>
                  <c:pt idx="4">
                    <c:v>16 ani</c:v>
                  </c:pt>
                  <c:pt idx="6">
                    <c:v>17 ani</c:v>
                  </c:pt>
                  <c:pt idx="8">
                    <c:v>18 ani sau mai mult</c:v>
                  </c:pt>
                </c:lvl>
              </c:multiLvlStrCache>
            </c:multiLvlStrRef>
          </c:cat>
          <c:val>
            <c:numRef>
              <c:f>Fumat!$AG$53:$AP$53</c:f>
              <c:numCache>
                <c:formatCode>General</c:formatCode>
                <c:ptCount val="10"/>
                <c:pt idx="0">
                  <c:v>39.200000000000003</c:v>
                </c:pt>
                <c:pt idx="1">
                  <c:v>34.5</c:v>
                </c:pt>
                <c:pt idx="2">
                  <c:v>40.1</c:v>
                </c:pt>
                <c:pt idx="3">
                  <c:v>36.799999999999997</c:v>
                </c:pt>
                <c:pt idx="4">
                  <c:v>51.8</c:v>
                </c:pt>
                <c:pt idx="5">
                  <c:v>45.6</c:v>
                </c:pt>
                <c:pt idx="6">
                  <c:v>56.9</c:v>
                </c:pt>
                <c:pt idx="7">
                  <c:v>54.8</c:v>
                </c:pt>
                <c:pt idx="8">
                  <c:v>58.4</c:v>
                </c:pt>
                <c:pt idx="9">
                  <c:v>60</c:v>
                </c:pt>
              </c:numCache>
            </c:numRef>
          </c:val>
          <c:extLst>
            <c:ext xmlns:c16="http://schemas.microsoft.com/office/drawing/2014/chart" uri="{C3380CC4-5D6E-409C-BE32-E72D297353CC}">
              <c16:uniqueId val="{00000000-EF84-47E2-BC8B-908C4FCA6E13}"/>
            </c:ext>
          </c:extLst>
        </c:ser>
        <c:ser>
          <c:idx val="1"/>
          <c:order val="1"/>
          <c:tx>
            <c:strRef>
              <c:f>Fumat!$AF$54</c:f>
              <c:strCache>
                <c:ptCount val="1"/>
                <c:pt idx="0">
                  <c:v>nu</c:v>
                </c:pt>
              </c:strCache>
            </c:strRef>
          </c:tx>
          <c:spPr>
            <a:solidFill>
              <a:srgbClr val="8FCFFF"/>
            </a:solidFill>
          </c:spPr>
          <c:invertIfNegative val="0"/>
          <c:dLbls>
            <c:spPr>
              <a:noFill/>
              <a:ln>
                <a:noFill/>
              </a:ln>
              <a:effectLst/>
            </c:spPr>
            <c:txPr>
              <a:bodyPr wrap="square" lIns="38100" tIns="19050" rIns="38100" bIns="19050" anchor="ctr">
                <a:spAutoFit/>
              </a:bodyPr>
              <a:lstStyle/>
              <a:p>
                <a:pPr>
                  <a:defRPr>
                    <a:latin typeface="Calibri" panose="020F0502020204030204" pitchFamily="34" charset="0"/>
                    <a:ea typeface="Calibri" panose="020F0502020204030204" pitchFamily="34" charset="0"/>
                    <a:cs typeface="Calibri" panose="020F0502020204030204" pitchFamily="34" charset="0"/>
                  </a:defRPr>
                </a:pPr>
                <a:endParaRPr lang="ro-RO"/>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multiLvlStrRef>
              <c:f>Fumat!$AG$51:$AP$52</c:f>
              <c:multiLvlStrCache>
                <c:ptCount val="10"/>
                <c:lvl>
                  <c:pt idx="0">
                    <c:v>fete</c:v>
                  </c:pt>
                  <c:pt idx="1">
                    <c:v>băieţi</c:v>
                  </c:pt>
                  <c:pt idx="2">
                    <c:v>fete</c:v>
                  </c:pt>
                  <c:pt idx="3">
                    <c:v>băieţi</c:v>
                  </c:pt>
                  <c:pt idx="4">
                    <c:v>fete</c:v>
                  </c:pt>
                  <c:pt idx="5">
                    <c:v>băieţi</c:v>
                  </c:pt>
                  <c:pt idx="6">
                    <c:v>fete</c:v>
                  </c:pt>
                  <c:pt idx="7">
                    <c:v>băieţi</c:v>
                  </c:pt>
                  <c:pt idx="8">
                    <c:v>fete</c:v>
                  </c:pt>
                  <c:pt idx="9">
                    <c:v>băieţi</c:v>
                  </c:pt>
                </c:lvl>
                <c:lvl>
                  <c:pt idx="0">
                    <c:v>14 ani</c:v>
                  </c:pt>
                  <c:pt idx="2">
                    <c:v>15 ani</c:v>
                  </c:pt>
                  <c:pt idx="4">
                    <c:v>16 ani</c:v>
                  </c:pt>
                  <c:pt idx="6">
                    <c:v>17 ani</c:v>
                  </c:pt>
                  <c:pt idx="8">
                    <c:v>18 ani sau mai mult</c:v>
                  </c:pt>
                </c:lvl>
              </c:multiLvlStrCache>
            </c:multiLvlStrRef>
          </c:cat>
          <c:val>
            <c:numRef>
              <c:f>Fumat!$AG$54:$AP$54</c:f>
              <c:numCache>
                <c:formatCode>General</c:formatCode>
                <c:ptCount val="10"/>
                <c:pt idx="0">
                  <c:v>60.8</c:v>
                </c:pt>
                <c:pt idx="1">
                  <c:v>65.5</c:v>
                </c:pt>
                <c:pt idx="2">
                  <c:v>59.9</c:v>
                </c:pt>
                <c:pt idx="3">
                  <c:v>63.2</c:v>
                </c:pt>
                <c:pt idx="4">
                  <c:v>48.2</c:v>
                </c:pt>
                <c:pt idx="5">
                  <c:v>54.4</c:v>
                </c:pt>
                <c:pt idx="6">
                  <c:v>43.1</c:v>
                </c:pt>
                <c:pt idx="7">
                  <c:v>45.2</c:v>
                </c:pt>
                <c:pt idx="8">
                  <c:v>41.6</c:v>
                </c:pt>
                <c:pt idx="9">
                  <c:v>40</c:v>
                </c:pt>
              </c:numCache>
            </c:numRef>
          </c:val>
          <c:extLst>
            <c:ext xmlns:c16="http://schemas.microsoft.com/office/drawing/2014/chart" uri="{C3380CC4-5D6E-409C-BE32-E72D297353CC}">
              <c16:uniqueId val="{00000001-EF84-47E2-BC8B-908C4FCA6E13}"/>
            </c:ext>
          </c:extLst>
        </c:ser>
        <c:dLbls>
          <c:showLegendKey val="0"/>
          <c:showVal val="0"/>
          <c:showCatName val="0"/>
          <c:showSerName val="0"/>
          <c:showPercent val="0"/>
          <c:showBubbleSize val="0"/>
        </c:dLbls>
        <c:gapWidth val="150"/>
        <c:overlap val="100"/>
        <c:axId val="81772544"/>
        <c:axId val="81774080"/>
      </c:barChart>
      <c:catAx>
        <c:axId val="81772544"/>
        <c:scaling>
          <c:orientation val="minMax"/>
        </c:scaling>
        <c:delete val="0"/>
        <c:axPos val="b"/>
        <c:numFmt formatCode="General" sourceLinked="0"/>
        <c:majorTickMark val="out"/>
        <c:minorTickMark val="none"/>
        <c:tickLblPos val="nextTo"/>
        <c:txPr>
          <a:bodyPr/>
          <a:lstStyle/>
          <a:p>
            <a:pPr>
              <a:defRPr>
                <a:latin typeface="Calibri" panose="020F0502020204030204" pitchFamily="34" charset="0"/>
                <a:ea typeface="Calibri" panose="020F0502020204030204" pitchFamily="34" charset="0"/>
                <a:cs typeface="Calibri" panose="020F0502020204030204" pitchFamily="34" charset="0"/>
              </a:defRPr>
            </a:pPr>
            <a:endParaRPr lang="ro-RO"/>
          </a:p>
        </c:txPr>
        <c:crossAx val="81774080"/>
        <c:crosses val="autoZero"/>
        <c:auto val="1"/>
        <c:lblAlgn val="ctr"/>
        <c:lblOffset val="100"/>
        <c:noMultiLvlLbl val="0"/>
      </c:catAx>
      <c:valAx>
        <c:axId val="81774080"/>
        <c:scaling>
          <c:orientation val="minMax"/>
        </c:scaling>
        <c:delete val="0"/>
        <c:axPos val="l"/>
        <c:majorGridlines/>
        <c:numFmt formatCode="0%" sourceLinked="1"/>
        <c:majorTickMark val="out"/>
        <c:minorTickMark val="none"/>
        <c:tickLblPos val="nextTo"/>
        <c:crossAx val="81772544"/>
        <c:crosses val="autoZero"/>
        <c:crossBetween val="between"/>
      </c:valAx>
    </c:plotArea>
    <c:legend>
      <c:legendPos val="r"/>
      <c:overlay val="0"/>
      <c:txPr>
        <a:bodyPr/>
        <a:lstStyle/>
        <a:p>
          <a:pPr>
            <a:defRPr>
              <a:latin typeface="Calibri" panose="020F0502020204030204" pitchFamily="34" charset="0"/>
              <a:ea typeface="Calibri" panose="020F0502020204030204" pitchFamily="34" charset="0"/>
              <a:cs typeface="Calibri" panose="020F0502020204030204" pitchFamily="34" charset="0"/>
            </a:defRPr>
          </a:pPr>
          <a:endParaRPr lang="ro-RO"/>
        </a:p>
      </c:txPr>
    </c:legend>
    <c:plotVisOnly val="1"/>
    <c:dispBlanksAs val="gap"/>
    <c:showDLblsOverMax val="0"/>
  </c:chart>
  <c:externalData r:id="rId2">
    <c:autoUpdate val="0"/>
  </c:externalData>
</c:chartSpace>
</file>

<file path=word/charts/chart8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7.1988407699037624E-2"/>
          <c:y val="0.13010425780110821"/>
          <c:w val="0.89745603674540686"/>
          <c:h val="0.65069845435988072"/>
        </c:manualLayout>
      </c:layout>
      <c:barChart>
        <c:barDir val="col"/>
        <c:grouping val="clustered"/>
        <c:varyColors val="0"/>
        <c:ser>
          <c:idx val="0"/>
          <c:order val="0"/>
          <c:invertIfNegative val="0"/>
          <c:dPt>
            <c:idx val="6"/>
            <c:invertIfNegative val="0"/>
            <c:bubble3D val="0"/>
            <c:spPr>
              <a:solidFill>
                <a:srgbClr val="0070C0"/>
              </a:solidFill>
            </c:spPr>
            <c:extLst>
              <c:ext xmlns:c16="http://schemas.microsoft.com/office/drawing/2014/chart" uri="{C3380CC4-5D6E-409C-BE32-E72D297353CC}">
                <c16:uniqueId val="{00000001-6A2A-4B63-8ADB-BC5BC4891AF8}"/>
              </c:ext>
            </c:extLst>
          </c:dPt>
          <c:dLbls>
            <c:dLbl>
              <c:idx val="0"/>
              <c:tx>
                <c:rich>
                  <a:bodyPr/>
                  <a:lstStyle/>
                  <a:p>
                    <a:fld id="{B684D833-006D-4559-B410-CB8F29FD27AE}"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2-6A2A-4B63-8ADB-BC5BC4891AF8}"/>
                </c:ext>
              </c:extLst>
            </c:dLbl>
            <c:dLbl>
              <c:idx val="1"/>
              <c:tx>
                <c:rich>
                  <a:bodyPr/>
                  <a:lstStyle/>
                  <a:p>
                    <a:fld id="{3CC047FE-F384-4809-8D00-0681416F11DC}"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3-6A2A-4B63-8ADB-BC5BC4891AF8}"/>
                </c:ext>
              </c:extLst>
            </c:dLbl>
            <c:dLbl>
              <c:idx val="2"/>
              <c:tx>
                <c:rich>
                  <a:bodyPr/>
                  <a:lstStyle/>
                  <a:p>
                    <a:fld id="{149213EA-A76C-414F-9AD5-5D9FDF1801B3}"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4-6A2A-4B63-8ADB-BC5BC4891AF8}"/>
                </c:ext>
              </c:extLst>
            </c:dLbl>
            <c:dLbl>
              <c:idx val="3"/>
              <c:tx>
                <c:rich>
                  <a:bodyPr/>
                  <a:lstStyle/>
                  <a:p>
                    <a:fld id="{AFBB8549-1320-4318-B95E-564FDC54FDD2}"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5-6A2A-4B63-8ADB-BC5BC4891AF8}"/>
                </c:ext>
              </c:extLst>
            </c:dLbl>
            <c:dLbl>
              <c:idx val="4"/>
              <c:tx>
                <c:rich>
                  <a:bodyPr/>
                  <a:lstStyle/>
                  <a:p>
                    <a:fld id="{01591587-E14F-4AF4-B83B-C91CA2A9C865}"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6-6A2A-4B63-8ADB-BC5BC4891AF8}"/>
                </c:ext>
              </c:extLst>
            </c:dLbl>
            <c:dLbl>
              <c:idx val="5"/>
              <c:tx>
                <c:rich>
                  <a:bodyPr/>
                  <a:lstStyle/>
                  <a:p>
                    <a:fld id="{671D2346-439A-42D2-BC96-2D99546FEAF7}"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7-6A2A-4B63-8ADB-BC5BC4891AF8}"/>
                </c:ext>
              </c:extLst>
            </c:dLbl>
            <c:dLbl>
              <c:idx val="6"/>
              <c:tx>
                <c:rich>
                  <a:bodyPr/>
                  <a:lstStyle/>
                  <a:p>
                    <a:fld id="{A31E2A86-9F23-4C73-BF91-F8AAB32E67B9}"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1-6A2A-4B63-8ADB-BC5BC4891AF8}"/>
                </c:ext>
              </c:extLst>
            </c:dLbl>
            <c:spPr>
              <a:noFill/>
              <a:ln>
                <a:noFill/>
              </a:ln>
              <a:effectLst/>
            </c:spPr>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0"/>
              </c:ext>
            </c:extLst>
          </c:dLbls>
          <c:cat>
            <c:strRef>
              <c:f>Fumat!$P$75:$V$75</c:f>
              <c:strCache>
                <c:ptCount val="7"/>
                <c:pt idx="0">
                  <c:v>≤ 8</c:v>
                </c:pt>
                <c:pt idx="1">
                  <c:v>9-10</c:v>
                </c:pt>
                <c:pt idx="2">
                  <c:v>11-12</c:v>
                </c:pt>
                <c:pt idx="3">
                  <c:v>13-14</c:v>
                </c:pt>
                <c:pt idx="4">
                  <c:v>15-16</c:v>
                </c:pt>
                <c:pt idx="5">
                  <c:v>≥17</c:v>
                </c:pt>
                <c:pt idx="6">
                  <c:v>niciodată ţigară întreagă</c:v>
                </c:pt>
              </c:strCache>
            </c:strRef>
          </c:cat>
          <c:val>
            <c:numRef>
              <c:f>Fumat!$P$76:$V$76</c:f>
              <c:numCache>
                <c:formatCode>General</c:formatCode>
                <c:ptCount val="7"/>
                <c:pt idx="0">
                  <c:v>2.4</c:v>
                </c:pt>
                <c:pt idx="1">
                  <c:v>3.2</c:v>
                </c:pt>
                <c:pt idx="2">
                  <c:v>9.8000000000000007</c:v>
                </c:pt>
                <c:pt idx="3">
                  <c:v>25.1</c:v>
                </c:pt>
                <c:pt idx="4">
                  <c:v>28.6</c:v>
                </c:pt>
                <c:pt idx="5">
                  <c:v>10.1</c:v>
                </c:pt>
                <c:pt idx="6">
                  <c:v>20.9</c:v>
                </c:pt>
              </c:numCache>
            </c:numRef>
          </c:val>
          <c:extLst>
            <c:ext xmlns:c15="http://schemas.microsoft.com/office/drawing/2012/chart" uri="{02D57815-91ED-43cb-92C2-25804820EDAC}">
              <c15:datalabelsRange>
                <c15:f>Fumat!$P$77:$V$77</c15:f>
                <c15:dlblRangeCache>
                  <c:ptCount val="7"/>
                  <c:pt idx="0">
                    <c:v>2,4</c:v>
                  </c:pt>
                  <c:pt idx="1">
                    <c:v>3,2</c:v>
                  </c:pt>
                  <c:pt idx="2">
                    <c:v>9,8</c:v>
                  </c:pt>
                  <c:pt idx="3">
                    <c:v>25,1</c:v>
                  </c:pt>
                  <c:pt idx="4">
                    <c:v>28,6</c:v>
                  </c:pt>
                  <c:pt idx="5">
                    <c:v>10,1</c:v>
                  </c:pt>
                  <c:pt idx="6">
                    <c:v>20,9</c:v>
                  </c:pt>
                </c15:dlblRangeCache>
              </c15:datalabelsRange>
            </c:ext>
            <c:ext xmlns:c16="http://schemas.microsoft.com/office/drawing/2014/chart" uri="{C3380CC4-5D6E-409C-BE32-E72D297353CC}">
              <c16:uniqueId val="{00000008-6A2A-4B63-8ADB-BC5BC4891AF8}"/>
            </c:ext>
          </c:extLst>
        </c:ser>
        <c:dLbls>
          <c:showLegendKey val="0"/>
          <c:showVal val="0"/>
          <c:showCatName val="0"/>
          <c:showSerName val="0"/>
          <c:showPercent val="0"/>
          <c:showBubbleSize val="0"/>
        </c:dLbls>
        <c:gapWidth val="150"/>
        <c:axId val="55210752"/>
        <c:axId val="55212288"/>
      </c:barChart>
      <c:catAx>
        <c:axId val="55210752"/>
        <c:scaling>
          <c:orientation val="minMax"/>
        </c:scaling>
        <c:delete val="0"/>
        <c:axPos val="b"/>
        <c:numFmt formatCode="General" sourceLinked="0"/>
        <c:majorTickMark val="out"/>
        <c:minorTickMark val="none"/>
        <c:tickLblPos val="nextTo"/>
        <c:crossAx val="55212288"/>
        <c:crosses val="autoZero"/>
        <c:auto val="1"/>
        <c:lblAlgn val="ctr"/>
        <c:lblOffset val="100"/>
        <c:noMultiLvlLbl val="0"/>
      </c:catAx>
      <c:valAx>
        <c:axId val="55212288"/>
        <c:scaling>
          <c:orientation val="minMax"/>
        </c:scaling>
        <c:delete val="0"/>
        <c:axPos val="l"/>
        <c:majorGridlines/>
        <c:numFmt formatCode="General" sourceLinked="1"/>
        <c:majorTickMark val="out"/>
        <c:minorTickMark val="none"/>
        <c:tickLblPos val="nextTo"/>
        <c:crossAx val="55210752"/>
        <c:crosses val="autoZero"/>
        <c:crossBetween val="between"/>
      </c:valAx>
    </c:plotArea>
    <c:plotVisOnly val="1"/>
    <c:dispBlanksAs val="gap"/>
    <c:showDLblsOverMax val="0"/>
  </c:chart>
  <c:externalData r:id="rId2">
    <c:autoUpdate val="0"/>
  </c:externalData>
  <c:userShapes r:id="rId3"/>
</c:chartSpace>
</file>

<file path=word/charts/chart8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7.1988407699037624E-2"/>
          <c:y val="0.10232648002333072"/>
          <c:w val="0.89745603674540686"/>
          <c:h val="0.67847623213764963"/>
        </c:manualLayout>
      </c:layout>
      <c:barChart>
        <c:barDir val="col"/>
        <c:grouping val="clustered"/>
        <c:varyColors val="0"/>
        <c:ser>
          <c:idx val="0"/>
          <c:order val="0"/>
          <c:invertIfNegative val="0"/>
          <c:dPt>
            <c:idx val="6"/>
            <c:invertIfNegative val="0"/>
            <c:bubble3D val="0"/>
            <c:spPr>
              <a:solidFill>
                <a:srgbClr val="0070C0"/>
              </a:solidFill>
            </c:spPr>
            <c:extLst>
              <c:ext xmlns:c16="http://schemas.microsoft.com/office/drawing/2014/chart" uri="{C3380CC4-5D6E-409C-BE32-E72D297353CC}">
                <c16:uniqueId val="{00000001-C933-410D-9B5B-1FADEB88A495}"/>
              </c:ext>
            </c:extLst>
          </c:dPt>
          <c:dLbls>
            <c:dLbl>
              <c:idx val="0"/>
              <c:tx>
                <c:rich>
                  <a:bodyPr/>
                  <a:lstStyle/>
                  <a:p>
                    <a:fld id="{E577C79D-E2B1-40CC-ACE0-C35D509FCB83}"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2-C933-410D-9B5B-1FADEB88A495}"/>
                </c:ext>
              </c:extLst>
            </c:dLbl>
            <c:dLbl>
              <c:idx val="1"/>
              <c:tx>
                <c:rich>
                  <a:bodyPr/>
                  <a:lstStyle/>
                  <a:p>
                    <a:fld id="{F1409B4E-FFE3-4FA0-9BF4-1A5E2BED6BDA}"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3-C933-410D-9B5B-1FADEB88A495}"/>
                </c:ext>
              </c:extLst>
            </c:dLbl>
            <c:dLbl>
              <c:idx val="2"/>
              <c:tx>
                <c:rich>
                  <a:bodyPr/>
                  <a:lstStyle/>
                  <a:p>
                    <a:fld id="{F628CCC9-98B9-433B-BC5C-E09F73F8DEB1}"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4-C933-410D-9B5B-1FADEB88A495}"/>
                </c:ext>
              </c:extLst>
            </c:dLbl>
            <c:dLbl>
              <c:idx val="3"/>
              <c:tx>
                <c:rich>
                  <a:bodyPr/>
                  <a:lstStyle/>
                  <a:p>
                    <a:fld id="{5653DA70-BBE6-4BC6-9259-D708A908C817}"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5-C933-410D-9B5B-1FADEB88A495}"/>
                </c:ext>
              </c:extLst>
            </c:dLbl>
            <c:dLbl>
              <c:idx val="4"/>
              <c:tx>
                <c:rich>
                  <a:bodyPr/>
                  <a:lstStyle/>
                  <a:p>
                    <a:fld id="{3CFD0593-6C53-4153-9652-D35A16DA1798}"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6-C933-410D-9B5B-1FADEB88A495}"/>
                </c:ext>
              </c:extLst>
            </c:dLbl>
            <c:dLbl>
              <c:idx val="5"/>
              <c:tx>
                <c:rich>
                  <a:bodyPr/>
                  <a:lstStyle/>
                  <a:p>
                    <a:fld id="{9F09968B-8245-417A-99AE-D690EE3A3B84}"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7-C933-410D-9B5B-1FADEB88A495}"/>
                </c:ext>
              </c:extLst>
            </c:dLbl>
            <c:dLbl>
              <c:idx val="6"/>
              <c:tx>
                <c:rich>
                  <a:bodyPr/>
                  <a:lstStyle/>
                  <a:p>
                    <a:fld id="{FDD6D37C-8133-4BE8-AD11-4B65F9860FC2}"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1-C933-410D-9B5B-1FADEB88A495}"/>
                </c:ext>
              </c:extLst>
            </c:dLbl>
            <c:spPr>
              <a:noFill/>
              <a:ln>
                <a:noFill/>
              </a:ln>
              <a:effectLst/>
            </c:spPr>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0"/>
              </c:ext>
            </c:extLst>
          </c:dLbls>
          <c:cat>
            <c:strRef>
              <c:f>Fumat!$U$93:$AA$93</c:f>
              <c:strCache>
                <c:ptCount val="7"/>
                <c:pt idx="0">
                  <c:v>≤ 8</c:v>
                </c:pt>
                <c:pt idx="1">
                  <c:v>9-10</c:v>
                </c:pt>
                <c:pt idx="2">
                  <c:v>11-12</c:v>
                </c:pt>
                <c:pt idx="3">
                  <c:v>13-14</c:v>
                </c:pt>
                <c:pt idx="4">
                  <c:v>15-16</c:v>
                </c:pt>
                <c:pt idx="5">
                  <c:v>≥17</c:v>
                </c:pt>
                <c:pt idx="6">
                  <c:v>niciodată ţigară întreagă</c:v>
                </c:pt>
              </c:strCache>
            </c:strRef>
          </c:cat>
          <c:val>
            <c:numRef>
              <c:f>Fumat!$U$94:$AA$94</c:f>
              <c:numCache>
                <c:formatCode>General</c:formatCode>
                <c:ptCount val="7"/>
                <c:pt idx="0">
                  <c:v>1.2</c:v>
                </c:pt>
                <c:pt idx="1">
                  <c:v>2</c:v>
                </c:pt>
                <c:pt idx="2">
                  <c:v>9.1</c:v>
                </c:pt>
                <c:pt idx="3">
                  <c:v>26</c:v>
                </c:pt>
                <c:pt idx="4">
                  <c:v>30.5</c:v>
                </c:pt>
                <c:pt idx="5">
                  <c:v>9.8000000000000007</c:v>
                </c:pt>
                <c:pt idx="6">
                  <c:v>21.4</c:v>
                </c:pt>
              </c:numCache>
            </c:numRef>
          </c:val>
          <c:extLst>
            <c:ext xmlns:c15="http://schemas.microsoft.com/office/drawing/2012/chart" uri="{02D57815-91ED-43cb-92C2-25804820EDAC}">
              <c15:datalabelsRange>
                <c15:f>Fumat!$U$95:$AA$95</c15:f>
                <c15:dlblRangeCache>
                  <c:ptCount val="7"/>
                  <c:pt idx="0">
                    <c:v>1,2</c:v>
                  </c:pt>
                  <c:pt idx="1">
                    <c:v>2</c:v>
                  </c:pt>
                  <c:pt idx="2">
                    <c:v>9,1</c:v>
                  </c:pt>
                  <c:pt idx="3">
                    <c:v>26</c:v>
                  </c:pt>
                  <c:pt idx="4">
                    <c:v>30,5</c:v>
                  </c:pt>
                  <c:pt idx="5">
                    <c:v>9,8</c:v>
                  </c:pt>
                  <c:pt idx="6">
                    <c:v>21,4</c:v>
                  </c:pt>
                </c15:dlblRangeCache>
              </c15:datalabelsRange>
            </c:ext>
            <c:ext xmlns:c16="http://schemas.microsoft.com/office/drawing/2014/chart" uri="{C3380CC4-5D6E-409C-BE32-E72D297353CC}">
              <c16:uniqueId val="{00000008-C933-410D-9B5B-1FADEB88A495}"/>
            </c:ext>
          </c:extLst>
        </c:ser>
        <c:dLbls>
          <c:showLegendKey val="0"/>
          <c:showVal val="0"/>
          <c:showCatName val="0"/>
          <c:showSerName val="0"/>
          <c:showPercent val="0"/>
          <c:showBubbleSize val="0"/>
        </c:dLbls>
        <c:gapWidth val="150"/>
        <c:axId val="55228672"/>
        <c:axId val="55238656"/>
      </c:barChart>
      <c:catAx>
        <c:axId val="55228672"/>
        <c:scaling>
          <c:orientation val="minMax"/>
        </c:scaling>
        <c:delete val="0"/>
        <c:axPos val="b"/>
        <c:numFmt formatCode="General" sourceLinked="0"/>
        <c:majorTickMark val="out"/>
        <c:minorTickMark val="none"/>
        <c:tickLblPos val="nextTo"/>
        <c:crossAx val="55238656"/>
        <c:crosses val="autoZero"/>
        <c:auto val="1"/>
        <c:lblAlgn val="ctr"/>
        <c:lblOffset val="100"/>
        <c:noMultiLvlLbl val="0"/>
      </c:catAx>
      <c:valAx>
        <c:axId val="55238656"/>
        <c:scaling>
          <c:orientation val="minMax"/>
        </c:scaling>
        <c:delete val="0"/>
        <c:axPos val="l"/>
        <c:majorGridlines/>
        <c:numFmt formatCode="General" sourceLinked="1"/>
        <c:majorTickMark val="out"/>
        <c:minorTickMark val="none"/>
        <c:tickLblPos val="nextTo"/>
        <c:crossAx val="55228672"/>
        <c:crosses val="autoZero"/>
        <c:crossBetween val="between"/>
      </c:valAx>
    </c:plotArea>
    <c:plotVisOnly val="1"/>
    <c:dispBlanksAs val="gap"/>
    <c:showDLblsOverMax val="0"/>
  </c:chart>
  <c:externalData r:id="rId2">
    <c:autoUpdate val="0"/>
  </c:externalData>
  <c:userShapes r:id="rId3"/>
</c:chartSpace>
</file>

<file path=word/charts/chart8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7.1988407699037624E-2"/>
          <c:y val="0.12084499854184894"/>
          <c:w val="0.89745603674540686"/>
          <c:h val="0.65995771361913658"/>
        </c:manualLayout>
      </c:layout>
      <c:barChart>
        <c:barDir val="col"/>
        <c:grouping val="clustered"/>
        <c:varyColors val="0"/>
        <c:ser>
          <c:idx val="0"/>
          <c:order val="0"/>
          <c:invertIfNegative val="0"/>
          <c:dPt>
            <c:idx val="6"/>
            <c:invertIfNegative val="0"/>
            <c:bubble3D val="0"/>
            <c:spPr>
              <a:solidFill>
                <a:srgbClr val="0070C0"/>
              </a:solidFill>
            </c:spPr>
            <c:extLst>
              <c:ext xmlns:c16="http://schemas.microsoft.com/office/drawing/2014/chart" uri="{C3380CC4-5D6E-409C-BE32-E72D297353CC}">
                <c16:uniqueId val="{00000001-B9FD-4016-AAC1-39B5FE04B8FB}"/>
              </c:ext>
            </c:extLst>
          </c:dPt>
          <c:dLbls>
            <c:dLbl>
              <c:idx val="0"/>
              <c:tx>
                <c:rich>
                  <a:bodyPr/>
                  <a:lstStyle/>
                  <a:p>
                    <a:fld id="{48D57405-D0CB-41AA-B7FD-E47AB422696D}"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2-B9FD-4016-AAC1-39B5FE04B8FB}"/>
                </c:ext>
              </c:extLst>
            </c:dLbl>
            <c:dLbl>
              <c:idx val="1"/>
              <c:tx>
                <c:rich>
                  <a:bodyPr/>
                  <a:lstStyle/>
                  <a:p>
                    <a:fld id="{0C5B4458-5069-4DEE-9570-3F185C54A693}"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3-B9FD-4016-AAC1-39B5FE04B8FB}"/>
                </c:ext>
              </c:extLst>
            </c:dLbl>
            <c:dLbl>
              <c:idx val="2"/>
              <c:tx>
                <c:rich>
                  <a:bodyPr/>
                  <a:lstStyle/>
                  <a:p>
                    <a:fld id="{99F6FF35-6724-465E-A06E-7C4C7E94CF11}"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4-B9FD-4016-AAC1-39B5FE04B8FB}"/>
                </c:ext>
              </c:extLst>
            </c:dLbl>
            <c:dLbl>
              <c:idx val="3"/>
              <c:tx>
                <c:rich>
                  <a:bodyPr/>
                  <a:lstStyle/>
                  <a:p>
                    <a:fld id="{D89F836C-4046-41E3-80D5-E9DC2DC35ACD}"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5-B9FD-4016-AAC1-39B5FE04B8FB}"/>
                </c:ext>
              </c:extLst>
            </c:dLbl>
            <c:dLbl>
              <c:idx val="4"/>
              <c:tx>
                <c:rich>
                  <a:bodyPr/>
                  <a:lstStyle/>
                  <a:p>
                    <a:fld id="{A1FAC731-305E-4D87-B48D-98000036AE0C}"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6-B9FD-4016-AAC1-39B5FE04B8FB}"/>
                </c:ext>
              </c:extLst>
            </c:dLbl>
            <c:dLbl>
              <c:idx val="5"/>
              <c:tx>
                <c:rich>
                  <a:bodyPr/>
                  <a:lstStyle/>
                  <a:p>
                    <a:fld id="{76E61401-379D-4E6E-9B58-88C40A0FB3DB}"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7-B9FD-4016-AAC1-39B5FE04B8FB}"/>
                </c:ext>
              </c:extLst>
            </c:dLbl>
            <c:dLbl>
              <c:idx val="6"/>
              <c:tx>
                <c:rich>
                  <a:bodyPr/>
                  <a:lstStyle/>
                  <a:p>
                    <a:fld id="{502925AA-D631-4B9E-BE48-4DEA65018993}"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1-B9FD-4016-AAC1-39B5FE04B8FB}"/>
                </c:ext>
              </c:extLst>
            </c:dLbl>
            <c:spPr>
              <a:noFill/>
              <a:ln>
                <a:noFill/>
              </a:ln>
              <a:effectLst/>
            </c:spPr>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0"/>
              </c:ext>
            </c:extLst>
          </c:dLbls>
          <c:cat>
            <c:strRef>
              <c:f>Fumat!$U$103:$AA$103</c:f>
              <c:strCache>
                <c:ptCount val="7"/>
                <c:pt idx="0">
                  <c:v>≤ 8</c:v>
                </c:pt>
                <c:pt idx="1">
                  <c:v>9-10</c:v>
                </c:pt>
                <c:pt idx="2">
                  <c:v>11-12</c:v>
                </c:pt>
                <c:pt idx="3">
                  <c:v>13-14</c:v>
                </c:pt>
                <c:pt idx="4">
                  <c:v>15-16</c:v>
                </c:pt>
                <c:pt idx="5">
                  <c:v>≥17</c:v>
                </c:pt>
                <c:pt idx="6">
                  <c:v>niciodată ţigară întreagă</c:v>
                </c:pt>
              </c:strCache>
            </c:strRef>
          </c:cat>
          <c:val>
            <c:numRef>
              <c:f>Fumat!$U$104:$AA$104</c:f>
              <c:numCache>
                <c:formatCode>General</c:formatCode>
                <c:ptCount val="7"/>
                <c:pt idx="0">
                  <c:v>3.5</c:v>
                </c:pt>
                <c:pt idx="1">
                  <c:v>4.5999999999999996</c:v>
                </c:pt>
                <c:pt idx="2">
                  <c:v>10.4</c:v>
                </c:pt>
                <c:pt idx="3">
                  <c:v>24</c:v>
                </c:pt>
                <c:pt idx="4">
                  <c:v>26.2</c:v>
                </c:pt>
                <c:pt idx="5">
                  <c:v>10.6</c:v>
                </c:pt>
                <c:pt idx="6">
                  <c:v>20.6</c:v>
                </c:pt>
              </c:numCache>
            </c:numRef>
          </c:val>
          <c:extLst>
            <c:ext xmlns:c15="http://schemas.microsoft.com/office/drawing/2012/chart" uri="{02D57815-91ED-43cb-92C2-25804820EDAC}">
              <c15:datalabelsRange>
                <c15:f>Fumat!$U$105:$AA$105</c15:f>
                <c15:dlblRangeCache>
                  <c:ptCount val="7"/>
                  <c:pt idx="0">
                    <c:v>3,5</c:v>
                  </c:pt>
                  <c:pt idx="1">
                    <c:v>4,6</c:v>
                  </c:pt>
                  <c:pt idx="2">
                    <c:v>10,4</c:v>
                  </c:pt>
                  <c:pt idx="3">
                    <c:v>24</c:v>
                  </c:pt>
                  <c:pt idx="4">
                    <c:v>26,2</c:v>
                  </c:pt>
                  <c:pt idx="5">
                    <c:v>10,6</c:v>
                  </c:pt>
                  <c:pt idx="6">
                    <c:v>20,6</c:v>
                  </c:pt>
                </c15:dlblRangeCache>
              </c15:datalabelsRange>
            </c:ext>
            <c:ext xmlns:c16="http://schemas.microsoft.com/office/drawing/2014/chart" uri="{C3380CC4-5D6E-409C-BE32-E72D297353CC}">
              <c16:uniqueId val="{00000008-B9FD-4016-AAC1-39B5FE04B8FB}"/>
            </c:ext>
          </c:extLst>
        </c:ser>
        <c:dLbls>
          <c:showLegendKey val="0"/>
          <c:showVal val="0"/>
          <c:showCatName val="0"/>
          <c:showSerName val="0"/>
          <c:showPercent val="0"/>
          <c:showBubbleSize val="0"/>
        </c:dLbls>
        <c:gapWidth val="150"/>
        <c:axId val="55246208"/>
        <c:axId val="55448704"/>
      </c:barChart>
      <c:catAx>
        <c:axId val="55246208"/>
        <c:scaling>
          <c:orientation val="minMax"/>
        </c:scaling>
        <c:delete val="0"/>
        <c:axPos val="b"/>
        <c:numFmt formatCode="General" sourceLinked="0"/>
        <c:majorTickMark val="out"/>
        <c:minorTickMark val="none"/>
        <c:tickLblPos val="nextTo"/>
        <c:crossAx val="55448704"/>
        <c:crosses val="autoZero"/>
        <c:auto val="1"/>
        <c:lblAlgn val="ctr"/>
        <c:lblOffset val="100"/>
        <c:noMultiLvlLbl val="0"/>
      </c:catAx>
      <c:valAx>
        <c:axId val="55448704"/>
        <c:scaling>
          <c:orientation val="minMax"/>
        </c:scaling>
        <c:delete val="0"/>
        <c:axPos val="l"/>
        <c:majorGridlines/>
        <c:numFmt formatCode="General" sourceLinked="1"/>
        <c:majorTickMark val="out"/>
        <c:minorTickMark val="none"/>
        <c:tickLblPos val="nextTo"/>
        <c:crossAx val="55246208"/>
        <c:crosses val="autoZero"/>
        <c:crossBetween val="between"/>
      </c:valAx>
    </c:plotArea>
    <c:plotVisOnly val="1"/>
    <c:dispBlanksAs val="gap"/>
    <c:showDLblsOverMax val="0"/>
  </c:chart>
  <c:externalData r:id="rId2">
    <c:autoUpdate val="0"/>
  </c:externalData>
  <c:userShapes r:id="rId3"/>
</c:chartSpace>
</file>

<file path=word/charts/chart8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7.1988407699037624E-2"/>
          <c:y val="0.17177092446777489"/>
          <c:w val="0.89745603674540686"/>
          <c:h val="0.32946048410615364"/>
        </c:manualLayout>
      </c:layout>
      <c:barChart>
        <c:barDir val="col"/>
        <c:grouping val="clustered"/>
        <c:varyColors val="0"/>
        <c:ser>
          <c:idx val="0"/>
          <c:order val="0"/>
          <c:invertIfNegative val="0"/>
          <c:dPt>
            <c:idx val="0"/>
            <c:invertIfNegative val="0"/>
            <c:bubble3D val="0"/>
            <c:spPr>
              <a:solidFill>
                <a:srgbClr val="00B0F0"/>
              </a:solidFill>
            </c:spPr>
            <c:extLst>
              <c:ext xmlns:c16="http://schemas.microsoft.com/office/drawing/2014/chart" uri="{C3380CC4-5D6E-409C-BE32-E72D297353CC}">
                <c16:uniqueId val="{00000001-62E3-487D-A08F-39CF9CECBE6E}"/>
              </c:ext>
            </c:extLst>
          </c:dPt>
          <c:dPt>
            <c:idx val="1"/>
            <c:invertIfNegative val="0"/>
            <c:bubble3D val="0"/>
            <c:spPr>
              <a:solidFill>
                <a:srgbClr val="0070C0"/>
              </a:solidFill>
            </c:spPr>
            <c:extLst>
              <c:ext xmlns:c16="http://schemas.microsoft.com/office/drawing/2014/chart" uri="{C3380CC4-5D6E-409C-BE32-E72D297353CC}">
                <c16:uniqueId val="{00000003-62E3-487D-A08F-39CF9CECBE6E}"/>
              </c:ext>
            </c:extLst>
          </c:dPt>
          <c:dLbls>
            <c:dLbl>
              <c:idx val="0"/>
              <c:tx>
                <c:rich>
                  <a:bodyPr/>
                  <a:lstStyle/>
                  <a:p>
                    <a:fld id="{B55CE34A-1C78-4B9C-AD47-07AB689E1A79}"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1-62E3-487D-A08F-39CF9CECBE6E}"/>
                </c:ext>
              </c:extLst>
            </c:dLbl>
            <c:dLbl>
              <c:idx val="1"/>
              <c:tx>
                <c:rich>
                  <a:bodyPr/>
                  <a:lstStyle/>
                  <a:p>
                    <a:fld id="{A6B8AC5E-5940-45CB-BC59-3487EB445414}"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3-62E3-487D-A08F-39CF9CECBE6E}"/>
                </c:ext>
              </c:extLst>
            </c:dLbl>
            <c:dLbl>
              <c:idx val="2"/>
              <c:tx>
                <c:rich>
                  <a:bodyPr/>
                  <a:lstStyle/>
                  <a:p>
                    <a:fld id="{6B93AF2C-1FD3-436D-97A7-7255A779D2B1}"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4-62E3-487D-A08F-39CF9CECBE6E}"/>
                </c:ext>
              </c:extLst>
            </c:dLbl>
            <c:dLbl>
              <c:idx val="3"/>
              <c:tx>
                <c:rich>
                  <a:bodyPr/>
                  <a:lstStyle/>
                  <a:p>
                    <a:fld id="{51AD968B-0194-44B2-9EC3-AA5F1D0DF4EE}"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5-62E3-487D-A08F-39CF9CECBE6E}"/>
                </c:ext>
              </c:extLst>
            </c:dLbl>
            <c:dLbl>
              <c:idx val="4"/>
              <c:tx>
                <c:rich>
                  <a:bodyPr/>
                  <a:lstStyle/>
                  <a:p>
                    <a:fld id="{2897DC13-D270-42D3-9ABC-227E45BD7BCD}"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6-62E3-487D-A08F-39CF9CECBE6E}"/>
                </c:ext>
              </c:extLst>
            </c:dLbl>
            <c:dLbl>
              <c:idx val="5"/>
              <c:tx>
                <c:rich>
                  <a:bodyPr/>
                  <a:lstStyle/>
                  <a:p>
                    <a:fld id="{3D4638C9-FCC8-48CC-8397-2A0DA0CCD093}"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7-62E3-487D-A08F-39CF9CECBE6E}"/>
                </c:ext>
              </c:extLst>
            </c:dLbl>
            <c:dLbl>
              <c:idx val="6"/>
              <c:tx>
                <c:rich>
                  <a:bodyPr/>
                  <a:lstStyle/>
                  <a:p>
                    <a:fld id="{E0EAF45D-99B6-4A54-95B0-FEBD883E0F4E}"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8-62E3-487D-A08F-39CF9CECBE6E}"/>
                </c:ext>
              </c:extLst>
            </c:dLbl>
            <c:dLbl>
              <c:idx val="7"/>
              <c:tx>
                <c:rich>
                  <a:bodyPr/>
                  <a:lstStyle/>
                  <a:p>
                    <a:fld id="{23D33BC6-1339-44D9-9797-933A16A81580}"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9-62E3-487D-A08F-39CF9CECBE6E}"/>
                </c:ext>
              </c:extLst>
            </c:dLbl>
            <c:dLbl>
              <c:idx val="8"/>
              <c:tx>
                <c:rich>
                  <a:bodyPr/>
                  <a:lstStyle/>
                  <a:p>
                    <a:fld id="{7D381761-5B40-4612-85FF-1EB46B270C26}"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A-62E3-487D-A08F-39CF9CECBE6E}"/>
                </c:ext>
              </c:extLst>
            </c:dLbl>
            <c:spPr>
              <a:noFill/>
              <a:ln>
                <a:noFill/>
              </a:ln>
              <a:effectLst/>
            </c:spPr>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0"/>
              </c:ext>
            </c:extLst>
          </c:dLbls>
          <c:cat>
            <c:strRef>
              <c:f>Fumat!$O$134:$W$134</c:f>
              <c:strCache>
                <c:ptCount val="9"/>
                <c:pt idx="0">
                  <c:v>nefumători</c:v>
                </c:pt>
                <c:pt idx="1">
                  <c:v>niciodată o ţigară întreagă</c:v>
                </c:pt>
                <c:pt idx="2">
                  <c:v>nici o zi </c:v>
                </c:pt>
                <c:pt idx="3">
                  <c:v>1-2 zile</c:v>
                </c:pt>
                <c:pt idx="4">
                  <c:v>3-5 zile</c:v>
                </c:pt>
                <c:pt idx="5">
                  <c:v>6-9 zile</c:v>
                </c:pt>
                <c:pt idx="6">
                  <c:v>10-19 zile</c:v>
                </c:pt>
                <c:pt idx="7">
                  <c:v>20-29 zile</c:v>
                </c:pt>
                <c:pt idx="8">
                  <c:v>în toate cele 30 de zile</c:v>
                </c:pt>
              </c:strCache>
            </c:strRef>
          </c:cat>
          <c:val>
            <c:numRef>
              <c:f>Fumat!$O$135:$W$135</c:f>
              <c:numCache>
                <c:formatCode>General</c:formatCode>
                <c:ptCount val="9"/>
                <c:pt idx="0">
                  <c:v>49.5</c:v>
                </c:pt>
                <c:pt idx="1">
                  <c:v>10.6</c:v>
                </c:pt>
                <c:pt idx="2">
                  <c:v>13.1</c:v>
                </c:pt>
                <c:pt idx="3">
                  <c:v>4.5</c:v>
                </c:pt>
                <c:pt idx="4">
                  <c:v>2.2000000000000002</c:v>
                </c:pt>
                <c:pt idx="5">
                  <c:v>1.5</c:v>
                </c:pt>
                <c:pt idx="6">
                  <c:v>2.7</c:v>
                </c:pt>
                <c:pt idx="7">
                  <c:v>2.8</c:v>
                </c:pt>
                <c:pt idx="8">
                  <c:v>13.1</c:v>
                </c:pt>
              </c:numCache>
            </c:numRef>
          </c:val>
          <c:extLst>
            <c:ext xmlns:c15="http://schemas.microsoft.com/office/drawing/2012/chart" uri="{02D57815-91ED-43cb-92C2-25804820EDAC}">
              <c15:datalabelsRange>
                <c15:f>Fumat!$O$136:$W$136</c15:f>
                <c15:dlblRangeCache>
                  <c:ptCount val="9"/>
                  <c:pt idx="0">
                    <c:v>49,5</c:v>
                  </c:pt>
                  <c:pt idx="1">
                    <c:v>10,6</c:v>
                  </c:pt>
                  <c:pt idx="2">
                    <c:v>13,1</c:v>
                  </c:pt>
                  <c:pt idx="3">
                    <c:v>4,5</c:v>
                  </c:pt>
                  <c:pt idx="4">
                    <c:v>2,2</c:v>
                  </c:pt>
                  <c:pt idx="5">
                    <c:v>1,5</c:v>
                  </c:pt>
                  <c:pt idx="6">
                    <c:v>2,7</c:v>
                  </c:pt>
                  <c:pt idx="7">
                    <c:v>2,8</c:v>
                  </c:pt>
                  <c:pt idx="8">
                    <c:v>13,1</c:v>
                  </c:pt>
                </c15:dlblRangeCache>
              </c15:datalabelsRange>
            </c:ext>
            <c:ext xmlns:c16="http://schemas.microsoft.com/office/drawing/2014/chart" uri="{C3380CC4-5D6E-409C-BE32-E72D297353CC}">
              <c16:uniqueId val="{0000000B-62E3-487D-A08F-39CF9CECBE6E}"/>
            </c:ext>
          </c:extLst>
        </c:ser>
        <c:dLbls>
          <c:showLegendKey val="0"/>
          <c:showVal val="0"/>
          <c:showCatName val="0"/>
          <c:showSerName val="0"/>
          <c:showPercent val="0"/>
          <c:showBubbleSize val="0"/>
        </c:dLbls>
        <c:gapWidth val="150"/>
        <c:axId val="84632320"/>
        <c:axId val="84633856"/>
      </c:barChart>
      <c:catAx>
        <c:axId val="84632320"/>
        <c:scaling>
          <c:orientation val="minMax"/>
        </c:scaling>
        <c:delete val="0"/>
        <c:axPos val="b"/>
        <c:numFmt formatCode="General" sourceLinked="0"/>
        <c:majorTickMark val="out"/>
        <c:minorTickMark val="none"/>
        <c:tickLblPos val="nextTo"/>
        <c:crossAx val="84633856"/>
        <c:crosses val="autoZero"/>
        <c:auto val="1"/>
        <c:lblAlgn val="ctr"/>
        <c:lblOffset val="100"/>
        <c:noMultiLvlLbl val="0"/>
      </c:catAx>
      <c:valAx>
        <c:axId val="84633856"/>
        <c:scaling>
          <c:orientation val="minMax"/>
        </c:scaling>
        <c:delete val="0"/>
        <c:axPos val="l"/>
        <c:majorGridlines/>
        <c:numFmt formatCode="General" sourceLinked="1"/>
        <c:majorTickMark val="out"/>
        <c:minorTickMark val="none"/>
        <c:tickLblPos val="nextTo"/>
        <c:crossAx val="84632320"/>
        <c:crosses val="autoZero"/>
        <c:crossBetween val="between"/>
      </c:valAx>
    </c:plotArea>
    <c:plotVisOnly val="1"/>
    <c:dispBlanksAs val="gap"/>
    <c:showDLblsOverMax val="0"/>
  </c:chart>
  <c:externalData r:id="rId2">
    <c:autoUpdate val="0"/>
  </c:externalData>
  <c:userShapes r:id="rId3"/>
</c:chartSpace>
</file>

<file path=word/charts/chart8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pieChart>
        <c:varyColors val="1"/>
        <c:ser>
          <c:idx val="0"/>
          <c:order val="0"/>
          <c:dPt>
            <c:idx val="0"/>
            <c:bubble3D val="0"/>
            <c:spPr>
              <a:solidFill>
                <a:schemeClr val="accent2"/>
              </a:solidFill>
              <a:ln>
                <a:noFill/>
              </a:ln>
              <a:effectLst/>
            </c:spPr>
            <c:extLst>
              <c:ext xmlns:c16="http://schemas.microsoft.com/office/drawing/2014/chart" uri="{C3380CC4-5D6E-409C-BE32-E72D297353CC}">
                <c16:uniqueId val="{00000001-0E10-4D8A-A167-42D075DF762A}"/>
              </c:ext>
            </c:extLst>
          </c:dPt>
          <c:dPt>
            <c:idx val="1"/>
            <c:bubble3D val="0"/>
            <c:spPr>
              <a:solidFill>
                <a:schemeClr val="accent4"/>
              </a:solidFill>
              <a:ln>
                <a:noFill/>
              </a:ln>
              <a:effectLst/>
            </c:spPr>
            <c:extLst>
              <c:ext xmlns:c16="http://schemas.microsoft.com/office/drawing/2014/chart" uri="{C3380CC4-5D6E-409C-BE32-E72D297353CC}">
                <c16:uniqueId val="{00000003-0E10-4D8A-A167-42D075DF762A}"/>
              </c:ext>
            </c:extLst>
          </c:dPt>
          <c:dLbls>
            <c:dLbl>
              <c:idx val="0"/>
              <c:tx>
                <c:rich>
                  <a:bodyPr/>
                  <a:lstStyle/>
                  <a:p>
                    <a:fld id="{0F08DBFC-089E-4A4C-BC81-F2F44CBA581F}"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1-0E10-4D8A-A167-42D075DF762A}"/>
                </c:ext>
              </c:extLst>
            </c:dLbl>
            <c:dLbl>
              <c:idx val="1"/>
              <c:tx>
                <c:rich>
                  <a:bodyPr/>
                  <a:lstStyle/>
                  <a:p>
                    <a:fld id="{4E20FE2C-4E01-42F7-9CBC-EDA0E650535C}"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3-0E10-4D8A-A167-42D075DF762A}"/>
                </c:ext>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mn-lt"/>
                    <a:ea typeface="+mn-ea"/>
                    <a:cs typeface="+mn-cs"/>
                  </a:defRPr>
                </a:pPr>
                <a:endParaRPr lang="ro-RO"/>
              </a:p>
            </c:txPr>
            <c:showLegendKey val="0"/>
            <c:showVal val="0"/>
            <c:showCatName val="0"/>
            <c:showSerName val="0"/>
            <c:showPercent val="0"/>
            <c:showBubbleSize val="0"/>
            <c:showLeaderLines val="1"/>
            <c:leaderLines>
              <c:spPr>
                <a:ln w="9525" cap="flat" cmpd="sng" algn="ctr">
                  <a:solidFill>
                    <a:schemeClr val="tx1">
                      <a:shade val="95000"/>
                      <a:satMod val="105000"/>
                    </a:schemeClr>
                  </a:solidFill>
                  <a:prstDash val="solid"/>
                  <a:round/>
                </a:ln>
                <a:effectLst/>
              </c:spPr>
            </c:leaderLines>
            <c:extLst>
              <c:ext xmlns:c15="http://schemas.microsoft.com/office/drawing/2012/chart" uri="{CE6537A1-D6FC-4f65-9D91-7224C49458BB}">
                <c15:showDataLabelsRange val="1"/>
              </c:ext>
            </c:extLst>
          </c:dLbls>
          <c:cat>
            <c:strRef>
              <c:f>Fumat!$K$152:$L$152</c:f>
              <c:strCache>
                <c:ptCount val="2"/>
                <c:pt idx="0">
                  <c:v>1-19 zile</c:v>
                </c:pt>
                <c:pt idx="1">
                  <c:v>cel puţin 20 de zile (fumat frecvent)</c:v>
                </c:pt>
              </c:strCache>
            </c:strRef>
          </c:cat>
          <c:val>
            <c:numRef>
              <c:f>Fumat!$K$153:$L$153</c:f>
              <c:numCache>
                <c:formatCode>General</c:formatCode>
                <c:ptCount val="2"/>
                <c:pt idx="0">
                  <c:v>40.6</c:v>
                </c:pt>
                <c:pt idx="1">
                  <c:v>59.4</c:v>
                </c:pt>
              </c:numCache>
            </c:numRef>
          </c:val>
          <c:extLst>
            <c:ext xmlns:c15="http://schemas.microsoft.com/office/drawing/2012/chart" uri="{02D57815-91ED-43cb-92C2-25804820EDAC}">
              <c15:datalabelsRange>
                <c15:f>Fumat!$K$154:$L$154</c15:f>
                <c15:dlblRangeCache>
                  <c:ptCount val="2"/>
                  <c:pt idx="0">
                    <c:v>40,6</c:v>
                  </c:pt>
                  <c:pt idx="1">
                    <c:v>59,4</c:v>
                  </c:pt>
                </c15:dlblRangeCache>
              </c15:datalabelsRange>
            </c:ext>
            <c:ext xmlns:c16="http://schemas.microsoft.com/office/drawing/2014/chart" uri="{C3380CC4-5D6E-409C-BE32-E72D297353CC}">
              <c16:uniqueId val="{00000004-0E10-4D8A-A167-42D075DF762A}"/>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rtl="0">
            <a:defRPr sz="1000" b="0" i="0" u="none" strike="noStrike" kern="1200" baseline="0">
              <a:solidFill>
                <a:schemeClr val="tx1"/>
              </a:solidFill>
              <a:latin typeface="+mn-lt"/>
              <a:ea typeface="+mn-ea"/>
              <a:cs typeface="+mn-cs"/>
            </a:defRPr>
          </a:pPr>
          <a:endParaRPr lang="ro-RO"/>
        </a:p>
      </c:txPr>
    </c:legend>
    <c:plotVisOnly val="1"/>
    <c:dispBlanksAs val="gap"/>
    <c:showDLblsOverMax val="0"/>
  </c:chart>
  <c:spPr>
    <a:solidFill>
      <a:schemeClr val="bg1"/>
    </a:solidFill>
    <a:ln w="9525" cap="flat" cmpd="sng" algn="ctr">
      <a:solidFill>
        <a:schemeClr val="tx1">
          <a:tint val="75000"/>
          <a:shade val="95000"/>
          <a:satMod val="105000"/>
        </a:schemeClr>
      </a:solidFill>
      <a:prstDash val="solid"/>
      <a:round/>
    </a:ln>
    <a:effectLst/>
  </c:spPr>
  <c:txPr>
    <a:bodyPr/>
    <a:lstStyle/>
    <a:p>
      <a:pPr>
        <a:defRPr/>
      </a:pPr>
      <a:endParaRPr lang="ro-RO"/>
    </a:p>
  </c:txPr>
  <c:externalData r:id="rId4">
    <c:autoUpdate val="0"/>
  </c:externalData>
  <c:userShapes r:id="rId5"/>
</c:chartSpace>
</file>

<file path=word/charts/chart8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7.1988407699037624E-2"/>
          <c:y val="0.17177092446777489"/>
          <c:w val="0.89745603674540686"/>
          <c:h val="0.35260863225430172"/>
        </c:manualLayout>
      </c:layout>
      <c:barChart>
        <c:barDir val="col"/>
        <c:grouping val="clustered"/>
        <c:varyColors val="0"/>
        <c:ser>
          <c:idx val="0"/>
          <c:order val="0"/>
          <c:invertIfNegative val="0"/>
          <c:dPt>
            <c:idx val="0"/>
            <c:invertIfNegative val="0"/>
            <c:bubble3D val="0"/>
            <c:spPr>
              <a:solidFill>
                <a:srgbClr val="00B0F0"/>
              </a:solidFill>
            </c:spPr>
            <c:extLst>
              <c:ext xmlns:c16="http://schemas.microsoft.com/office/drawing/2014/chart" uri="{C3380CC4-5D6E-409C-BE32-E72D297353CC}">
                <c16:uniqueId val="{00000001-BEE2-4187-806D-3803A392248E}"/>
              </c:ext>
            </c:extLst>
          </c:dPt>
          <c:dPt>
            <c:idx val="1"/>
            <c:invertIfNegative val="0"/>
            <c:bubble3D val="0"/>
            <c:spPr>
              <a:solidFill>
                <a:srgbClr val="0070C0"/>
              </a:solidFill>
            </c:spPr>
            <c:extLst>
              <c:ext xmlns:c16="http://schemas.microsoft.com/office/drawing/2014/chart" uri="{C3380CC4-5D6E-409C-BE32-E72D297353CC}">
                <c16:uniqueId val="{00000003-BEE2-4187-806D-3803A392248E}"/>
              </c:ext>
            </c:extLst>
          </c:dPt>
          <c:dLbls>
            <c:dLbl>
              <c:idx val="0"/>
              <c:tx>
                <c:rich>
                  <a:bodyPr/>
                  <a:lstStyle/>
                  <a:p>
                    <a:fld id="{334890E4-A983-42FD-9E06-0B8958519346}"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1-BEE2-4187-806D-3803A392248E}"/>
                </c:ext>
              </c:extLst>
            </c:dLbl>
            <c:dLbl>
              <c:idx val="1"/>
              <c:tx>
                <c:rich>
                  <a:bodyPr/>
                  <a:lstStyle/>
                  <a:p>
                    <a:fld id="{1D90362F-8788-461C-A7F8-9EAC69C61EC2}"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3-BEE2-4187-806D-3803A392248E}"/>
                </c:ext>
              </c:extLst>
            </c:dLbl>
            <c:dLbl>
              <c:idx val="2"/>
              <c:tx>
                <c:rich>
                  <a:bodyPr/>
                  <a:lstStyle/>
                  <a:p>
                    <a:fld id="{D930D16A-D854-4149-83E6-0E254C6B0EF8}"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4-BEE2-4187-806D-3803A392248E}"/>
                </c:ext>
              </c:extLst>
            </c:dLbl>
            <c:dLbl>
              <c:idx val="3"/>
              <c:tx>
                <c:rich>
                  <a:bodyPr/>
                  <a:lstStyle/>
                  <a:p>
                    <a:fld id="{6CD2C1F5-2156-43B0-8F14-ADDEE9608172}"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5-BEE2-4187-806D-3803A392248E}"/>
                </c:ext>
              </c:extLst>
            </c:dLbl>
            <c:dLbl>
              <c:idx val="4"/>
              <c:tx>
                <c:rich>
                  <a:bodyPr/>
                  <a:lstStyle/>
                  <a:p>
                    <a:fld id="{0BDA5334-EF6C-452F-91E5-CE48C5E574CE}"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6-BEE2-4187-806D-3803A392248E}"/>
                </c:ext>
              </c:extLst>
            </c:dLbl>
            <c:dLbl>
              <c:idx val="5"/>
              <c:tx>
                <c:rich>
                  <a:bodyPr/>
                  <a:lstStyle/>
                  <a:p>
                    <a:fld id="{175E131F-24EB-4E77-B941-0E41358CF92B}"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7-BEE2-4187-806D-3803A392248E}"/>
                </c:ext>
              </c:extLst>
            </c:dLbl>
            <c:dLbl>
              <c:idx val="6"/>
              <c:tx>
                <c:rich>
                  <a:bodyPr/>
                  <a:lstStyle/>
                  <a:p>
                    <a:fld id="{8AD0D113-6E41-491B-A8B7-04026318EC0A}"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8-BEE2-4187-806D-3803A392248E}"/>
                </c:ext>
              </c:extLst>
            </c:dLbl>
            <c:dLbl>
              <c:idx val="7"/>
              <c:tx>
                <c:rich>
                  <a:bodyPr/>
                  <a:lstStyle/>
                  <a:p>
                    <a:fld id="{000FB240-632D-4838-ACD5-59B31920190E}"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9-BEE2-4187-806D-3803A392248E}"/>
                </c:ext>
              </c:extLst>
            </c:dLbl>
            <c:dLbl>
              <c:idx val="8"/>
              <c:tx>
                <c:rich>
                  <a:bodyPr/>
                  <a:lstStyle/>
                  <a:p>
                    <a:fld id="{F8DB640A-5CD2-45CC-BA17-6BCE107B5007}"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A-BEE2-4187-806D-3803A392248E}"/>
                </c:ext>
              </c:extLst>
            </c:dLbl>
            <c:spPr>
              <a:noFill/>
              <a:ln>
                <a:noFill/>
              </a:ln>
              <a:effectLst/>
            </c:spPr>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0"/>
              </c:ext>
            </c:extLst>
          </c:dLbls>
          <c:cat>
            <c:strRef>
              <c:f>Fumat!$S$171:$AA$171</c:f>
              <c:strCache>
                <c:ptCount val="9"/>
                <c:pt idx="0">
                  <c:v>nefumători</c:v>
                </c:pt>
                <c:pt idx="1">
                  <c:v>niciodată o ţigară întreagă</c:v>
                </c:pt>
                <c:pt idx="2">
                  <c:v>nici o zi </c:v>
                </c:pt>
                <c:pt idx="3">
                  <c:v>1-2 zile</c:v>
                </c:pt>
                <c:pt idx="4">
                  <c:v>3-5 zile</c:v>
                </c:pt>
                <c:pt idx="5">
                  <c:v>6-9 zile</c:v>
                </c:pt>
                <c:pt idx="6">
                  <c:v>10-19 zile</c:v>
                </c:pt>
                <c:pt idx="7">
                  <c:v>20-29 zile</c:v>
                </c:pt>
                <c:pt idx="8">
                  <c:v>în toate cele 30 de zile</c:v>
                </c:pt>
              </c:strCache>
            </c:strRef>
          </c:cat>
          <c:val>
            <c:numRef>
              <c:f>Fumat!$S$172:$AA$172</c:f>
              <c:numCache>
                <c:formatCode>General</c:formatCode>
                <c:ptCount val="9"/>
                <c:pt idx="0">
                  <c:v>48.4</c:v>
                </c:pt>
                <c:pt idx="1">
                  <c:v>11</c:v>
                </c:pt>
                <c:pt idx="2">
                  <c:v>12.9</c:v>
                </c:pt>
                <c:pt idx="3">
                  <c:v>5.0999999999999996</c:v>
                </c:pt>
                <c:pt idx="4">
                  <c:v>2.5</c:v>
                </c:pt>
                <c:pt idx="5">
                  <c:v>1.5</c:v>
                </c:pt>
                <c:pt idx="6">
                  <c:v>2.8</c:v>
                </c:pt>
                <c:pt idx="7">
                  <c:v>2.9</c:v>
                </c:pt>
                <c:pt idx="8">
                  <c:v>12.9</c:v>
                </c:pt>
              </c:numCache>
            </c:numRef>
          </c:val>
          <c:extLst>
            <c:ext xmlns:c15="http://schemas.microsoft.com/office/drawing/2012/chart" uri="{02D57815-91ED-43cb-92C2-25804820EDAC}">
              <c15:datalabelsRange>
                <c15:f>Fumat!$S$173:$AA$173</c15:f>
                <c15:dlblRangeCache>
                  <c:ptCount val="9"/>
                  <c:pt idx="0">
                    <c:v>48,4</c:v>
                  </c:pt>
                  <c:pt idx="1">
                    <c:v>11</c:v>
                  </c:pt>
                  <c:pt idx="2">
                    <c:v>12,9</c:v>
                  </c:pt>
                  <c:pt idx="3">
                    <c:v>5,1</c:v>
                  </c:pt>
                  <c:pt idx="4">
                    <c:v>2,5</c:v>
                  </c:pt>
                  <c:pt idx="5">
                    <c:v>1,5</c:v>
                  </c:pt>
                  <c:pt idx="6">
                    <c:v>2,8</c:v>
                  </c:pt>
                  <c:pt idx="7">
                    <c:v>2,9</c:v>
                  </c:pt>
                  <c:pt idx="8">
                    <c:v>12,9</c:v>
                  </c:pt>
                </c15:dlblRangeCache>
              </c15:datalabelsRange>
            </c:ext>
            <c:ext xmlns:c16="http://schemas.microsoft.com/office/drawing/2014/chart" uri="{C3380CC4-5D6E-409C-BE32-E72D297353CC}">
              <c16:uniqueId val="{0000000B-BEE2-4187-806D-3803A392248E}"/>
            </c:ext>
          </c:extLst>
        </c:ser>
        <c:dLbls>
          <c:showLegendKey val="0"/>
          <c:showVal val="0"/>
          <c:showCatName val="0"/>
          <c:showSerName val="0"/>
          <c:showPercent val="0"/>
          <c:showBubbleSize val="0"/>
        </c:dLbls>
        <c:gapWidth val="150"/>
        <c:axId val="84649472"/>
        <c:axId val="84651008"/>
      </c:barChart>
      <c:catAx>
        <c:axId val="84649472"/>
        <c:scaling>
          <c:orientation val="minMax"/>
        </c:scaling>
        <c:delete val="0"/>
        <c:axPos val="b"/>
        <c:numFmt formatCode="General" sourceLinked="0"/>
        <c:majorTickMark val="out"/>
        <c:minorTickMark val="none"/>
        <c:tickLblPos val="nextTo"/>
        <c:crossAx val="84651008"/>
        <c:crosses val="autoZero"/>
        <c:auto val="1"/>
        <c:lblAlgn val="ctr"/>
        <c:lblOffset val="100"/>
        <c:noMultiLvlLbl val="0"/>
      </c:catAx>
      <c:valAx>
        <c:axId val="84651008"/>
        <c:scaling>
          <c:orientation val="minMax"/>
        </c:scaling>
        <c:delete val="0"/>
        <c:axPos val="l"/>
        <c:majorGridlines/>
        <c:numFmt formatCode="General" sourceLinked="1"/>
        <c:majorTickMark val="out"/>
        <c:minorTickMark val="none"/>
        <c:tickLblPos val="nextTo"/>
        <c:crossAx val="84649472"/>
        <c:crosses val="autoZero"/>
        <c:crossBetween val="between"/>
      </c:valAx>
    </c:plotArea>
    <c:plotVisOnly val="1"/>
    <c:dispBlanksAs val="gap"/>
    <c:showDLblsOverMax val="0"/>
  </c:chart>
  <c:externalData r:id="rId2">
    <c:autoUpdate val="0"/>
  </c:externalData>
  <c:userShapes r:id="rId3"/>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a:t>
            </a:r>
            <a:endParaRPr lang="ro-RO"/>
          </a:p>
        </c:rich>
      </c:tx>
      <c:layout>
        <c:manualLayout>
          <c:xMode val="edge"/>
          <c:yMode val="edge"/>
          <c:x val="0.64737605153269839"/>
          <c:y val="5.2925610114672159E-2"/>
        </c:manualLayout>
      </c:layout>
      <c:overlay val="1"/>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o-RO"/>
        </a:p>
      </c:txPr>
    </c:title>
    <c:autoTitleDeleted val="0"/>
    <c:plotArea>
      <c:layout/>
      <c:barChart>
        <c:barDir val="col"/>
        <c:grouping val="clustered"/>
        <c:varyColors val="0"/>
        <c:ser>
          <c:idx val="0"/>
          <c:order val="0"/>
          <c:tx>
            <c:strRef>
              <c:f>'52'!$A$34</c:f>
              <c:strCache>
                <c:ptCount val="1"/>
                <c:pt idx="0">
                  <c:v>Urban</c:v>
                </c:pt>
              </c:strCache>
            </c:strRef>
          </c:tx>
          <c:spPr>
            <a:solidFill>
              <a:schemeClr val="accent1"/>
            </a:solidFill>
            <a:ln>
              <a:noFill/>
            </a:ln>
            <a:effectLst/>
          </c:spPr>
          <c:invertIfNegative val="0"/>
          <c:dLbls>
            <c:dLbl>
              <c:idx val="2"/>
              <c:layout>
                <c:manualLayout>
                  <c:x val="-2.2050716648291068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CD81-4F70-804F-51CD2D173B61}"/>
                </c:ext>
              </c:extLst>
            </c:dLbl>
            <c:dLbl>
              <c:idx val="3"/>
              <c:layout>
                <c:manualLayout>
                  <c:x val="-1.1111111111111162E-2"/>
                  <c:y val="-4.6296296296297144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CD81-4F70-804F-51CD2D173B61}"/>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o-R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'52'!$D$4:$I$4</c:f>
              <c:strCache>
                <c:ptCount val="6"/>
                <c:pt idx="0">
                  <c:v>Sub 5 
ţigări</c:v>
                </c:pt>
                <c:pt idx="1">
                  <c:v>5-9 
ţigări</c:v>
                </c:pt>
                <c:pt idx="2">
                  <c:v>10-19 
ţigări</c:v>
                </c:pt>
                <c:pt idx="3">
                  <c:v>20-29 
ţigări</c:v>
                </c:pt>
                <c:pt idx="4">
                  <c:v>30-39 
ţigări</c:v>
                </c:pt>
                <c:pt idx="5">
                  <c:v>40 ţigări 
şi peste</c:v>
                </c:pt>
              </c:strCache>
            </c:strRef>
          </c:cat>
          <c:val>
            <c:numRef>
              <c:f>'52'!$D$34:$I$34</c:f>
              <c:numCache>
                <c:formatCode>0.00</c:formatCode>
                <c:ptCount val="6"/>
                <c:pt idx="0">
                  <c:v>3.19</c:v>
                </c:pt>
                <c:pt idx="1">
                  <c:v>11.15</c:v>
                </c:pt>
                <c:pt idx="2">
                  <c:v>55.73</c:v>
                </c:pt>
                <c:pt idx="3">
                  <c:v>28.02</c:v>
                </c:pt>
                <c:pt idx="4">
                  <c:v>1.6</c:v>
                </c:pt>
                <c:pt idx="5">
                  <c:v>0.31</c:v>
                </c:pt>
              </c:numCache>
            </c:numRef>
          </c:val>
          <c:extLst>
            <c:ext xmlns:c16="http://schemas.microsoft.com/office/drawing/2014/chart" uri="{C3380CC4-5D6E-409C-BE32-E72D297353CC}">
              <c16:uniqueId val="{00000002-CD81-4F70-804F-51CD2D173B61}"/>
            </c:ext>
          </c:extLst>
        </c:ser>
        <c:ser>
          <c:idx val="1"/>
          <c:order val="1"/>
          <c:tx>
            <c:strRef>
              <c:f>'52'!$A$43</c:f>
              <c:strCache>
                <c:ptCount val="1"/>
                <c:pt idx="0">
                  <c:v>Rural</c:v>
                </c:pt>
              </c:strCache>
            </c:strRef>
          </c:tx>
          <c:spPr>
            <a:solidFill>
              <a:schemeClr val="accent2"/>
            </a:solidFill>
            <a:ln>
              <a:noFill/>
            </a:ln>
            <a:effectLst/>
          </c:spPr>
          <c:invertIfNegative val="0"/>
          <c:dLbls>
            <c:dLbl>
              <c:idx val="0"/>
              <c:layout>
                <c:manualLayout>
                  <c:x val="1.9444444444444445E-2"/>
                  <c:y val="3.240740740740740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CD81-4F70-804F-51CD2D173B61}"/>
                </c:ext>
              </c:extLst>
            </c:dLbl>
            <c:dLbl>
              <c:idx val="1"/>
              <c:layout>
                <c:manualLayout>
                  <c:x val="2.38547083488874E-2"/>
                  <c:y val="4.079022612617409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CD81-4F70-804F-51CD2D173B61}"/>
                </c:ext>
              </c:extLst>
            </c:dLbl>
            <c:dLbl>
              <c:idx val="2"/>
              <c:layout>
                <c:manualLayout>
                  <c:x val="3.9862834124786223E-2"/>
                  <c:y val="7.5697976741439972E-3"/>
                </c:manualLayout>
              </c:layout>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ro-RO"/>
                </a:p>
              </c:txPr>
              <c:showLegendKey val="0"/>
              <c:showVal val="1"/>
              <c:showCatName val="0"/>
              <c:showSerName val="0"/>
              <c:showPercent val="0"/>
              <c:showBubbleSize val="0"/>
              <c:extLst>
                <c:ext xmlns:c15="http://schemas.microsoft.com/office/drawing/2012/chart" uri="{CE6537A1-D6FC-4f65-9D91-7224C49458BB}">
                  <c15:layout>
                    <c:manualLayout>
                      <c:w val="0.11691289966923925"/>
                      <c:h val="8.8121372361533321E-2"/>
                    </c:manualLayout>
                  </c15:layout>
                </c:ext>
                <c:ext xmlns:c16="http://schemas.microsoft.com/office/drawing/2014/chart" uri="{C3380CC4-5D6E-409C-BE32-E72D297353CC}">
                  <c16:uniqueId val="{00000005-CD81-4F70-804F-51CD2D173B61}"/>
                </c:ext>
              </c:extLst>
            </c:dLbl>
            <c:dLbl>
              <c:idx val="3"/>
              <c:layout>
                <c:manualLayout>
                  <c:x val="1.5521273732734897E-2"/>
                  <c:y val="1.639073269325603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CD81-4F70-804F-51CD2D173B61}"/>
                </c:ext>
              </c:extLst>
            </c:dLbl>
            <c:dLbl>
              <c:idx val="4"/>
              <c:layout>
                <c:manualLayout>
                  <c:x val="2.1076665306583094E-2"/>
                  <c:y val="3.365846543513140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CD81-4F70-804F-51CD2D173B61}"/>
                </c:ext>
              </c:extLst>
            </c:dLbl>
            <c:dLbl>
              <c:idx val="5"/>
              <c:layout>
                <c:manualLayout>
                  <c:x val="2.9410099922735678E-2"/>
                  <c:y val="2.690130508164574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CD81-4F70-804F-51CD2D173B61}"/>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o-R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'52'!$D$4:$I$4</c:f>
              <c:strCache>
                <c:ptCount val="6"/>
                <c:pt idx="0">
                  <c:v>Sub 5 
ţigări</c:v>
                </c:pt>
                <c:pt idx="1">
                  <c:v>5-9 
ţigări</c:v>
                </c:pt>
                <c:pt idx="2">
                  <c:v>10-19 
ţigări</c:v>
                </c:pt>
                <c:pt idx="3">
                  <c:v>20-29 
ţigări</c:v>
                </c:pt>
                <c:pt idx="4">
                  <c:v>30-39 
ţigări</c:v>
                </c:pt>
                <c:pt idx="5">
                  <c:v>40 ţigări 
şi peste</c:v>
                </c:pt>
              </c:strCache>
            </c:strRef>
          </c:cat>
          <c:val>
            <c:numRef>
              <c:f>'52'!$D$43:$I$43</c:f>
              <c:numCache>
                <c:formatCode>0.00</c:formatCode>
                <c:ptCount val="6"/>
                <c:pt idx="0">
                  <c:v>3.69</c:v>
                </c:pt>
                <c:pt idx="1">
                  <c:v>10.17</c:v>
                </c:pt>
                <c:pt idx="2">
                  <c:v>58.33</c:v>
                </c:pt>
                <c:pt idx="3">
                  <c:v>25.46</c:v>
                </c:pt>
                <c:pt idx="4">
                  <c:v>2.21</c:v>
                </c:pt>
                <c:pt idx="5">
                  <c:v>0.13</c:v>
                </c:pt>
              </c:numCache>
            </c:numRef>
          </c:val>
          <c:extLst>
            <c:ext xmlns:c16="http://schemas.microsoft.com/office/drawing/2014/chart" uri="{C3380CC4-5D6E-409C-BE32-E72D297353CC}">
              <c16:uniqueId val="{00000009-CD81-4F70-804F-51CD2D173B61}"/>
            </c:ext>
          </c:extLst>
        </c:ser>
        <c:dLbls>
          <c:showLegendKey val="0"/>
          <c:showVal val="0"/>
          <c:showCatName val="0"/>
          <c:showSerName val="0"/>
          <c:showPercent val="0"/>
          <c:showBubbleSize val="0"/>
        </c:dLbls>
        <c:gapWidth val="219"/>
        <c:overlap val="-27"/>
        <c:axId val="1672947375"/>
        <c:axId val="1672946415"/>
      </c:barChart>
      <c:catAx>
        <c:axId val="167294737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o-RO"/>
          </a:p>
        </c:txPr>
        <c:crossAx val="1672946415"/>
        <c:crosses val="autoZero"/>
        <c:auto val="1"/>
        <c:lblAlgn val="ctr"/>
        <c:lblOffset val="100"/>
        <c:noMultiLvlLbl val="0"/>
      </c:catAx>
      <c:valAx>
        <c:axId val="1672946415"/>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o-RO"/>
          </a:p>
        </c:txPr>
        <c:crossAx val="1672947375"/>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o-RO"/>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o-RO"/>
    </a:p>
  </c:txPr>
  <c:externalData r:id="rId4">
    <c:autoUpdate val="0"/>
  </c:externalData>
</c:chartSpace>
</file>

<file path=word/charts/chart9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7.1988407699037624E-2"/>
          <c:y val="0.13010425780110821"/>
          <c:w val="0.89745603674540686"/>
          <c:h val="0.39427529892096841"/>
        </c:manualLayout>
      </c:layout>
      <c:barChart>
        <c:barDir val="col"/>
        <c:grouping val="clustered"/>
        <c:varyColors val="0"/>
        <c:ser>
          <c:idx val="0"/>
          <c:order val="0"/>
          <c:invertIfNegative val="0"/>
          <c:dPt>
            <c:idx val="0"/>
            <c:invertIfNegative val="0"/>
            <c:bubble3D val="0"/>
            <c:spPr>
              <a:solidFill>
                <a:srgbClr val="00B0F0"/>
              </a:solidFill>
            </c:spPr>
            <c:extLst>
              <c:ext xmlns:c16="http://schemas.microsoft.com/office/drawing/2014/chart" uri="{C3380CC4-5D6E-409C-BE32-E72D297353CC}">
                <c16:uniqueId val="{00000001-215E-4D95-86CC-076E01D140B2}"/>
              </c:ext>
            </c:extLst>
          </c:dPt>
          <c:dPt>
            <c:idx val="1"/>
            <c:invertIfNegative val="0"/>
            <c:bubble3D val="0"/>
            <c:spPr>
              <a:solidFill>
                <a:srgbClr val="0070C0"/>
              </a:solidFill>
            </c:spPr>
            <c:extLst>
              <c:ext xmlns:c16="http://schemas.microsoft.com/office/drawing/2014/chart" uri="{C3380CC4-5D6E-409C-BE32-E72D297353CC}">
                <c16:uniqueId val="{00000003-215E-4D95-86CC-076E01D140B2}"/>
              </c:ext>
            </c:extLst>
          </c:dPt>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Fumat!$S$189:$AA$189</c:f>
              <c:strCache>
                <c:ptCount val="9"/>
                <c:pt idx="0">
                  <c:v>nefumători</c:v>
                </c:pt>
                <c:pt idx="1">
                  <c:v>niciodată o ţigară întreagă</c:v>
                </c:pt>
                <c:pt idx="2">
                  <c:v>nici o zi </c:v>
                </c:pt>
                <c:pt idx="3">
                  <c:v>1-2 zile</c:v>
                </c:pt>
                <c:pt idx="4">
                  <c:v>3-5 zile</c:v>
                </c:pt>
                <c:pt idx="5">
                  <c:v>6-9 zile</c:v>
                </c:pt>
                <c:pt idx="6">
                  <c:v>10-19 zile</c:v>
                </c:pt>
                <c:pt idx="7">
                  <c:v>20-29 zile</c:v>
                </c:pt>
                <c:pt idx="8">
                  <c:v>în toate cele 30 de zile</c:v>
                </c:pt>
              </c:strCache>
            </c:strRef>
          </c:cat>
          <c:val>
            <c:numRef>
              <c:f>Fumat!$S$190:$AA$190</c:f>
              <c:numCache>
                <c:formatCode>General</c:formatCode>
                <c:ptCount val="9"/>
                <c:pt idx="0">
                  <c:v>50.7</c:v>
                </c:pt>
                <c:pt idx="1">
                  <c:v>10.1</c:v>
                </c:pt>
                <c:pt idx="2">
                  <c:v>13.3</c:v>
                </c:pt>
                <c:pt idx="3">
                  <c:v>3.8</c:v>
                </c:pt>
                <c:pt idx="4">
                  <c:v>1.8</c:v>
                </c:pt>
                <c:pt idx="5">
                  <c:v>1.6</c:v>
                </c:pt>
                <c:pt idx="6">
                  <c:v>2.6</c:v>
                </c:pt>
                <c:pt idx="7">
                  <c:v>2.8</c:v>
                </c:pt>
                <c:pt idx="8">
                  <c:v>13.3</c:v>
                </c:pt>
              </c:numCache>
            </c:numRef>
          </c:val>
          <c:extLst>
            <c:ext xmlns:c16="http://schemas.microsoft.com/office/drawing/2014/chart" uri="{C3380CC4-5D6E-409C-BE32-E72D297353CC}">
              <c16:uniqueId val="{00000004-215E-4D95-86CC-076E01D140B2}"/>
            </c:ext>
          </c:extLst>
        </c:ser>
        <c:dLbls>
          <c:showLegendKey val="0"/>
          <c:showVal val="0"/>
          <c:showCatName val="0"/>
          <c:showSerName val="0"/>
          <c:showPercent val="0"/>
          <c:showBubbleSize val="0"/>
        </c:dLbls>
        <c:gapWidth val="150"/>
        <c:axId val="84670720"/>
        <c:axId val="85749760"/>
      </c:barChart>
      <c:catAx>
        <c:axId val="84670720"/>
        <c:scaling>
          <c:orientation val="minMax"/>
        </c:scaling>
        <c:delete val="0"/>
        <c:axPos val="b"/>
        <c:numFmt formatCode="General" sourceLinked="0"/>
        <c:majorTickMark val="out"/>
        <c:minorTickMark val="none"/>
        <c:tickLblPos val="nextTo"/>
        <c:crossAx val="85749760"/>
        <c:crosses val="autoZero"/>
        <c:auto val="1"/>
        <c:lblAlgn val="ctr"/>
        <c:lblOffset val="100"/>
        <c:noMultiLvlLbl val="0"/>
      </c:catAx>
      <c:valAx>
        <c:axId val="85749760"/>
        <c:scaling>
          <c:orientation val="minMax"/>
        </c:scaling>
        <c:delete val="0"/>
        <c:axPos val="l"/>
        <c:majorGridlines/>
        <c:numFmt formatCode="General" sourceLinked="1"/>
        <c:majorTickMark val="out"/>
        <c:minorTickMark val="none"/>
        <c:tickLblPos val="nextTo"/>
        <c:crossAx val="84670720"/>
        <c:crosses val="autoZero"/>
        <c:crossBetween val="between"/>
      </c:valAx>
    </c:plotArea>
    <c:plotVisOnly val="1"/>
    <c:dispBlanksAs val="gap"/>
    <c:showDLblsOverMax val="0"/>
  </c:chart>
  <c:externalData r:id="rId2">
    <c:autoUpdate val="0"/>
  </c:externalData>
  <c:userShapes r:id="rId3"/>
</c:chartSpace>
</file>

<file path=word/charts/chart9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0593285214348212"/>
          <c:y val="5.1400554097404488E-2"/>
          <c:w val="0.7013184601924759"/>
          <c:h val="0.6360844998541868"/>
        </c:manualLayout>
      </c:layout>
      <c:barChart>
        <c:barDir val="col"/>
        <c:grouping val="percentStacked"/>
        <c:varyColors val="0"/>
        <c:ser>
          <c:idx val="0"/>
          <c:order val="0"/>
          <c:tx>
            <c:strRef>
              <c:f>Fumat!$AF$77</c:f>
              <c:strCache>
                <c:ptCount val="1"/>
                <c:pt idx="0">
                  <c:v>nici o zi</c:v>
                </c:pt>
              </c:strCache>
            </c:strRef>
          </c:tx>
          <c:spPr>
            <a:solidFill>
              <a:srgbClr val="8FCFFF"/>
            </a:solidFill>
          </c:spPr>
          <c:invertIfNegative val="0"/>
          <c:dLbls>
            <c:spPr>
              <a:noFill/>
              <a:ln>
                <a:noFill/>
              </a:ln>
              <a:effectLst/>
            </c:spPr>
            <c:txPr>
              <a:bodyPr wrap="square" lIns="38100" tIns="19050" rIns="38100" bIns="19050" anchor="ctr">
                <a:spAutoFit/>
              </a:bodyPr>
              <a:lstStyle/>
              <a:p>
                <a:pPr>
                  <a:defRPr b="1">
                    <a:latin typeface="Calibri" panose="020F0502020204030204" pitchFamily="34" charset="0"/>
                    <a:ea typeface="Calibri" panose="020F0502020204030204" pitchFamily="34" charset="0"/>
                    <a:cs typeface="Calibri" panose="020F0502020204030204" pitchFamily="34" charset="0"/>
                  </a:defRPr>
                </a:pPr>
                <a:endParaRPr lang="ro-RO"/>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multiLvlStrRef>
              <c:f>Fumat!$AG$75:$AP$76</c:f>
              <c:multiLvlStrCache>
                <c:ptCount val="10"/>
                <c:lvl>
                  <c:pt idx="0">
                    <c:v>fete</c:v>
                  </c:pt>
                  <c:pt idx="1">
                    <c:v>băieţi</c:v>
                  </c:pt>
                  <c:pt idx="2">
                    <c:v>fete</c:v>
                  </c:pt>
                  <c:pt idx="3">
                    <c:v>băieţi</c:v>
                  </c:pt>
                  <c:pt idx="4">
                    <c:v>fete</c:v>
                  </c:pt>
                  <c:pt idx="5">
                    <c:v>băieţi</c:v>
                  </c:pt>
                  <c:pt idx="6">
                    <c:v>fete</c:v>
                  </c:pt>
                  <c:pt idx="7">
                    <c:v>băieţi</c:v>
                  </c:pt>
                  <c:pt idx="8">
                    <c:v>fete</c:v>
                  </c:pt>
                  <c:pt idx="9">
                    <c:v>băieţi</c:v>
                  </c:pt>
                </c:lvl>
                <c:lvl>
                  <c:pt idx="0">
                    <c:v>14 ani</c:v>
                  </c:pt>
                  <c:pt idx="2">
                    <c:v>15 ani</c:v>
                  </c:pt>
                  <c:pt idx="4">
                    <c:v>16 ani</c:v>
                  </c:pt>
                  <c:pt idx="6">
                    <c:v>17 ani</c:v>
                  </c:pt>
                  <c:pt idx="8">
                    <c:v>18 ani sau mai mult</c:v>
                  </c:pt>
                </c:lvl>
              </c:multiLvlStrCache>
            </c:multiLvlStrRef>
          </c:cat>
          <c:val>
            <c:numRef>
              <c:f>Fumat!$AG$77:$AP$77</c:f>
              <c:numCache>
                <c:formatCode>General</c:formatCode>
                <c:ptCount val="10"/>
                <c:pt idx="0">
                  <c:v>83.1</c:v>
                </c:pt>
                <c:pt idx="1">
                  <c:v>90.1</c:v>
                </c:pt>
                <c:pt idx="2">
                  <c:v>81.3</c:v>
                </c:pt>
                <c:pt idx="3">
                  <c:v>86</c:v>
                </c:pt>
                <c:pt idx="4">
                  <c:v>72.599999999999994</c:v>
                </c:pt>
                <c:pt idx="5">
                  <c:v>77.5</c:v>
                </c:pt>
                <c:pt idx="6">
                  <c:v>68.599999999999994</c:v>
                </c:pt>
                <c:pt idx="7">
                  <c:v>68.599999999999994</c:v>
                </c:pt>
                <c:pt idx="8">
                  <c:v>66.099999999999994</c:v>
                </c:pt>
                <c:pt idx="9">
                  <c:v>64.099999999999994</c:v>
                </c:pt>
              </c:numCache>
            </c:numRef>
          </c:val>
          <c:extLst>
            <c:ext xmlns:c16="http://schemas.microsoft.com/office/drawing/2014/chart" uri="{C3380CC4-5D6E-409C-BE32-E72D297353CC}">
              <c16:uniqueId val="{00000000-1EB3-48D7-8C8F-ADE451B0B79C}"/>
            </c:ext>
          </c:extLst>
        </c:ser>
        <c:ser>
          <c:idx val="1"/>
          <c:order val="1"/>
          <c:tx>
            <c:strRef>
              <c:f>Fumat!$AF$78</c:f>
              <c:strCache>
                <c:ptCount val="1"/>
                <c:pt idx="0">
                  <c:v>cel puţin 1-2 zile</c:v>
                </c:pt>
              </c:strCache>
            </c:strRef>
          </c:tx>
          <c:spPr>
            <a:solidFill>
              <a:srgbClr val="FF7171"/>
            </a:solidFill>
          </c:spPr>
          <c:invertIfNegative val="0"/>
          <c:dLbls>
            <c:spPr>
              <a:noFill/>
              <a:ln>
                <a:noFill/>
              </a:ln>
              <a:effectLst/>
            </c:spPr>
            <c:txPr>
              <a:bodyPr wrap="square" lIns="38100" tIns="19050" rIns="38100" bIns="19050" anchor="ctr">
                <a:spAutoFit/>
              </a:bodyPr>
              <a:lstStyle/>
              <a:p>
                <a:pPr>
                  <a:defRPr b="1">
                    <a:latin typeface="Calibri" panose="020F0502020204030204" pitchFamily="34" charset="0"/>
                    <a:ea typeface="Calibri" panose="020F0502020204030204" pitchFamily="34" charset="0"/>
                    <a:cs typeface="Calibri" panose="020F0502020204030204" pitchFamily="34" charset="0"/>
                  </a:defRPr>
                </a:pPr>
                <a:endParaRPr lang="ro-RO"/>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multiLvlStrRef>
              <c:f>Fumat!$AG$75:$AP$76</c:f>
              <c:multiLvlStrCache>
                <c:ptCount val="10"/>
                <c:lvl>
                  <c:pt idx="0">
                    <c:v>fete</c:v>
                  </c:pt>
                  <c:pt idx="1">
                    <c:v>băieţi</c:v>
                  </c:pt>
                  <c:pt idx="2">
                    <c:v>fete</c:v>
                  </c:pt>
                  <c:pt idx="3">
                    <c:v>băieţi</c:v>
                  </c:pt>
                  <c:pt idx="4">
                    <c:v>fete</c:v>
                  </c:pt>
                  <c:pt idx="5">
                    <c:v>băieţi</c:v>
                  </c:pt>
                  <c:pt idx="6">
                    <c:v>fete</c:v>
                  </c:pt>
                  <c:pt idx="7">
                    <c:v>băieţi</c:v>
                  </c:pt>
                  <c:pt idx="8">
                    <c:v>fete</c:v>
                  </c:pt>
                  <c:pt idx="9">
                    <c:v>băieţi</c:v>
                  </c:pt>
                </c:lvl>
                <c:lvl>
                  <c:pt idx="0">
                    <c:v>14 ani</c:v>
                  </c:pt>
                  <c:pt idx="2">
                    <c:v>15 ani</c:v>
                  </c:pt>
                  <c:pt idx="4">
                    <c:v>16 ani</c:v>
                  </c:pt>
                  <c:pt idx="6">
                    <c:v>17 ani</c:v>
                  </c:pt>
                  <c:pt idx="8">
                    <c:v>18 ani sau mai mult</c:v>
                  </c:pt>
                </c:lvl>
              </c:multiLvlStrCache>
            </c:multiLvlStrRef>
          </c:cat>
          <c:val>
            <c:numRef>
              <c:f>Fumat!$AG$78:$AP$78</c:f>
              <c:numCache>
                <c:formatCode>General</c:formatCode>
                <c:ptCount val="10"/>
                <c:pt idx="0">
                  <c:v>16.899999999999999</c:v>
                </c:pt>
                <c:pt idx="1">
                  <c:v>9.9</c:v>
                </c:pt>
                <c:pt idx="2">
                  <c:v>18.7</c:v>
                </c:pt>
                <c:pt idx="3">
                  <c:v>14</c:v>
                </c:pt>
                <c:pt idx="4">
                  <c:v>27.4</c:v>
                </c:pt>
                <c:pt idx="5">
                  <c:v>22.5</c:v>
                </c:pt>
                <c:pt idx="6">
                  <c:v>31.4</c:v>
                </c:pt>
                <c:pt idx="7">
                  <c:v>31.4</c:v>
                </c:pt>
                <c:pt idx="8">
                  <c:v>33.9</c:v>
                </c:pt>
                <c:pt idx="9">
                  <c:v>35.9</c:v>
                </c:pt>
              </c:numCache>
            </c:numRef>
          </c:val>
          <c:extLst>
            <c:ext xmlns:c16="http://schemas.microsoft.com/office/drawing/2014/chart" uri="{C3380CC4-5D6E-409C-BE32-E72D297353CC}">
              <c16:uniqueId val="{00000001-1EB3-48D7-8C8F-ADE451B0B79C}"/>
            </c:ext>
          </c:extLst>
        </c:ser>
        <c:dLbls>
          <c:showLegendKey val="0"/>
          <c:showVal val="0"/>
          <c:showCatName val="0"/>
          <c:showSerName val="0"/>
          <c:showPercent val="0"/>
          <c:showBubbleSize val="0"/>
        </c:dLbls>
        <c:gapWidth val="150"/>
        <c:overlap val="100"/>
        <c:axId val="81788288"/>
        <c:axId val="81790080"/>
      </c:barChart>
      <c:catAx>
        <c:axId val="81788288"/>
        <c:scaling>
          <c:orientation val="minMax"/>
        </c:scaling>
        <c:delete val="0"/>
        <c:axPos val="b"/>
        <c:numFmt formatCode="General" sourceLinked="0"/>
        <c:majorTickMark val="out"/>
        <c:minorTickMark val="none"/>
        <c:tickLblPos val="nextTo"/>
        <c:txPr>
          <a:bodyPr/>
          <a:lstStyle/>
          <a:p>
            <a:pPr>
              <a:defRPr>
                <a:latin typeface="Calibri" panose="020F0502020204030204" pitchFamily="34" charset="0"/>
                <a:ea typeface="Calibri" panose="020F0502020204030204" pitchFamily="34" charset="0"/>
                <a:cs typeface="Calibri" panose="020F0502020204030204" pitchFamily="34" charset="0"/>
              </a:defRPr>
            </a:pPr>
            <a:endParaRPr lang="ro-RO"/>
          </a:p>
        </c:txPr>
        <c:crossAx val="81790080"/>
        <c:crosses val="autoZero"/>
        <c:auto val="1"/>
        <c:lblAlgn val="ctr"/>
        <c:lblOffset val="100"/>
        <c:noMultiLvlLbl val="0"/>
      </c:catAx>
      <c:valAx>
        <c:axId val="81790080"/>
        <c:scaling>
          <c:orientation val="minMax"/>
        </c:scaling>
        <c:delete val="0"/>
        <c:axPos val="l"/>
        <c:majorGridlines/>
        <c:numFmt formatCode="0%" sourceLinked="1"/>
        <c:majorTickMark val="out"/>
        <c:minorTickMark val="none"/>
        <c:tickLblPos val="nextTo"/>
        <c:crossAx val="81788288"/>
        <c:crosses val="autoZero"/>
        <c:crossBetween val="between"/>
      </c:valAx>
    </c:plotArea>
    <c:legend>
      <c:legendPos val="r"/>
      <c:layout>
        <c:manualLayout>
          <c:xMode val="edge"/>
          <c:yMode val="edge"/>
          <c:x val="0.82391797900262298"/>
          <c:y val="0.23109762321376487"/>
          <c:w val="0.14830424321959754"/>
          <c:h val="0.32021216097987942"/>
        </c:manualLayout>
      </c:layout>
      <c:overlay val="0"/>
      <c:txPr>
        <a:bodyPr/>
        <a:lstStyle/>
        <a:p>
          <a:pPr>
            <a:defRPr>
              <a:latin typeface="Calibri" panose="020F0502020204030204" pitchFamily="34" charset="0"/>
              <a:ea typeface="Calibri" panose="020F0502020204030204" pitchFamily="34" charset="0"/>
              <a:cs typeface="Calibri" panose="020F0502020204030204" pitchFamily="34" charset="0"/>
            </a:defRPr>
          </a:pPr>
          <a:endParaRPr lang="ro-RO"/>
        </a:p>
      </c:txPr>
    </c:legend>
    <c:plotVisOnly val="1"/>
    <c:dispBlanksAs val="gap"/>
    <c:showDLblsOverMax val="0"/>
  </c:chart>
  <c:externalData r:id="rId2">
    <c:autoUpdate val="0"/>
  </c:externalData>
</c:chartSpace>
</file>

<file path=word/charts/chart9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7.1988407699037624E-2"/>
          <c:y val="0.13473388743073791"/>
          <c:w val="0.89745603674540686"/>
          <c:h val="0.64606882473024208"/>
        </c:manualLayout>
      </c:layout>
      <c:barChart>
        <c:barDir val="col"/>
        <c:grouping val="clustered"/>
        <c:varyColors val="0"/>
        <c:ser>
          <c:idx val="0"/>
          <c:order val="0"/>
          <c:invertIfNegative val="0"/>
          <c:dLbls>
            <c:dLbl>
              <c:idx val="0"/>
              <c:tx>
                <c:rich>
                  <a:bodyPr/>
                  <a:lstStyle/>
                  <a:p>
                    <a:fld id="{41733FC6-425E-4469-91CD-A8EAF3B77693}"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0-EB43-49C9-BF9E-308DD88B1BE0}"/>
                </c:ext>
              </c:extLst>
            </c:dLbl>
            <c:dLbl>
              <c:idx val="1"/>
              <c:tx>
                <c:rich>
                  <a:bodyPr/>
                  <a:lstStyle/>
                  <a:p>
                    <a:fld id="{A00DC441-E096-4643-82BE-F7CC46B09558}"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1-EB43-49C9-BF9E-308DD88B1BE0}"/>
                </c:ext>
              </c:extLst>
            </c:dLbl>
            <c:dLbl>
              <c:idx val="2"/>
              <c:tx>
                <c:rich>
                  <a:bodyPr/>
                  <a:lstStyle/>
                  <a:p>
                    <a:fld id="{1F833D3A-9B62-4071-9C6B-F8F9B221C801}"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2-EB43-49C9-BF9E-308DD88B1BE0}"/>
                </c:ext>
              </c:extLst>
            </c:dLbl>
            <c:dLbl>
              <c:idx val="3"/>
              <c:tx>
                <c:rich>
                  <a:bodyPr/>
                  <a:lstStyle/>
                  <a:p>
                    <a:fld id="{EC7A3C9A-0FE5-4525-B2B0-CE44333DA425}"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3-EB43-49C9-BF9E-308DD88B1BE0}"/>
                </c:ext>
              </c:extLst>
            </c:dLbl>
            <c:dLbl>
              <c:idx val="4"/>
              <c:tx>
                <c:rich>
                  <a:bodyPr/>
                  <a:lstStyle/>
                  <a:p>
                    <a:fld id="{02612536-78D4-4778-97FC-34745FD169B3}"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4-EB43-49C9-BF9E-308DD88B1BE0}"/>
                </c:ext>
              </c:extLst>
            </c:dLbl>
            <c:dLbl>
              <c:idx val="5"/>
              <c:tx>
                <c:rich>
                  <a:bodyPr/>
                  <a:lstStyle/>
                  <a:p>
                    <a:fld id="{6336193F-9720-459C-9542-D794525D6DDB}"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5-EB43-49C9-BF9E-308DD88B1BE0}"/>
                </c:ext>
              </c:extLst>
            </c:dLbl>
            <c:spPr>
              <a:noFill/>
              <a:ln>
                <a:noFill/>
              </a:ln>
              <a:effectLst/>
            </c:spPr>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0"/>
              </c:ext>
            </c:extLst>
          </c:dLbls>
          <c:cat>
            <c:strRef>
              <c:f>Fumat!$F$208:$K$208</c:f>
              <c:strCache>
                <c:ptCount val="6"/>
                <c:pt idx="0">
                  <c:v>mai puţin de o ţigară/zi</c:v>
                </c:pt>
                <c:pt idx="1">
                  <c:v>1 ţigară/zi</c:v>
                </c:pt>
                <c:pt idx="2">
                  <c:v>2-5 ţigări/zi</c:v>
                </c:pt>
                <c:pt idx="3">
                  <c:v>6-10 ţigări/zi</c:v>
                </c:pt>
                <c:pt idx="4">
                  <c:v>11-20 ţigări/zi</c:v>
                </c:pt>
                <c:pt idx="5">
                  <c:v>mai mult de 20 ţigări/zi</c:v>
                </c:pt>
              </c:strCache>
            </c:strRef>
          </c:cat>
          <c:val>
            <c:numRef>
              <c:f>Fumat!$F$209:$K$209</c:f>
              <c:numCache>
                <c:formatCode>General</c:formatCode>
                <c:ptCount val="6"/>
                <c:pt idx="0">
                  <c:v>18.399999999999999</c:v>
                </c:pt>
                <c:pt idx="1">
                  <c:v>10.3</c:v>
                </c:pt>
                <c:pt idx="2">
                  <c:v>27.7</c:v>
                </c:pt>
                <c:pt idx="3">
                  <c:v>21.5</c:v>
                </c:pt>
                <c:pt idx="4">
                  <c:v>16.3</c:v>
                </c:pt>
                <c:pt idx="5">
                  <c:v>5.7</c:v>
                </c:pt>
              </c:numCache>
            </c:numRef>
          </c:val>
          <c:extLst>
            <c:ext xmlns:c15="http://schemas.microsoft.com/office/drawing/2012/chart" uri="{02D57815-91ED-43cb-92C2-25804820EDAC}">
              <c15:datalabelsRange>
                <c15:f>Fumat!$F$210:$K$210</c15:f>
                <c15:dlblRangeCache>
                  <c:ptCount val="6"/>
                  <c:pt idx="0">
                    <c:v>18,4</c:v>
                  </c:pt>
                  <c:pt idx="1">
                    <c:v>10,3</c:v>
                  </c:pt>
                  <c:pt idx="2">
                    <c:v>27,7</c:v>
                  </c:pt>
                  <c:pt idx="3">
                    <c:v>21,5</c:v>
                  </c:pt>
                  <c:pt idx="4">
                    <c:v>16,3</c:v>
                  </c:pt>
                  <c:pt idx="5">
                    <c:v>5,7</c:v>
                  </c:pt>
                </c15:dlblRangeCache>
              </c15:datalabelsRange>
            </c:ext>
            <c:ext xmlns:c16="http://schemas.microsoft.com/office/drawing/2014/chart" uri="{C3380CC4-5D6E-409C-BE32-E72D297353CC}">
              <c16:uniqueId val="{00000006-EB43-49C9-BF9E-308DD88B1BE0}"/>
            </c:ext>
          </c:extLst>
        </c:ser>
        <c:dLbls>
          <c:showLegendKey val="0"/>
          <c:showVal val="0"/>
          <c:showCatName val="0"/>
          <c:showSerName val="0"/>
          <c:showPercent val="0"/>
          <c:showBubbleSize val="0"/>
        </c:dLbls>
        <c:gapWidth val="150"/>
        <c:axId val="55505664"/>
        <c:axId val="55507200"/>
      </c:barChart>
      <c:catAx>
        <c:axId val="55505664"/>
        <c:scaling>
          <c:orientation val="minMax"/>
        </c:scaling>
        <c:delete val="0"/>
        <c:axPos val="b"/>
        <c:numFmt formatCode="General" sourceLinked="0"/>
        <c:majorTickMark val="out"/>
        <c:minorTickMark val="none"/>
        <c:tickLblPos val="nextTo"/>
        <c:crossAx val="55507200"/>
        <c:crosses val="autoZero"/>
        <c:auto val="1"/>
        <c:lblAlgn val="ctr"/>
        <c:lblOffset val="100"/>
        <c:noMultiLvlLbl val="0"/>
      </c:catAx>
      <c:valAx>
        <c:axId val="55507200"/>
        <c:scaling>
          <c:orientation val="minMax"/>
        </c:scaling>
        <c:delete val="0"/>
        <c:axPos val="l"/>
        <c:majorGridlines/>
        <c:numFmt formatCode="General" sourceLinked="1"/>
        <c:majorTickMark val="out"/>
        <c:minorTickMark val="none"/>
        <c:tickLblPos val="nextTo"/>
        <c:crossAx val="55505664"/>
        <c:crosses val="autoZero"/>
        <c:crossBetween val="between"/>
      </c:valAx>
    </c:plotArea>
    <c:plotVisOnly val="1"/>
    <c:dispBlanksAs val="gap"/>
    <c:showDLblsOverMax val="0"/>
  </c:chart>
  <c:externalData r:id="rId2">
    <c:autoUpdate val="0"/>
  </c:externalData>
  <c:userShapes r:id="rId3"/>
</c:chartSpace>
</file>

<file path=word/charts/chart9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o-RO"/>
              <a:t>%</a:t>
            </a:r>
          </a:p>
        </c:rich>
      </c:tx>
      <c:overlay val="1"/>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o-RO"/>
        </a:p>
      </c:txPr>
    </c:title>
    <c:autoTitleDeleted val="0"/>
    <c:plotArea>
      <c:layout/>
      <c:barChart>
        <c:barDir val="col"/>
        <c:grouping val="clustered"/>
        <c:varyColors val="0"/>
        <c:ser>
          <c:idx val="0"/>
          <c:order val="0"/>
          <c:tx>
            <c:strRef>
              <c:f>Fumat!$T$227</c:f>
              <c:strCache>
                <c:ptCount val="1"/>
                <c:pt idx="0">
                  <c:v>fete</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Calibri" panose="020F0502020204030204" pitchFamily="34" charset="0"/>
                    <a:ea typeface="Calibri" panose="020F0502020204030204" pitchFamily="34" charset="0"/>
                    <a:cs typeface="Calibri" panose="020F0502020204030204" pitchFamily="34" charset="0"/>
                  </a:defRPr>
                </a:pPr>
                <a:endParaRPr lang="ro-R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Fumat!$U$226:$AA$226</c:f>
              <c:strCache>
                <c:ptCount val="6"/>
                <c:pt idx="0">
                  <c:v>mai puţin de o ţigară/zi</c:v>
                </c:pt>
                <c:pt idx="1">
                  <c:v>1 ţigară/zi</c:v>
                </c:pt>
                <c:pt idx="2">
                  <c:v>2-5 ţigări/zi</c:v>
                </c:pt>
                <c:pt idx="3">
                  <c:v>6-10 ţigări/zi</c:v>
                </c:pt>
                <c:pt idx="4">
                  <c:v>11-20 ţigări/zi</c:v>
                </c:pt>
                <c:pt idx="5">
                  <c:v>mai mult de 20 ţigări/zi</c:v>
                </c:pt>
              </c:strCache>
            </c:strRef>
          </c:cat>
          <c:val>
            <c:numRef>
              <c:f>Fumat!$U$227:$Z$227</c:f>
              <c:numCache>
                <c:formatCode>General</c:formatCode>
                <c:ptCount val="6"/>
                <c:pt idx="0">
                  <c:v>19.600000000000001</c:v>
                </c:pt>
                <c:pt idx="1">
                  <c:v>11.9</c:v>
                </c:pt>
                <c:pt idx="2">
                  <c:v>30.9</c:v>
                </c:pt>
                <c:pt idx="3">
                  <c:v>21</c:v>
                </c:pt>
                <c:pt idx="4">
                  <c:v>11.9</c:v>
                </c:pt>
                <c:pt idx="5">
                  <c:v>4.7</c:v>
                </c:pt>
              </c:numCache>
            </c:numRef>
          </c:val>
          <c:extLst>
            <c:ext xmlns:c16="http://schemas.microsoft.com/office/drawing/2014/chart" uri="{C3380CC4-5D6E-409C-BE32-E72D297353CC}">
              <c16:uniqueId val="{00000000-2313-4207-854D-DCAFFB4BBDA2}"/>
            </c:ext>
          </c:extLst>
        </c:ser>
        <c:ser>
          <c:idx val="1"/>
          <c:order val="1"/>
          <c:tx>
            <c:strRef>
              <c:f>Fumat!$T$228</c:f>
              <c:strCache>
                <c:ptCount val="1"/>
                <c:pt idx="0">
                  <c:v>băieți</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o-R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Fumat!$U$226:$AA$226</c:f>
              <c:strCache>
                <c:ptCount val="6"/>
                <c:pt idx="0">
                  <c:v>mai puţin de o ţigară/zi</c:v>
                </c:pt>
                <c:pt idx="1">
                  <c:v>1 ţigară/zi</c:v>
                </c:pt>
                <c:pt idx="2">
                  <c:v>2-5 ţigări/zi</c:v>
                </c:pt>
                <c:pt idx="3">
                  <c:v>6-10 ţigări/zi</c:v>
                </c:pt>
                <c:pt idx="4">
                  <c:v>11-20 ţigări/zi</c:v>
                </c:pt>
                <c:pt idx="5">
                  <c:v>mai mult de 20 ţigări/zi</c:v>
                </c:pt>
              </c:strCache>
            </c:strRef>
          </c:cat>
          <c:val>
            <c:numRef>
              <c:f>Fumat!$U$228:$Z$228</c:f>
              <c:numCache>
                <c:formatCode>General</c:formatCode>
                <c:ptCount val="6"/>
                <c:pt idx="0">
                  <c:v>16.8</c:v>
                </c:pt>
                <c:pt idx="1">
                  <c:v>8.4</c:v>
                </c:pt>
                <c:pt idx="2">
                  <c:v>23.9</c:v>
                </c:pt>
                <c:pt idx="3">
                  <c:v>22.4</c:v>
                </c:pt>
                <c:pt idx="4">
                  <c:v>21.8</c:v>
                </c:pt>
                <c:pt idx="5">
                  <c:v>6.7</c:v>
                </c:pt>
              </c:numCache>
            </c:numRef>
          </c:val>
          <c:extLst>
            <c:ext xmlns:c16="http://schemas.microsoft.com/office/drawing/2014/chart" uri="{C3380CC4-5D6E-409C-BE32-E72D297353CC}">
              <c16:uniqueId val="{00000001-2313-4207-854D-DCAFFB4BBDA2}"/>
            </c:ext>
          </c:extLst>
        </c:ser>
        <c:dLbls>
          <c:showLegendKey val="0"/>
          <c:showVal val="0"/>
          <c:showCatName val="0"/>
          <c:showSerName val="0"/>
          <c:showPercent val="0"/>
          <c:showBubbleSize val="0"/>
        </c:dLbls>
        <c:gapWidth val="219"/>
        <c:overlap val="-27"/>
        <c:axId val="794469279"/>
        <c:axId val="794470239"/>
      </c:barChart>
      <c:catAx>
        <c:axId val="79446927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Calibri" panose="020F0502020204030204" pitchFamily="34" charset="0"/>
                <a:ea typeface="Calibri" panose="020F0502020204030204" pitchFamily="34" charset="0"/>
                <a:cs typeface="Calibri" panose="020F0502020204030204" pitchFamily="34" charset="0"/>
              </a:defRPr>
            </a:pPr>
            <a:endParaRPr lang="ro-RO"/>
          </a:p>
        </c:txPr>
        <c:crossAx val="794470239"/>
        <c:crosses val="autoZero"/>
        <c:auto val="1"/>
        <c:lblAlgn val="ctr"/>
        <c:lblOffset val="100"/>
        <c:noMultiLvlLbl val="0"/>
      </c:catAx>
      <c:valAx>
        <c:axId val="79447023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o-RO"/>
          </a:p>
        </c:txPr>
        <c:crossAx val="794469279"/>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o-RO"/>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o-RO"/>
    </a:p>
  </c:txPr>
  <c:externalData r:id="rId4">
    <c:autoUpdate val="0"/>
  </c:externalData>
</c:chartSpace>
</file>

<file path=word/charts/chart9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percentStacked"/>
        <c:varyColors val="0"/>
        <c:ser>
          <c:idx val="0"/>
          <c:order val="0"/>
          <c:tx>
            <c:strRef>
              <c:f>Fumat!$B$368</c:f>
              <c:strCache>
                <c:ptCount val="1"/>
                <c:pt idx="0">
                  <c:v>mai puţin de o ţigară/zi</c:v>
                </c:pt>
              </c:strCache>
            </c:strRef>
          </c:tx>
          <c:invertIfNegative val="0"/>
          <c:dLbls>
            <c:dLbl>
              <c:idx val="0"/>
              <c:tx>
                <c:rich>
                  <a:bodyPr/>
                  <a:lstStyle/>
                  <a:p>
                    <a:fld id="{4C6F1E6E-6C2D-476A-9565-7B5D10AD4E6D}"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0-B901-4723-A6B4-DBC1497381A7}"/>
                </c:ext>
              </c:extLst>
            </c:dLbl>
            <c:dLbl>
              <c:idx val="1"/>
              <c:tx>
                <c:rich>
                  <a:bodyPr/>
                  <a:lstStyle/>
                  <a:p>
                    <a:fld id="{81022AB5-6BFF-4AAE-9EAA-254C34433C58}"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1-B901-4723-A6B4-DBC1497381A7}"/>
                </c:ext>
              </c:extLst>
            </c:dLbl>
            <c:dLbl>
              <c:idx val="2"/>
              <c:tx>
                <c:rich>
                  <a:bodyPr/>
                  <a:lstStyle/>
                  <a:p>
                    <a:fld id="{A2EF1943-3DBC-46D4-9934-6E4E6111134F}"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2-B901-4723-A6B4-DBC1497381A7}"/>
                </c:ext>
              </c:extLst>
            </c:dLbl>
            <c:dLbl>
              <c:idx val="3"/>
              <c:tx>
                <c:rich>
                  <a:bodyPr/>
                  <a:lstStyle/>
                  <a:p>
                    <a:fld id="{0FA6213B-8039-4712-B829-CE8FC3DF19DE}"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3-B901-4723-A6B4-DBC1497381A7}"/>
                </c:ext>
              </c:extLst>
            </c:dLbl>
            <c:dLbl>
              <c:idx val="4"/>
              <c:tx>
                <c:rich>
                  <a:bodyPr/>
                  <a:lstStyle/>
                  <a:p>
                    <a:fld id="{35821896-7766-4258-8527-3C47C70CCE2C}"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4-B901-4723-A6B4-DBC1497381A7}"/>
                </c:ext>
              </c:extLst>
            </c:dLbl>
            <c:dLbl>
              <c:idx val="5"/>
              <c:tx>
                <c:rich>
                  <a:bodyPr/>
                  <a:lstStyle/>
                  <a:p>
                    <a:fld id="{BDF2428B-D825-47E4-8FF5-6E121CC398D7}"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5-B901-4723-A6B4-DBC1497381A7}"/>
                </c:ext>
              </c:extLst>
            </c:dLbl>
            <c:spPr>
              <a:noFill/>
              <a:ln>
                <a:noFill/>
              </a:ln>
              <a:effectLst/>
            </c:spPr>
            <c:txPr>
              <a:bodyPr wrap="square" lIns="38100" tIns="19050" rIns="38100" bIns="19050" anchor="ctr">
                <a:spAutoFit/>
              </a:bodyPr>
              <a:lstStyle/>
              <a:p>
                <a:pPr>
                  <a:defRPr b="1">
                    <a:solidFill>
                      <a:schemeClr val="bg1">
                        <a:lumMod val="65000"/>
                      </a:schemeClr>
                    </a:solidFill>
                  </a:defRPr>
                </a:pPr>
                <a:endParaRPr lang="en-US"/>
              </a:p>
            </c:txPr>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0"/>
              </c:ext>
            </c:extLst>
          </c:dLbls>
          <c:cat>
            <c:strRef>
              <c:f>Fumat!$C$367:$H$367</c:f>
              <c:strCache>
                <c:ptCount val="6"/>
                <c:pt idx="0">
                  <c:v>1-2 zile</c:v>
                </c:pt>
                <c:pt idx="1">
                  <c:v>3-5 zile</c:v>
                </c:pt>
                <c:pt idx="2">
                  <c:v>6-9 zile</c:v>
                </c:pt>
                <c:pt idx="3">
                  <c:v>10-19 zile</c:v>
                </c:pt>
                <c:pt idx="4">
                  <c:v>20-29 zile</c:v>
                </c:pt>
                <c:pt idx="5">
                  <c:v>30 zile</c:v>
                </c:pt>
              </c:strCache>
            </c:strRef>
          </c:cat>
          <c:val>
            <c:numRef>
              <c:f>Fumat!$C$368:$H$368</c:f>
              <c:numCache>
                <c:formatCode>General</c:formatCode>
                <c:ptCount val="6"/>
                <c:pt idx="0">
                  <c:v>70.3</c:v>
                </c:pt>
                <c:pt idx="1">
                  <c:v>40</c:v>
                </c:pt>
                <c:pt idx="2">
                  <c:v>24.3</c:v>
                </c:pt>
                <c:pt idx="3">
                  <c:v>11.6</c:v>
                </c:pt>
                <c:pt idx="4">
                  <c:v>3.8</c:v>
                </c:pt>
                <c:pt idx="5">
                  <c:v>1.1000000000000001</c:v>
                </c:pt>
              </c:numCache>
            </c:numRef>
          </c:val>
          <c:extLst>
            <c:ext xmlns:c15="http://schemas.microsoft.com/office/drawing/2012/chart" uri="{02D57815-91ED-43cb-92C2-25804820EDAC}">
              <c15:datalabelsRange>
                <c15:f>Fumat!$J$368:$O$368</c15:f>
                <c15:dlblRangeCache>
                  <c:ptCount val="6"/>
                  <c:pt idx="0">
                    <c:v>70,3</c:v>
                  </c:pt>
                  <c:pt idx="1">
                    <c:v>40</c:v>
                  </c:pt>
                  <c:pt idx="2">
                    <c:v>24,3</c:v>
                  </c:pt>
                  <c:pt idx="3">
                    <c:v>11,6</c:v>
                  </c:pt>
                  <c:pt idx="4">
                    <c:v>3,8</c:v>
                  </c:pt>
                  <c:pt idx="5">
                    <c:v>1,1</c:v>
                  </c:pt>
                </c15:dlblRangeCache>
              </c15:datalabelsRange>
            </c:ext>
            <c:ext xmlns:c16="http://schemas.microsoft.com/office/drawing/2014/chart" uri="{C3380CC4-5D6E-409C-BE32-E72D297353CC}">
              <c16:uniqueId val="{00000006-B901-4723-A6B4-DBC1497381A7}"/>
            </c:ext>
          </c:extLst>
        </c:ser>
        <c:ser>
          <c:idx val="1"/>
          <c:order val="1"/>
          <c:tx>
            <c:strRef>
              <c:f>Fumat!$B$369</c:f>
              <c:strCache>
                <c:ptCount val="1"/>
                <c:pt idx="0">
                  <c:v>1 ţigară/zi</c:v>
                </c:pt>
              </c:strCache>
            </c:strRef>
          </c:tx>
          <c:invertIfNegative val="0"/>
          <c:dLbls>
            <c:dLbl>
              <c:idx val="0"/>
              <c:tx>
                <c:rich>
                  <a:bodyPr/>
                  <a:lstStyle/>
                  <a:p>
                    <a:fld id="{AEAF6451-D151-46B1-8CA7-DCFA0DDBBA43}"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7-B901-4723-A6B4-DBC1497381A7}"/>
                </c:ext>
              </c:extLst>
            </c:dLbl>
            <c:dLbl>
              <c:idx val="1"/>
              <c:tx>
                <c:rich>
                  <a:bodyPr/>
                  <a:lstStyle/>
                  <a:p>
                    <a:fld id="{F42E15D8-6751-4CD2-8944-6BA5E0410C65}"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8-B901-4723-A6B4-DBC1497381A7}"/>
                </c:ext>
              </c:extLst>
            </c:dLbl>
            <c:dLbl>
              <c:idx val="2"/>
              <c:tx>
                <c:rich>
                  <a:bodyPr/>
                  <a:lstStyle/>
                  <a:p>
                    <a:fld id="{DD79F42C-173C-434B-9276-AEEE79E53E24}"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9-B901-4723-A6B4-DBC1497381A7}"/>
                </c:ext>
              </c:extLst>
            </c:dLbl>
            <c:dLbl>
              <c:idx val="3"/>
              <c:tx>
                <c:rich>
                  <a:bodyPr/>
                  <a:lstStyle/>
                  <a:p>
                    <a:fld id="{488C88C5-7A3D-40A1-9C38-195752828D1A}"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A-B901-4723-A6B4-DBC1497381A7}"/>
                </c:ext>
              </c:extLst>
            </c:dLbl>
            <c:dLbl>
              <c:idx val="4"/>
              <c:tx>
                <c:rich>
                  <a:bodyPr/>
                  <a:lstStyle/>
                  <a:p>
                    <a:fld id="{0A1522E6-085F-4306-B927-FE3DC02FD811}"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B-B901-4723-A6B4-DBC1497381A7}"/>
                </c:ext>
              </c:extLst>
            </c:dLbl>
            <c:dLbl>
              <c:idx val="5"/>
              <c:tx>
                <c:rich>
                  <a:bodyPr/>
                  <a:lstStyle/>
                  <a:p>
                    <a:fld id="{EE5FFC61-80F6-4568-A15B-4794D8F4A53F}"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C-B901-4723-A6B4-DBC1497381A7}"/>
                </c:ext>
              </c:extLst>
            </c:dLbl>
            <c:spPr>
              <a:noFill/>
              <a:ln>
                <a:noFill/>
              </a:ln>
              <a:effectLst/>
            </c:spPr>
            <c:txPr>
              <a:bodyPr wrap="square" lIns="38100" tIns="19050" rIns="38100" bIns="19050" anchor="ctr">
                <a:spAutoFit/>
              </a:bodyPr>
              <a:lstStyle/>
              <a:p>
                <a:pPr>
                  <a:defRPr b="1"/>
                </a:pPr>
                <a:endParaRPr lang="ro-RO"/>
              </a:p>
            </c:txPr>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0"/>
              </c:ext>
            </c:extLst>
          </c:dLbls>
          <c:cat>
            <c:strRef>
              <c:f>Fumat!$C$367:$H$367</c:f>
              <c:strCache>
                <c:ptCount val="6"/>
                <c:pt idx="0">
                  <c:v>1-2 zile</c:v>
                </c:pt>
                <c:pt idx="1">
                  <c:v>3-5 zile</c:v>
                </c:pt>
                <c:pt idx="2">
                  <c:v>6-9 zile</c:v>
                </c:pt>
                <c:pt idx="3">
                  <c:v>10-19 zile</c:v>
                </c:pt>
                <c:pt idx="4">
                  <c:v>20-29 zile</c:v>
                </c:pt>
                <c:pt idx="5">
                  <c:v>30 zile</c:v>
                </c:pt>
              </c:strCache>
            </c:strRef>
          </c:cat>
          <c:val>
            <c:numRef>
              <c:f>Fumat!$C$369:$H$369</c:f>
              <c:numCache>
                <c:formatCode>General</c:formatCode>
                <c:ptCount val="6"/>
                <c:pt idx="0">
                  <c:v>20.2</c:v>
                </c:pt>
                <c:pt idx="1">
                  <c:v>26.7</c:v>
                </c:pt>
                <c:pt idx="2">
                  <c:v>25.8</c:v>
                </c:pt>
                <c:pt idx="3">
                  <c:v>18.5</c:v>
                </c:pt>
                <c:pt idx="4">
                  <c:v>6.8</c:v>
                </c:pt>
                <c:pt idx="5">
                  <c:v>1.5</c:v>
                </c:pt>
              </c:numCache>
            </c:numRef>
          </c:val>
          <c:extLst>
            <c:ext xmlns:c15="http://schemas.microsoft.com/office/drawing/2012/chart" uri="{02D57815-91ED-43cb-92C2-25804820EDAC}">
              <c15:datalabelsRange>
                <c15:f>Fumat!$J$369:$O$369</c15:f>
                <c15:dlblRangeCache>
                  <c:ptCount val="6"/>
                  <c:pt idx="0">
                    <c:v>20,2</c:v>
                  </c:pt>
                  <c:pt idx="1">
                    <c:v>26,7</c:v>
                  </c:pt>
                  <c:pt idx="2">
                    <c:v>25,8</c:v>
                  </c:pt>
                  <c:pt idx="3">
                    <c:v>18,5</c:v>
                  </c:pt>
                  <c:pt idx="4">
                    <c:v>6,8</c:v>
                  </c:pt>
                  <c:pt idx="5">
                    <c:v>1,5</c:v>
                  </c:pt>
                </c15:dlblRangeCache>
              </c15:datalabelsRange>
            </c:ext>
            <c:ext xmlns:c16="http://schemas.microsoft.com/office/drawing/2014/chart" uri="{C3380CC4-5D6E-409C-BE32-E72D297353CC}">
              <c16:uniqueId val="{0000000D-B901-4723-A6B4-DBC1497381A7}"/>
            </c:ext>
          </c:extLst>
        </c:ser>
        <c:ser>
          <c:idx val="2"/>
          <c:order val="2"/>
          <c:tx>
            <c:strRef>
              <c:f>Fumat!$B$370</c:f>
              <c:strCache>
                <c:ptCount val="1"/>
                <c:pt idx="0">
                  <c:v>2-5 ţigări/zi</c:v>
                </c:pt>
              </c:strCache>
            </c:strRef>
          </c:tx>
          <c:invertIfNegative val="0"/>
          <c:dLbls>
            <c:dLbl>
              <c:idx val="0"/>
              <c:tx>
                <c:rich>
                  <a:bodyPr/>
                  <a:lstStyle/>
                  <a:p>
                    <a:fld id="{09F18C14-B385-4880-B98B-A966389846B4}"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E-B901-4723-A6B4-DBC1497381A7}"/>
                </c:ext>
              </c:extLst>
            </c:dLbl>
            <c:dLbl>
              <c:idx val="1"/>
              <c:tx>
                <c:rich>
                  <a:bodyPr/>
                  <a:lstStyle/>
                  <a:p>
                    <a:fld id="{3C52C213-41D9-40E1-B101-D844B0888D50}"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F-B901-4723-A6B4-DBC1497381A7}"/>
                </c:ext>
              </c:extLst>
            </c:dLbl>
            <c:dLbl>
              <c:idx val="2"/>
              <c:tx>
                <c:rich>
                  <a:bodyPr/>
                  <a:lstStyle/>
                  <a:p>
                    <a:fld id="{A1605EAB-FE08-46DA-9E9B-ED942B32D6C5}"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0-B901-4723-A6B4-DBC1497381A7}"/>
                </c:ext>
              </c:extLst>
            </c:dLbl>
            <c:dLbl>
              <c:idx val="3"/>
              <c:tx>
                <c:rich>
                  <a:bodyPr/>
                  <a:lstStyle/>
                  <a:p>
                    <a:fld id="{CF1C7A82-8DAC-4DB5-A381-E813DA764887}"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1-B901-4723-A6B4-DBC1497381A7}"/>
                </c:ext>
              </c:extLst>
            </c:dLbl>
            <c:dLbl>
              <c:idx val="4"/>
              <c:tx>
                <c:rich>
                  <a:bodyPr/>
                  <a:lstStyle/>
                  <a:p>
                    <a:fld id="{585341E1-76EB-4363-A881-02E170860B77}"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2-B901-4723-A6B4-DBC1497381A7}"/>
                </c:ext>
              </c:extLst>
            </c:dLbl>
            <c:dLbl>
              <c:idx val="5"/>
              <c:tx>
                <c:rich>
                  <a:bodyPr/>
                  <a:lstStyle/>
                  <a:p>
                    <a:fld id="{2D62FB3F-0785-4C9C-8756-A5B0C0D7740B}"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3-B901-4723-A6B4-DBC1497381A7}"/>
                </c:ext>
              </c:extLst>
            </c:dLbl>
            <c:spPr>
              <a:noFill/>
              <a:ln>
                <a:noFill/>
              </a:ln>
              <a:effectLst/>
            </c:spPr>
            <c:txPr>
              <a:bodyPr wrap="square" lIns="38100" tIns="19050" rIns="38100" bIns="19050" anchor="ctr">
                <a:spAutoFit/>
              </a:bodyPr>
              <a:lstStyle/>
              <a:p>
                <a:pPr>
                  <a:defRPr b="1"/>
                </a:pPr>
                <a:endParaRPr lang="ro-RO"/>
              </a:p>
            </c:txPr>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0"/>
              </c:ext>
            </c:extLst>
          </c:dLbls>
          <c:cat>
            <c:strRef>
              <c:f>Fumat!$C$367:$H$367</c:f>
              <c:strCache>
                <c:ptCount val="6"/>
                <c:pt idx="0">
                  <c:v>1-2 zile</c:v>
                </c:pt>
                <c:pt idx="1">
                  <c:v>3-5 zile</c:v>
                </c:pt>
                <c:pt idx="2">
                  <c:v>6-9 zile</c:v>
                </c:pt>
                <c:pt idx="3">
                  <c:v>10-19 zile</c:v>
                </c:pt>
                <c:pt idx="4">
                  <c:v>20-29 zile</c:v>
                </c:pt>
                <c:pt idx="5">
                  <c:v>30 zile</c:v>
                </c:pt>
              </c:strCache>
            </c:strRef>
          </c:cat>
          <c:val>
            <c:numRef>
              <c:f>Fumat!$C$370:$H$370</c:f>
              <c:numCache>
                <c:formatCode>General</c:formatCode>
                <c:ptCount val="6"/>
                <c:pt idx="0">
                  <c:v>7.8</c:v>
                </c:pt>
                <c:pt idx="1">
                  <c:v>27.1</c:v>
                </c:pt>
                <c:pt idx="2">
                  <c:v>38</c:v>
                </c:pt>
                <c:pt idx="3">
                  <c:v>51.2</c:v>
                </c:pt>
                <c:pt idx="4">
                  <c:v>48.6</c:v>
                </c:pt>
                <c:pt idx="5">
                  <c:v>24</c:v>
                </c:pt>
              </c:numCache>
            </c:numRef>
          </c:val>
          <c:extLst>
            <c:ext xmlns:c15="http://schemas.microsoft.com/office/drawing/2012/chart" uri="{02D57815-91ED-43cb-92C2-25804820EDAC}">
              <c15:datalabelsRange>
                <c15:f>Fumat!$J$370:$O$370</c15:f>
                <c15:dlblRangeCache>
                  <c:ptCount val="6"/>
                  <c:pt idx="0">
                    <c:v>7,8</c:v>
                  </c:pt>
                  <c:pt idx="1">
                    <c:v>27,1</c:v>
                  </c:pt>
                  <c:pt idx="2">
                    <c:v>38</c:v>
                  </c:pt>
                  <c:pt idx="3">
                    <c:v>51,2</c:v>
                  </c:pt>
                  <c:pt idx="4">
                    <c:v>48,6</c:v>
                  </c:pt>
                  <c:pt idx="5">
                    <c:v>24</c:v>
                  </c:pt>
                </c15:dlblRangeCache>
              </c15:datalabelsRange>
            </c:ext>
            <c:ext xmlns:c16="http://schemas.microsoft.com/office/drawing/2014/chart" uri="{C3380CC4-5D6E-409C-BE32-E72D297353CC}">
              <c16:uniqueId val="{00000014-B901-4723-A6B4-DBC1497381A7}"/>
            </c:ext>
          </c:extLst>
        </c:ser>
        <c:ser>
          <c:idx val="3"/>
          <c:order val="3"/>
          <c:tx>
            <c:strRef>
              <c:f>Fumat!$B$371</c:f>
              <c:strCache>
                <c:ptCount val="1"/>
                <c:pt idx="0">
                  <c:v>6-10 ţigări/zi</c:v>
                </c:pt>
              </c:strCache>
            </c:strRef>
          </c:tx>
          <c:invertIfNegative val="0"/>
          <c:dLbls>
            <c:dLbl>
              <c:idx val="0"/>
              <c:tx>
                <c:rich>
                  <a:bodyPr/>
                  <a:lstStyle/>
                  <a:p>
                    <a:fld id="{E6C2AD10-E382-4D77-8D68-9586827B9B85}"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5-B901-4723-A6B4-DBC1497381A7}"/>
                </c:ext>
              </c:extLst>
            </c:dLbl>
            <c:dLbl>
              <c:idx val="1"/>
              <c:tx>
                <c:rich>
                  <a:bodyPr/>
                  <a:lstStyle/>
                  <a:p>
                    <a:fld id="{72B152D8-5521-40DE-8C1F-DE25F9D54364}"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6-B901-4723-A6B4-DBC1497381A7}"/>
                </c:ext>
              </c:extLst>
            </c:dLbl>
            <c:dLbl>
              <c:idx val="2"/>
              <c:tx>
                <c:rich>
                  <a:bodyPr/>
                  <a:lstStyle/>
                  <a:p>
                    <a:fld id="{DDBBCF9D-09E9-48DC-B1CC-BBB96499D314}"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7-B901-4723-A6B4-DBC1497381A7}"/>
                </c:ext>
              </c:extLst>
            </c:dLbl>
            <c:dLbl>
              <c:idx val="3"/>
              <c:tx>
                <c:rich>
                  <a:bodyPr/>
                  <a:lstStyle/>
                  <a:p>
                    <a:fld id="{C1D329AC-68D9-421F-A352-EA563E994FCC}"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8-B901-4723-A6B4-DBC1497381A7}"/>
                </c:ext>
              </c:extLst>
            </c:dLbl>
            <c:dLbl>
              <c:idx val="4"/>
              <c:tx>
                <c:rich>
                  <a:bodyPr/>
                  <a:lstStyle/>
                  <a:p>
                    <a:fld id="{D82DDF49-0300-4EFD-B568-81E355920BFD}"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9-B901-4723-A6B4-DBC1497381A7}"/>
                </c:ext>
              </c:extLst>
            </c:dLbl>
            <c:dLbl>
              <c:idx val="5"/>
              <c:tx>
                <c:rich>
                  <a:bodyPr/>
                  <a:lstStyle/>
                  <a:p>
                    <a:fld id="{A5E840C6-12B6-4C51-A778-594EDB066EE5}"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A-B901-4723-A6B4-DBC1497381A7}"/>
                </c:ext>
              </c:extLst>
            </c:dLbl>
            <c:spPr>
              <a:noFill/>
              <a:ln>
                <a:noFill/>
              </a:ln>
              <a:effectLst/>
            </c:spPr>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0"/>
              </c:ext>
            </c:extLst>
          </c:dLbls>
          <c:cat>
            <c:strRef>
              <c:f>Fumat!$C$367:$H$367</c:f>
              <c:strCache>
                <c:ptCount val="6"/>
                <c:pt idx="0">
                  <c:v>1-2 zile</c:v>
                </c:pt>
                <c:pt idx="1">
                  <c:v>3-5 zile</c:v>
                </c:pt>
                <c:pt idx="2">
                  <c:v>6-9 zile</c:v>
                </c:pt>
                <c:pt idx="3">
                  <c:v>10-19 zile</c:v>
                </c:pt>
                <c:pt idx="4">
                  <c:v>20-29 zile</c:v>
                </c:pt>
                <c:pt idx="5">
                  <c:v>30 zile</c:v>
                </c:pt>
              </c:strCache>
            </c:strRef>
          </c:cat>
          <c:val>
            <c:numRef>
              <c:f>Fumat!$C$371:$H$371</c:f>
              <c:numCache>
                <c:formatCode>General</c:formatCode>
                <c:ptCount val="6"/>
                <c:pt idx="0">
                  <c:v>1.3</c:v>
                </c:pt>
                <c:pt idx="1">
                  <c:v>4.8</c:v>
                </c:pt>
                <c:pt idx="2">
                  <c:v>9.5</c:v>
                </c:pt>
                <c:pt idx="3">
                  <c:v>11.8</c:v>
                </c:pt>
                <c:pt idx="4">
                  <c:v>28.2</c:v>
                </c:pt>
                <c:pt idx="5">
                  <c:v>33.1</c:v>
                </c:pt>
              </c:numCache>
            </c:numRef>
          </c:val>
          <c:extLst>
            <c:ext xmlns:c15="http://schemas.microsoft.com/office/drawing/2012/chart" uri="{02D57815-91ED-43cb-92C2-25804820EDAC}">
              <c15:datalabelsRange>
                <c15:f>Fumat!$J$371:$O$371</c15:f>
                <c15:dlblRangeCache>
                  <c:ptCount val="6"/>
                  <c:pt idx="0">
                    <c:v>1,3</c:v>
                  </c:pt>
                  <c:pt idx="1">
                    <c:v>4,8</c:v>
                  </c:pt>
                  <c:pt idx="2">
                    <c:v>9,5</c:v>
                  </c:pt>
                  <c:pt idx="3">
                    <c:v>11,8</c:v>
                  </c:pt>
                  <c:pt idx="4">
                    <c:v>28,2</c:v>
                  </c:pt>
                  <c:pt idx="5">
                    <c:v>33,1</c:v>
                  </c:pt>
                </c15:dlblRangeCache>
              </c15:datalabelsRange>
            </c:ext>
            <c:ext xmlns:c16="http://schemas.microsoft.com/office/drawing/2014/chart" uri="{C3380CC4-5D6E-409C-BE32-E72D297353CC}">
              <c16:uniqueId val="{0000001B-B901-4723-A6B4-DBC1497381A7}"/>
            </c:ext>
          </c:extLst>
        </c:ser>
        <c:ser>
          <c:idx val="4"/>
          <c:order val="4"/>
          <c:tx>
            <c:strRef>
              <c:f>Fumat!$B$372</c:f>
              <c:strCache>
                <c:ptCount val="1"/>
                <c:pt idx="0">
                  <c:v>11-20 ţigări/zi</c:v>
                </c:pt>
              </c:strCache>
            </c:strRef>
          </c:tx>
          <c:invertIfNegative val="0"/>
          <c:dLbls>
            <c:dLbl>
              <c:idx val="0"/>
              <c:layout>
                <c:manualLayout>
                  <c:x val="-2.0254396152542648E-17"/>
                  <c:y val="-1.4563106796116505E-2"/>
                </c:manualLayout>
              </c:layout>
              <c:tx>
                <c:rich>
                  <a:bodyPr/>
                  <a:lstStyle/>
                  <a:p>
                    <a:fld id="{6660FE52-8052-432B-97E1-E8C5467EB7B5}"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1C-B901-4723-A6B4-DBC1497381A7}"/>
                </c:ext>
              </c:extLst>
            </c:dLbl>
            <c:dLbl>
              <c:idx val="1"/>
              <c:tx>
                <c:rich>
                  <a:bodyPr/>
                  <a:lstStyle/>
                  <a:p>
                    <a:fld id="{1CF4F20B-F82C-4FDD-AE93-3E6CE3B79078}"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D-B901-4723-A6B4-DBC1497381A7}"/>
                </c:ext>
              </c:extLst>
            </c:dLbl>
            <c:dLbl>
              <c:idx val="2"/>
              <c:tx>
                <c:rich>
                  <a:bodyPr/>
                  <a:lstStyle/>
                  <a:p>
                    <a:fld id="{F25DABFB-0AC7-4439-9C0D-0B878D3FA8EF}"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E-B901-4723-A6B4-DBC1497381A7}"/>
                </c:ext>
              </c:extLst>
            </c:dLbl>
            <c:dLbl>
              <c:idx val="3"/>
              <c:tx>
                <c:rich>
                  <a:bodyPr/>
                  <a:lstStyle/>
                  <a:p>
                    <a:fld id="{FC01C424-C90D-42BA-B8F3-AD08D7D15EFC}"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F-B901-4723-A6B4-DBC1497381A7}"/>
                </c:ext>
              </c:extLst>
            </c:dLbl>
            <c:dLbl>
              <c:idx val="4"/>
              <c:tx>
                <c:rich>
                  <a:bodyPr/>
                  <a:lstStyle/>
                  <a:p>
                    <a:fld id="{31398321-6CA9-4339-9766-5B3F30C860E0}"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20-B901-4723-A6B4-DBC1497381A7}"/>
                </c:ext>
              </c:extLst>
            </c:dLbl>
            <c:dLbl>
              <c:idx val="5"/>
              <c:tx>
                <c:rich>
                  <a:bodyPr/>
                  <a:lstStyle/>
                  <a:p>
                    <a:fld id="{7A1FC700-7513-4D4D-B868-88E0737FCAAA}"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21-B901-4723-A6B4-DBC1497381A7}"/>
                </c:ext>
              </c:extLst>
            </c:dLbl>
            <c:spPr>
              <a:noFill/>
              <a:ln>
                <a:noFill/>
              </a:ln>
              <a:effectLst/>
            </c:spPr>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0"/>
              </c:ext>
            </c:extLst>
          </c:dLbls>
          <c:cat>
            <c:strRef>
              <c:f>Fumat!$C$367:$H$367</c:f>
              <c:strCache>
                <c:ptCount val="6"/>
                <c:pt idx="0">
                  <c:v>1-2 zile</c:v>
                </c:pt>
                <c:pt idx="1">
                  <c:v>3-5 zile</c:v>
                </c:pt>
                <c:pt idx="2">
                  <c:v>6-9 zile</c:v>
                </c:pt>
                <c:pt idx="3">
                  <c:v>10-19 zile</c:v>
                </c:pt>
                <c:pt idx="4">
                  <c:v>20-29 zile</c:v>
                </c:pt>
                <c:pt idx="5">
                  <c:v>30 zile</c:v>
                </c:pt>
              </c:strCache>
            </c:strRef>
          </c:cat>
          <c:val>
            <c:numRef>
              <c:f>Fumat!$C$372:$H$372</c:f>
              <c:numCache>
                <c:formatCode>General</c:formatCode>
                <c:ptCount val="6"/>
                <c:pt idx="0">
                  <c:v>0.3</c:v>
                </c:pt>
                <c:pt idx="1">
                  <c:v>0.8</c:v>
                </c:pt>
                <c:pt idx="2">
                  <c:v>1.8</c:v>
                </c:pt>
                <c:pt idx="3">
                  <c:v>5.3</c:v>
                </c:pt>
                <c:pt idx="4">
                  <c:v>10.7</c:v>
                </c:pt>
                <c:pt idx="5">
                  <c:v>29.6</c:v>
                </c:pt>
              </c:numCache>
            </c:numRef>
          </c:val>
          <c:extLst>
            <c:ext xmlns:c15="http://schemas.microsoft.com/office/drawing/2012/chart" uri="{02D57815-91ED-43cb-92C2-25804820EDAC}">
              <c15:datalabelsRange>
                <c15:f>Fumat!$J$372:$O$372</c15:f>
                <c15:dlblRangeCache>
                  <c:ptCount val="6"/>
                  <c:pt idx="0">
                    <c:v>0,3</c:v>
                  </c:pt>
                  <c:pt idx="1">
                    <c:v>0,8</c:v>
                  </c:pt>
                  <c:pt idx="2">
                    <c:v>1,8</c:v>
                  </c:pt>
                  <c:pt idx="3">
                    <c:v>5,3</c:v>
                  </c:pt>
                  <c:pt idx="4">
                    <c:v>10,7</c:v>
                  </c:pt>
                  <c:pt idx="5">
                    <c:v>29,6</c:v>
                  </c:pt>
                </c15:dlblRangeCache>
              </c15:datalabelsRange>
            </c:ext>
            <c:ext xmlns:c16="http://schemas.microsoft.com/office/drawing/2014/chart" uri="{C3380CC4-5D6E-409C-BE32-E72D297353CC}">
              <c16:uniqueId val="{00000022-B901-4723-A6B4-DBC1497381A7}"/>
            </c:ext>
          </c:extLst>
        </c:ser>
        <c:ser>
          <c:idx val="5"/>
          <c:order val="5"/>
          <c:tx>
            <c:strRef>
              <c:f>Fumat!$B$373</c:f>
              <c:strCache>
                <c:ptCount val="1"/>
                <c:pt idx="0">
                  <c:v>mai mult de 20 ţigări/zi</c:v>
                </c:pt>
              </c:strCache>
            </c:strRef>
          </c:tx>
          <c:invertIfNegative val="0"/>
          <c:dLbls>
            <c:dLbl>
              <c:idx val="0"/>
              <c:layout>
                <c:manualLayout>
                  <c:x val="2.209596014515132E-3"/>
                  <c:y val="-1.4563106796116505E-2"/>
                </c:manualLayout>
              </c:layout>
              <c:tx>
                <c:rich>
                  <a:bodyPr/>
                  <a:lstStyle/>
                  <a:p>
                    <a:fld id="{84CAA927-5FE7-4C77-A9BF-DE5C9C4AA5E5}"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23-B901-4723-A6B4-DBC1497381A7}"/>
                </c:ext>
              </c:extLst>
            </c:dLbl>
            <c:dLbl>
              <c:idx val="1"/>
              <c:tx>
                <c:rich>
                  <a:bodyPr wrap="square" lIns="38100" tIns="19050" rIns="38100" bIns="19050" anchor="ctr">
                    <a:noAutofit/>
                  </a:bodyPr>
                  <a:lstStyle/>
                  <a:p>
                    <a:pPr>
                      <a:defRPr/>
                    </a:pPr>
                    <a:fld id="{96FE9BCC-ACA6-4711-A381-C503884192BE}" type="CELLRANGE">
                      <a:rPr lang="en-US"/>
                      <a:pPr>
                        <a:defRPr/>
                      </a:pPr>
                      <a:t>[CELLRANGE]</a:t>
                    </a:fld>
                    <a:endParaRPr lang="en-US"/>
                  </a:p>
                </c:rich>
              </c:tx>
              <c:spPr>
                <a:noFill/>
                <a:ln>
                  <a:noFill/>
                </a:ln>
                <a:effectLst/>
              </c:spPr>
              <c:showLegendKey val="0"/>
              <c:showVal val="0"/>
              <c:showCatName val="0"/>
              <c:showSerName val="0"/>
              <c:showPercent val="0"/>
              <c:showBubbleSize val="0"/>
              <c:extLst>
                <c:ext xmlns:c15="http://schemas.microsoft.com/office/drawing/2012/chart" uri="{CE6537A1-D6FC-4f65-9D91-7224C49458BB}">
                  <c15:layout>
                    <c:manualLayout>
                      <c:w val="4.1175908722458562E-2"/>
                      <c:h val="9.3228346456692923E-2"/>
                    </c:manualLayout>
                  </c15:layout>
                  <c15:dlblFieldTable/>
                  <c15:showDataLabelsRange val="1"/>
                </c:ext>
                <c:ext xmlns:c16="http://schemas.microsoft.com/office/drawing/2014/chart" uri="{C3380CC4-5D6E-409C-BE32-E72D297353CC}">
                  <c16:uniqueId val="{00000024-B901-4723-A6B4-DBC1497381A7}"/>
                </c:ext>
              </c:extLst>
            </c:dLbl>
            <c:dLbl>
              <c:idx val="2"/>
              <c:layout>
                <c:manualLayout>
                  <c:x val="-2.2095960145151724E-3"/>
                  <c:y val="-1.9417475728155338E-2"/>
                </c:manualLayout>
              </c:layout>
              <c:tx>
                <c:rich>
                  <a:bodyPr/>
                  <a:lstStyle/>
                  <a:p>
                    <a:fld id="{A6928743-BF12-4A9C-8B71-25062ED07705}"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25-B901-4723-A6B4-DBC1497381A7}"/>
                </c:ext>
              </c:extLst>
            </c:dLbl>
            <c:dLbl>
              <c:idx val="3"/>
              <c:layout>
                <c:manualLayout>
                  <c:x val="-4.4191920290303447E-3"/>
                  <c:y val="-1.9417475728155342E-2"/>
                </c:manualLayout>
              </c:layout>
              <c:tx>
                <c:rich>
                  <a:bodyPr/>
                  <a:lstStyle/>
                  <a:p>
                    <a:fld id="{31EFB409-BD09-4893-A6C6-1A24A12237AB}"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26-B901-4723-A6B4-DBC1497381A7}"/>
                </c:ext>
              </c:extLst>
            </c:dLbl>
            <c:dLbl>
              <c:idx val="4"/>
              <c:layout>
                <c:manualLayout>
                  <c:x val="-6.6287880435454772E-3"/>
                  <c:y val="-2.4271844660194178E-2"/>
                </c:manualLayout>
              </c:layout>
              <c:tx>
                <c:rich>
                  <a:bodyPr/>
                  <a:lstStyle/>
                  <a:p>
                    <a:fld id="{FD8064B0-B3F2-498C-91E2-3DBC236FA691}"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27-B901-4723-A6B4-DBC1497381A7}"/>
                </c:ext>
              </c:extLst>
            </c:dLbl>
            <c:dLbl>
              <c:idx val="5"/>
              <c:tx>
                <c:rich>
                  <a:bodyPr wrap="square" lIns="38100" tIns="19050" rIns="38100" bIns="19050" anchor="ctr">
                    <a:noAutofit/>
                  </a:bodyPr>
                  <a:lstStyle/>
                  <a:p>
                    <a:pPr>
                      <a:defRPr/>
                    </a:pPr>
                    <a:fld id="{1667B3C3-CB87-4351-94B5-2E912CC77307}" type="CELLRANGE">
                      <a:rPr lang="en-US"/>
                      <a:pPr>
                        <a:defRPr/>
                      </a:pPr>
                      <a:t>[CELLRANGE]</a:t>
                    </a:fld>
                    <a:endParaRPr lang="en-US"/>
                  </a:p>
                </c:rich>
              </c:tx>
              <c:spPr>
                <a:noFill/>
                <a:ln>
                  <a:noFill/>
                </a:ln>
                <a:effectLst/>
              </c:spPr>
              <c:showLegendKey val="0"/>
              <c:showVal val="0"/>
              <c:showCatName val="0"/>
              <c:showSerName val="0"/>
              <c:showPercent val="0"/>
              <c:showBubbleSize val="0"/>
              <c:extLst>
                <c:ext xmlns:c15="http://schemas.microsoft.com/office/drawing/2012/chart" uri="{CE6537A1-D6FC-4f65-9D91-7224C49458BB}">
                  <c15:layout>
                    <c:manualLayout>
                      <c:w val="5.2378386532112131E-2"/>
                      <c:h val="0.13691766684504242"/>
                    </c:manualLayout>
                  </c15:layout>
                  <c15:dlblFieldTable/>
                  <c15:showDataLabelsRange val="1"/>
                </c:ext>
                <c:ext xmlns:c16="http://schemas.microsoft.com/office/drawing/2014/chart" uri="{C3380CC4-5D6E-409C-BE32-E72D297353CC}">
                  <c16:uniqueId val="{00000028-B901-4723-A6B4-DBC1497381A7}"/>
                </c:ext>
              </c:extLst>
            </c:dLbl>
            <c:spPr>
              <a:noFill/>
              <a:ln>
                <a:noFill/>
              </a:ln>
              <a:effectLst/>
            </c:spPr>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0"/>
              </c:ext>
            </c:extLst>
          </c:dLbls>
          <c:cat>
            <c:strRef>
              <c:f>Fumat!$C$367:$H$367</c:f>
              <c:strCache>
                <c:ptCount val="6"/>
                <c:pt idx="0">
                  <c:v>1-2 zile</c:v>
                </c:pt>
                <c:pt idx="1">
                  <c:v>3-5 zile</c:v>
                </c:pt>
                <c:pt idx="2">
                  <c:v>6-9 zile</c:v>
                </c:pt>
                <c:pt idx="3">
                  <c:v>10-19 zile</c:v>
                </c:pt>
                <c:pt idx="4">
                  <c:v>20-29 zile</c:v>
                </c:pt>
                <c:pt idx="5">
                  <c:v>30 zile</c:v>
                </c:pt>
              </c:strCache>
            </c:strRef>
          </c:cat>
          <c:val>
            <c:numRef>
              <c:f>Fumat!$C$373:$H$373</c:f>
              <c:numCache>
                <c:formatCode>General</c:formatCode>
                <c:ptCount val="6"/>
                <c:pt idx="0">
                  <c:v>0.1</c:v>
                </c:pt>
                <c:pt idx="1">
                  <c:v>0.6</c:v>
                </c:pt>
                <c:pt idx="2">
                  <c:v>0.6</c:v>
                </c:pt>
                <c:pt idx="3">
                  <c:v>1.5</c:v>
                </c:pt>
                <c:pt idx="4">
                  <c:v>1.9</c:v>
                </c:pt>
                <c:pt idx="5">
                  <c:v>10.8</c:v>
                </c:pt>
              </c:numCache>
            </c:numRef>
          </c:val>
          <c:extLst>
            <c:ext xmlns:c15="http://schemas.microsoft.com/office/drawing/2012/chart" uri="{02D57815-91ED-43cb-92C2-25804820EDAC}">
              <c15:datalabelsRange>
                <c15:f>Fumat!$J$373:$O$373</c15:f>
                <c15:dlblRangeCache>
                  <c:ptCount val="6"/>
                  <c:pt idx="0">
                    <c:v>0,1</c:v>
                  </c:pt>
                  <c:pt idx="1">
                    <c:v>0,6</c:v>
                  </c:pt>
                  <c:pt idx="2">
                    <c:v>0,6</c:v>
                  </c:pt>
                  <c:pt idx="3">
                    <c:v>1,5</c:v>
                  </c:pt>
                  <c:pt idx="4">
                    <c:v>1,9</c:v>
                  </c:pt>
                  <c:pt idx="5">
                    <c:v>10,8</c:v>
                  </c:pt>
                </c15:dlblRangeCache>
              </c15:datalabelsRange>
            </c:ext>
            <c:ext xmlns:c16="http://schemas.microsoft.com/office/drawing/2014/chart" uri="{C3380CC4-5D6E-409C-BE32-E72D297353CC}">
              <c16:uniqueId val="{00000029-B901-4723-A6B4-DBC1497381A7}"/>
            </c:ext>
          </c:extLst>
        </c:ser>
        <c:dLbls>
          <c:showLegendKey val="0"/>
          <c:showVal val="0"/>
          <c:showCatName val="0"/>
          <c:showSerName val="0"/>
          <c:showPercent val="0"/>
          <c:showBubbleSize val="0"/>
        </c:dLbls>
        <c:gapWidth val="150"/>
        <c:overlap val="100"/>
        <c:axId val="71561600"/>
        <c:axId val="71563136"/>
      </c:barChart>
      <c:catAx>
        <c:axId val="71561600"/>
        <c:scaling>
          <c:orientation val="minMax"/>
        </c:scaling>
        <c:delete val="0"/>
        <c:axPos val="b"/>
        <c:numFmt formatCode="General" sourceLinked="0"/>
        <c:majorTickMark val="out"/>
        <c:minorTickMark val="none"/>
        <c:tickLblPos val="nextTo"/>
        <c:crossAx val="71563136"/>
        <c:crosses val="autoZero"/>
        <c:auto val="1"/>
        <c:lblAlgn val="ctr"/>
        <c:lblOffset val="100"/>
        <c:noMultiLvlLbl val="0"/>
      </c:catAx>
      <c:valAx>
        <c:axId val="71563136"/>
        <c:scaling>
          <c:orientation val="minMax"/>
        </c:scaling>
        <c:delete val="0"/>
        <c:axPos val="l"/>
        <c:majorGridlines/>
        <c:numFmt formatCode="0%" sourceLinked="1"/>
        <c:majorTickMark val="out"/>
        <c:minorTickMark val="none"/>
        <c:tickLblPos val="nextTo"/>
        <c:crossAx val="71561600"/>
        <c:crosses val="autoZero"/>
        <c:crossBetween val="between"/>
      </c:valAx>
    </c:plotArea>
    <c:legend>
      <c:legendPos val="b"/>
      <c:overlay val="0"/>
    </c:legend>
    <c:plotVisOnly val="1"/>
    <c:dispBlanksAs val="gap"/>
    <c:showDLblsOverMax val="0"/>
  </c:chart>
  <c:externalData r:id="rId2">
    <c:autoUpdate val="0"/>
  </c:externalData>
</c:chartSpace>
</file>

<file path=word/charts/chart9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7.2024136207550021E-2"/>
          <c:y val="0.17171414963046272"/>
          <c:w val="0.89740514323378262"/>
          <c:h val="0.62648541037211769"/>
        </c:manualLayout>
      </c:layout>
      <c:barChart>
        <c:barDir val="col"/>
        <c:grouping val="clustered"/>
        <c:varyColors val="0"/>
        <c:ser>
          <c:idx val="0"/>
          <c:order val="0"/>
          <c:invertIfNegative val="0"/>
          <c:dPt>
            <c:idx val="0"/>
            <c:invertIfNegative val="0"/>
            <c:bubble3D val="0"/>
            <c:spPr>
              <a:solidFill>
                <a:srgbClr val="C00000"/>
              </a:solidFill>
            </c:spPr>
            <c:extLst>
              <c:ext xmlns:c16="http://schemas.microsoft.com/office/drawing/2014/chart" uri="{C3380CC4-5D6E-409C-BE32-E72D297353CC}">
                <c16:uniqueId val="{00000001-DAD6-4CFE-8A6B-E7EF87A4D6BA}"/>
              </c:ext>
            </c:extLst>
          </c:dPt>
          <c:dPt>
            <c:idx val="1"/>
            <c:invertIfNegative val="0"/>
            <c:bubble3D val="0"/>
            <c:spPr>
              <a:solidFill>
                <a:srgbClr val="0070C0"/>
              </a:solidFill>
            </c:spPr>
            <c:extLst>
              <c:ext xmlns:c16="http://schemas.microsoft.com/office/drawing/2014/chart" uri="{C3380CC4-5D6E-409C-BE32-E72D297353CC}">
                <c16:uniqueId val="{00000003-DAD6-4CFE-8A6B-E7EF87A4D6BA}"/>
              </c:ext>
            </c:extLst>
          </c:dPt>
          <c:dPt>
            <c:idx val="3"/>
            <c:invertIfNegative val="0"/>
            <c:bubble3D val="0"/>
            <c:spPr>
              <a:solidFill>
                <a:srgbClr val="0070C0"/>
              </a:solidFill>
            </c:spPr>
            <c:extLst>
              <c:ext xmlns:c16="http://schemas.microsoft.com/office/drawing/2014/chart" uri="{C3380CC4-5D6E-409C-BE32-E72D297353CC}">
                <c16:uniqueId val="{00000005-DAD6-4CFE-8A6B-E7EF87A4D6BA}"/>
              </c:ext>
            </c:extLst>
          </c:dPt>
          <c:dLbls>
            <c:dLbl>
              <c:idx val="0"/>
              <c:tx>
                <c:rich>
                  <a:bodyPr/>
                  <a:lstStyle/>
                  <a:p>
                    <a:fld id="{4AF8CC30-DC33-4C3D-AB0E-9141DF79250E}"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1-DAD6-4CFE-8A6B-E7EF87A4D6BA}"/>
                </c:ext>
              </c:extLst>
            </c:dLbl>
            <c:dLbl>
              <c:idx val="1"/>
              <c:tx>
                <c:rich>
                  <a:bodyPr/>
                  <a:lstStyle/>
                  <a:p>
                    <a:fld id="{1B130787-6057-4D8D-A7CE-661A3A567E88}"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3-DAD6-4CFE-8A6B-E7EF87A4D6BA}"/>
                </c:ext>
              </c:extLst>
            </c:dLbl>
            <c:dLbl>
              <c:idx val="2"/>
              <c:tx>
                <c:rich>
                  <a:bodyPr/>
                  <a:lstStyle/>
                  <a:p>
                    <a:fld id="{CB6DD2B4-0D92-40A5-9902-946DBA9ED5C6}"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6-DAD6-4CFE-8A6B-E7EF87A4D6BA}"/>
                </c:ext>
              </c:extLst>
            </c:dLbl>
            <c:dLbl>
              <c:idx val="3"/>
              <c:tx>
                <c:rich>
                  <a:bodyPr/>
                  <a:lstStyle/>
                  <a:p>
                    <a:fld id="{B5B417F9-06A8-4A27-B02C-5817BB81B18F}"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5-DAD6-4CFE-8A6B-E7EF87A4D6BA}"/>
                </c:ext>
              </c:extLst>
            </c:dLbl>
            <c:spPr>
              <a:noFill/>
              <a:ln>
                <a:noFill/>
              </a:ln>
              <a:effectLst/>
            </c:spPr>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0"/>
              </c:ext>
            </c:extLst>
          </c:dLbls>
          <c:cat>
            <c:multiLvlStrRef>
              <c:f>Fumat!$T$280:$W$281</c:f>
              <c:multiLvlStrCache>
                <c:ptCount val="4"/>
                <c:lvl>
                  <c:pt idx="0">
                    <c:v>Da</c:v>
                  </c:pt>
                  <c:pt idx="1">
                    <c:v>Nu</c:v>
                  </c:pt>
                  <c:pt idx="2">
                    <c:v>Da </c:v>
                  </c:pt>
                  <c:pt idx="3">
                    <c:v>Nu</c:v>
                  </c:pt>
                </c:lvl>
                <c:lvl>
                  <c:pt idx="0">
                    <c:v>Fete</c:v>
                  </c:pt>
                  <c:pt idx="2">
                    <c:v>Băieţi</c:v>
                  </c:pt>
                </c:lvl>
              </c:multiLvlStrCache>
            </c:multiLvlStrRef>
          </c:cat>
          <c:val>
            <c:numRef>
              <c:f>Fumat!$T$282:$W$282</c:f>
              <c:numCache>
                <c:formatCode>General</c:formatCode>
                <c:ptCount val="4"/>
                <c:pt idx="0">
                  <c:v>80</c:v>
                </c:pt>
                <c:pt idx="1">
                  <c:v>20</c:v>
                </c:pt>
                <c:pt idx="2">
                  <c:v>79.7</c:v>
                </c:pt>
                <c:pt idx="3">
                  <c:v>20.3</c:v>
                </c:pt>
              </c:numCache>
            </c:numRef>
          </c:val>
          <c:extLst>
            <c:ext xmlns:c15="http://schemas.microsoft.com/office/drawing/2012/chart" uri="{02D57815-91ED-43cb-92C2-25804820EDAC}">
              <c15:datalabelsRange>
                <c15:f>Fumat!$T$283:$W$283</c15:f>
                <c15:dlblRangeCache>
                  <c:ptCount val="4"/>
                  <c:pt idx="0">
                    <c:v>80</c:v>
                  </c:pt>
                  <c:pt idx="1">
                    <c:v>20</c:v>
                  </c:pt>
                  <c:pt idx="2">
                    <c:v>79,7</c:v>
                  </c:pt>
                  <c:pt idx="3">
                    <c:v>20,3</c:v>
                  </c:pt>
                </c15:dlblRangeCache>
              </c15:datalabelsRange>
            </c:ext>
            <c:ext xmlns:c16="http://schemas.microsoft.com/office/drawing/2014/chart" uri="{C3380CC4-5D6E-409C-BE32-E72D297353CC}">
              <c16:uniqueId val="{00000007-DAD6-4CFE-8A6B-E7EF87A4D6BA}"/>
            </c:ext>
          </c:extLst>
        </c:ser>
        <c:dLbls>
          <c:showLegendKey val="0"/>
          <c:showVal val="0"/>
          <c:showCatName val="0"/>
          <c:showSerName val="0"/>
          <c:showPercent val="0"/>
          <c:showBubbleSize val="0"/>
        </c:dLbls>
        <c:gapWidth val="150"/>
        <c:axId val="47164416"/>
        <c:axId val="47166208"/>
      </c:barChart>
      <c:catAx>
        <c:axId val="47164416"/>
        <c:scaling>
          <c:orientation val="minMax"/>
        </c:scaling>
        <c:delete val="0"/>
        <c:axPos val="b"/>
        <c:numFmt formatCode="General" sourceLinked="0"/>
        <c:majorTickMark val="out"/>
        <c:minorTickMark val="none"/>
        <c:tickLblPos val="nextTo"/>
        <c:crossAx val="47166208"/>
        <c:crosses val="autoZero"/>
        <c:auto val="1"/>
        <c:lblAlgn val="ctr"/>
        <c:lblOffset val="100"/>
        <c:noMultiLvlLbl val="0"/>
      </c:catAx>
      <c:valAx>
        <c:axId val="47166208"/>
        <c:scaling>
          <c:orientation val="minMax"/>
        </c:scaling>
        <c:delete val="0"/>
        <c:axPos val="l"/>
        <c:majorGridlines/>
        <c:numFmt formatCode="General" sourceLinked="1"/>
        <c:majorTickMark val="out"/>
        <c:minorTickMark val="none"/>
        <c:tickLblPos val="nextTo"/>
        <c:crossAx val="47164416"/>
        <c:crosses val="autoZero"/>
        <c:crossBetween val="between"/>
      </c:valAx>
    </c:plotArea>
    <c:plotVisOnly val="1"/>
    <c:dispBlanksAs val="gap"/>
    <c:showDLblsOverMax val="0"/>
  </c:chart>
  <c:externalData r:id="rId2">
    <c:autoUpdate val="0"/>
  </c:externalData>
  <c:userShapes r:id="rId3"/>
</c:chartSpace>
</file>

<file path=word/charts/chart9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7.2024136207550021E-2"/>
          <c:y val="0.1624579508014812"/>
          <c:w val="0.89740514323378262"/>
          <c:h val="0.72160050610271409"/>
        </c:manualLayout>
      </c:layout>
      <c:barChart>
        <c:barDir val="col"/>
        <c:grouping val="clustered"/>
        <c:varyColors val="0"/>
        <c:ser>
          <c:idx val="0"/>
          <c:order val="0"/>
          <c:invertIfNegative val="0"/>
          <c:dLbls>
            <c:dLbl>
              <c:idx val="0"/>
              <c:tx>
                <c:rich>
                  <a:bodyPr/>
                  <a:lstStyle/>
                  <a:p>
                    <a:fld id="{77258853-6EFC-461C-9615-D67793E51DE2}" type="CELLRANGE">
                      <a:rPr lang="en-US"/>
                      <a:pPr/>
                      <a:t>[CELLRANGE]</a:t>
                    </a:fld>
                    <a:endParaRPr lang="en-US"/>
                  </a:p>
                </c:rich>
              </c:tx>
              <c:dLblPos val="out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0-0427-4202-87E3-0E0D4342DCF2}"/>
                </c:ext>
              </c:extLst>
            </c:dLbl>
            <c:dLbl>
              <c:idx val="1"/>
              <c:tx>
                <c:rich>
                  <a:bodyPr/>
                  <a:lstStyle/>
                  <a:p>
                    <a:fld id="{6B148B1A-860B-4342-9DE1-B14053712716}" type="CELLRANGE">
                      <a:rPr lang="en-US"/>
                      <a:pPr/>
                      <a:t>[CELLRANGE]</a:t>
                    </a:fld>
                    <a:endParaRPr lang="en-US"/>
                  </a:p>
                </c:rich>
              </c:tx>
              <c:dLblPos val="out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1-0427-4202-87E3-0E0D4342DCF2}"/>
                </c:ext>
              </c:extLst>
            </c:dLbl>
            <c:dLbl>
              <c:idx val="2"/>
              <c:tx>
                <c:rich>
                  <a:bodyPr/>
                  <a:lstStyle/>
                  <a:p>
                    <a:fld id="{D6FDD09F-FF00-47BD-874E-FC3EB85B6751}" type="CELLRANGE">
                      <a:rPr lang="en-US"/>
                      <a:pPr/>
                      <a:t>[CELLRANGE]</a:t>
                    </a:fld>
                    <a:endParaRPr lang="en-US"/>
                  </a:p>
                </c:rich>
              </c:tx>
              <c:dLblPos val="out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2-0427-4202-87E3-0E0D4342DCF2}"/>
                </c:ext>
              </c:extLst>
            </c:dLbl>
            <c:dLbl>
              <c:idx val="3"/>
              <c:tx>
                <c:rich>
                  <a:bodyPr/>
                  <a:lstStyle/>
                  <a:p>
                    <a:fld id="{0DBFF019-62AC-4CF8-A82E-C5B3AF8053F6}" type="CELLRANGE">
                      <a:rPr lang="en-US"/>
                      <a:pPr/>
                      <a:t>[CELLRANGE]</a:t>
                    </a:fld>
                    <a:endParaRPr lang="en-US"/>
                  </a:p>
                </c:rich>
              </c:tx>
              <c:dLblPos val="out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3-0427-4202-87E3-0E0D4342DCF2}"/>
                </c:ext>
              </c:extLst>
            </c:dLbl>
            <c:dLbl>
              <c:idx val="4"/>
              <c:tx>
                <c:rich>
                  <a:bodyPr/>
                  <a:lstStyle/>
                  <a:p>
                    <a:fld id="{D4B40C57-F571-4823-B300-6A33FA4B80AA}" type="CELLRANGE">
                      <a:rPr lang="en-US"/>
                      <a:pPr/>
                      <a:t>[CELLRANGE]</a:t>
                    </a:fld>
                    <a:endParaRPr lang="en-US"/>
                  </a:p>
                </c:rich>
              </c:tx>
              <c:dLblPos val="out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4-0427-4202-87E3-0E0D4342DCF2}"/>
                </c:ext>
              </c:extLst>
            </c:dLbl>
            <c:dLbl>
              <c:idx val="5"/>
              <c:tx>
                <c:rich>
                  <a:bodyPr/>
                  <a:lstStyle/>
                  <a:p>
                    <a:fld id="{918F998D-B0A9-42B8-B276-4AD96F55A63A}" type="CELLRANGE">
                      <a:rPr lang="en-US"/>
                      <a:pPr/>
                      <a:t>[CELLRANGE]</a:t>
                    </a:fld>
                    <a:endParaRPr lang="en-US"/>
                  </a:p>
                </c:rich>
              </c:tx>
              <c:dLblPos val="out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5-0427-4202-87E3-0E0D4342DCF2}"/>
                </c:ext>
              </c:extLst>
            </c:dLbl>
            <c:dLbl>
              <c:idx val="6"/>
              <c:tx>
                <c:rich>
                  <a:bodyPr/>
                  <a:lstStyle/>
                  <a:p>
                    <a:fld id="{135D7ED6-2671-40CB-8AED-A3B3332895F8}" type="CELLRANGE">
                      <a:rPr lang="en-US"/>
                      <a:pPr/>
                      <a:t>[CELLRANGE]</a:t>
                    </a:fld>
                    <a:endParaRPr lang="en-US"/>
                  </a:p>
                </c:rich>
              </c:tx>
              <c:dLblPos val="out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6-0427-4202-87E3-0E0D4342DCF2}"/>
                </c:ext>
              </c:extLst>
            </c:dLbl>
            <c:spPr>
              <a:noFill/>
              <a:ln>
                <a:noFill/>
              </a:ln>
              <a:effectLst/>
            </c:spPr>
            <c:dLblPos val="outEnd"/>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0"/>
              </c:ext>
            </c:extLst>
          </c:dLbls>
          <c:cat>
            <c:strRef>
              <c:f>Fumat!$T$305:$Z$305</c:f>
              <c:strCache>
                <c:ptCount val="7"/>
                <c:pt idx="0">
                  <c:v>nici o zi</c:v>
                </c:pt>
                <c:pt idx="1">
                  <c:v>1-2 zile</c:v>
                </c:pt>
                <c:pt idx="2">
                  <c:v>3-5 zile</c:v>
                </c:pt>
                <c:pt idx="3">
                  <c:v>6-9 zile</c:v>
                </c:pt>
                <c:pt idx="4">
                  <c:v>10-19 zile</c:v>
                </c:pt>
                <c:pt idx="5">
                  <c:v>20-29 zile</c:v>
                </c:pt>
                <c:pt idx="6">
                  <c:v>30 zile</c:v>
                </c:pt>
              </c:strCache>
            </c:strRef>
          </c:cat>
          <c:val>
            <c:numRef>
              <c:f>Fumat!$T$306:$Z$306</c:f>
              <c:numCache>
                <c:formatCode>General</c:formatCode>
                <c:ptCount val="7"/>
                <c:pt idx="0">
                  <c:v>33</c:v>
                </c:pt>
                <c:pt idx="1">
                  <c:v>26.6</c:v>
                </c:pt>
                <c:pt idx="2">
                  <c:v>12.1</c:v>
                </c:pt>
                <c:pt idx="3">
                  <c:v>7.3</c:v>
                </c:pt>
                <c:pt idx="4">
                  <c:v>7.3</c:v>
                </c:pt>
                <c:pt idx="5">
                  <c:v>3.5</c:v>
                </c:pt>
                <c:pt idx="6">
                  <c:v>10.3</c:v>
                </c:pt>
              </c:numCache>
            </c:numRef>
          </c:val>
          <c:extLst>
            <c:ext xmlns:c15="http://schemas.microsoft.com/office/drawing/2012/chart" uri="{02D57815-91ED-43cb-92C2-25804820EDAC}">
              <c15:datalabelsRange>
                <c15:f>Fumat!$T$307:$Z$307</c15:f>
                <c15:dlblRangeCache>
                  <c:ptCount val="7"/>
                  <c:pt idx="0">
                    <c:v>33</c:v>
                  </c:pt>
                  <c:pt idx="1">
                    <c:v>26,6</c:v>
                  </c:pt>
                  <c:pt idx="2">
                    <c:v>12,1</c:v>
                  </c:pt>
                  <c:pt idx="3">
                    <c:v>7,3</c:v>
                  </c:pt>
                  <c:pt idx="4">
                    <c:v>7,3</c:v>
                  </c:pt>
                  <c:pt idx="5">
                    <c:v>3,5</c:v>
                  </c:pt>
                  <c:pt idx="6">
                    <c:v>10,3</c:v>
                  </c:pt>
                </c15:dlblRangeCache>
              </c15:datalabelsRange>
            </c:ext>
            <c:ext xmlns:c16="http://schemas.microsoft.com/office/drawing/2014/chart" uri="{C3380CC4-5D6E-409C-BE32-E72D297353CC}">
              <c16:uniqueId val="{00000007-0427-4202-87E3-0E0D4342DCF2}"/>
            </c:ext>
          </c:extLst>
        </c:ser>
        <c:dLbls>
          <c:showLegendKey val="0"/>
          <c:showVal val="0"/>
          <c:showCatName val="0"/>
          <c:showSerName val="0"/>
          <c:showPercent val="0"/>
          <c:showBubbleSize val="0"/>
        </c:dLbls>
        <c:gapWidth val="150"/>
        <c:axId val="47321088"/>
        <c:axId val="47322624"/>
      </c:barChart>
      <c:catAx>
        <c:axId val="47321088"/>
        <c:scaling>
          <c:orientation val="minMax"/>
        </c:scaling>
        <c:delete val="0"/>
        <c:axPos val="b"/>
        <c:numFmt formatCode="General" sourceLinked="0"/>
        <c:majorTickMark val="out"/>
        <c:minorTickMark val="none"/>
        <c:tickLblPos val="nextTo"/>
        <c:crossAx val="47322624"/>
        <c:crosses val="autoZero"/>
        <c:auto val="1"/>
        <c:lblAlgn val="ctr"/>
        <c:lblOffset val="100"/>
        <c:noMultiLvlLbl val="0"/>
      </c:catAx>
      <c:valAx>
        <c:axId val="47322624"/>
        <c:scaling>
          <c:orientation val="minMax"/>
        </c:scaling>
        <c:delete val="0"/>
        <c:axPos val="l"/>
        <c:majorGridlines/>
        <c:numFmt formatCode="General" sourceLinked="1"/>
        <c:majorTickMark val="out"/>
        <c:minorTickMark val="none"/>
        <c:tickLblPos val="nextTo"/>
        <c:crossAx val="47321088"/>
        <c:crosses val="autoZero"/>
        <c:crossBetween val="between"/>
      </c:valAx>
    </c:plotArea>
    <c:plotVisOnly val="1"/>
    <c:dispBlanksAs val="gap"/>
    <c:showDLblsOverMax val="0"/>
  </c:chart>
  <c:externalData r:id="rId2">
    <c:autoUpdate val="0"/>
  </c:externalData>
  <c:userShapes r:id="rId3"/>
</c:chartSpace>
</file>

<file path=word/charts/chart9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7.2024136207550021E-2"/>
          <c:y val="0.1624579508014812"/>
          <c:w val="0.89740514323378262"/>
          <c:h val="0.63286282081589917"/>
        </c:manualLayout>
      </c:layout>
      <c:barChart>
        <c:barDir val="col"/>
        <c:grouping val="clustered"/>
        <c:varyColors val="0"/>
        <c:ser>
          <c:idx val="0"/>
          <c:order val="0"/>
          <c:tx>
            <c:strRef>
              <c:f>Fumat!$R$330</c:f>
              <c:strCache>
                <c:ptCount val="1"/>
                <c:pt idx="0">
                  <c:v>fete</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Fumat!$S$330:$Y$330</c:f>
              <c:strCache>
                <c:ptCount val="7"/>
                <c:pt idx="0">
                  <c:v>nici o zi</c:v>
                </c:pt>
                <c:pt idx="1">
                  <c:v>1-2 zile</c:v>
                </c:pt>
                <c:pt idx="2">
                  <c:v>3-5 zile</c:v>
                </c:pt>
                <c:pt idx="3">
                  <c:v>6-9 zile</c:v>
                </c:pt>
                <c:pt idx="4">
                  <c:v>10-19 zile</c:v>
                </c:pt>
                <c:pt idx="5">
                  <c:v>20-29 zile</c:v>
                </c:pt>
                <c:pt idx="6">
                  <c:v>30 zile</c:v>
                </c:pt>
              </c:strCache>
            </c:strRef>
          </c:cat>
          <c:val>
            <c:numRef>
              <c:f>Fumat!$S$331:$Y$331</c:f>
              <c:numCache>
                <c:formatCode>General</c:formatCode>
                <c:ptCount val="7"/>
                <c:pt idx="0">
                  <c:v>29.6</c:v>
                </c:pt>
                <c:pt idx="1">
                  <c:v>27.3</c:v>
                </c:pt>
                <c:pt idx="2">
                  <c:v>12.4</c:v>
                </c:pt>
                <c:pt idx="3">
                  <c:v>7.9</c:v>
                </c:pt>
                <c:pt idx="4">
                  <c:v>7.7</c:v>
                </c:pt>
                <c:pt idx="5">
                  <c:v>4.2</c:v>
                </c:pt>
                <c:pt idx="6">
                  <c:v>10.9</c:v>
                </c:pt>
              </c:numCache>
            </c:numRef>
          </c:val>
          <c:extLst>
            <c:ext xmlns:c16="http://schemas.microsoft.com/office/drawing/2014/chart" uri="{C3380CC4-5D6E-409C-BE32-E72D297353CC}">
              <c16:uniqueId val="{00000000-43D5-423A-A669-949CEFD70A3A}"/>
            </c:ext>
          </c:extLst>
        </c:ser>
        <c:ser>
          <c:idx val="1"/>
          <c:order val="1"/>
          <c:tx>
            <c:strRef>
              <c:f>Fumat!$R$333</c:f>
              <c:strCache>
                <c:ptCount val="1"/>
                <c:pt idx="0">
                  <c:v>baieti</c:v>
                </c:pt>
              </c:strCache>
            </c:strRef>
          </c:tx>
          <c:invertIfNegative val="0"/>
          <c:dLbls>
            <c:dLbl>
              <c:idx val="1"/>
              <c:layout>
                <c:manualLayout>
                  <c:x val="1.5119062618117631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43D5-423A-A669-949CEFD70A3A}"/>
                </c:ext>
              </c:extLst>
            </c:dLbl>
            <c:dLbl>
              <c:idx val="2"/>
              <c:layout>
                <c:manualLayout>
                  <c:x val="1.5119062618117631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43D5-423A-A669-949CEFD70A3A}"/>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Fumat!$S$330:$Y$330</c:f>
              <c:strCache>
                <c:ptCount val="7"/>
                <c:pt idx="0">
                  <c:v>nici o zi</c:v>
                </c:pt>
                <c:pt idx="1">
                  <c:v>1-2 zile</c:v>
                </c:pt>
                <c:pt idx="2">
                  <c:v>3-5 zile</c:v>
                </c:pt>
                <c:pt idx="3">
                  <c:v>6-9 zile</c:v>
                </c:pt>
                <c:pt idx="4">
                  <c:v>10-19 zile</c:v>
                </c:pt>
                <c:pt idx="5">
                  <c:v>20-29 zile</c:v>
                </c:pt>
                <c:pt idx="6">
                  <c:v>30 zile</c:v>
                </c:pt>
              </c:strCache>
            </c:strRef>
          </c:cat>
          <c:val>
            <c:numRef>
              <c:f>Fumat!$S$334:$Y$334</c:f>
              <c:numCache>
                <c:formatCode>General</c:formatCode>
                <c:ptCount val="7"/>
                <c:pt idx="0">
                  <c:v>36.9</c:v>
                </c:pt>
                <c:pt idx="1">
                  <c:v>25.9</c:v>
                </c:pt>
                <c:pt idx="2">
                  <c:v>11.7</c:v>
                </c:pt>
                <c:pt idx="3">
                  <c:v>6.6</c:v>
                </c:pt>
                <c:pt idx="4">
                  <c:v>6.9</c:v>
                </c:pt>
                <c:pt idx="5">
                  <c:v>2.6</c:v>
                </c:pt>
                <c:pt idx="6">
                  <c:v>9.4</c:v>
                </c:pt>
              </c:numCache>
            </c:numRef>
          </c:val>
          <c:extLst>
            <c:ext xmlns:c16="http://schemas.microsoft.com/office/drawing/2014/chart" uri="{C3380CC4-5D6E-409C-BE32-E72D297353CC}">
              <c16:uniqueId val="{00000003-43D5-423A-A669-949CEFD70A3A}"/>
            </c:ext>
          </c:extLst>
        </c:ser>
        <c:dLbls>
          <c:showLegendKey val="0"/>
          <c:showVal val="0"/>
          <c:showCatName val="0"/>
          <c:showSerName val="0"/>
          <c:showPercent val="0"/>
          <c:showBubbleSize val="0"/>
        </c:dLbls>
        <c:gapWidth val="150"/>
        <c:axId val="47321088"/>
        <c:axId val="47322624"/>
      </c:barChart>
      <c:catAx>
        <c:axId val="47321088"/>
        <c:scaling>
          <c:orientation val="minMax"/>
        </c:scaling>
        <c:delete val="0"/>
        <c:axPos val="b"/>
        <c:numFmt formatCode="General" sourceLinked="0"/>
        <c:majorTickMark val="out"/>
        <c:minorTickMark val="none"/>
        <c:tickLblPos val="nextTo"/>
        <c:crossAx val="47322624"/>
        <c:crosses val="autoZero"/>
        <c:auto val="1"/>
        <c:lblAlgn val="ctr"/>
        <c:lblOffset val="100"/>
        <c:noMultiLvlLbl val="0"/>
      </c:catAx>
      <c:valAx>
        <c:axId val="47322624"/>
        <c:scaling>
          <c:orientation val="minMax"/>
        </c:scaling>
        <c:delete val="0"/>
        <c:axPos val="l"/>
        <c:majorGridlines/>
        <c:numFmt formatCode="General" sourceLinked="1"/>
        <c:majorTickMark val="out"/>
        <c:minorTickMark val="none"/>
        <c:tickLblPos val="nextTo"/>
        <c:crossAx val="47321088"/>
        <c:crosses val="autoZero"/>
        <c:crossBetween val="between"/>
      </c:valAx>
    </c:plotArea>
    <c:legend>
      <c:legendPos val="b"/>
      <c:overlay val="0"/>
    </c:legend>
    <c:plotVisOnly val="1"/>
    <c:dispBlanksAs val="gap"/>
    <c:showDLblsOverMax val="0"/>
  </c:chart>
  <c:externalData r:id="rId2">
    <c:autoUpdate val="0"/>
  </c:externalData>
  <c:userShapes r:id="rId3"/>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9.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8.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29.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0.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3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2.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3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4.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3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6.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37.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8.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39.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0.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4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2.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4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4.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45.xml><?xml version="1.0" encoding="utf-8"?>
<cs:chartStyle xmlns:cs="http://schemas.microsoft.com/office/drawing/2012/chartStyle" xmlns:a="http://schemas.openxmlformats.org/drawingml/2006/main" id="344">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46.xml><?xml version="1.0" encoding="utf-8"?>
<cs:chartStyle xmlns:cs="http://schemas.microsoft.com/office/drawing/2012/chartStyle" xmlns:a="http://schemas.openxmlformats.org/drawingml/2006/main" id="344">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47.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48.xml><?xml version="1.0" encoding="utf-8"?>
<cs:chartStyle xmlns:cs="http://schemas.microsoft.com/office/drawing/2012/chartStyle" xmlns:a="http://schemas.openxmlformats.org/drawingml/2006/main" id="344">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49.xml><?xml version="1.0" encoding="utf-8"?>
<cs:chartStyle xmlns:cs="http://schemas.microsoft.com/office/drawing/2012/chartStyle" xmlns:a="http://schemas.openxmlformats.org/drawingml/2006/main" id="344">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0.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51.xml><?xml version="1.0" encoding="utf-8"?>
<cs:chartStyle xmlns:cs="http://schemas.microsoft.com/office/drawing/2012/chartStyle" xmlns:a="http://schemas.openxmlformats.org/drawingml/2006/main" id="344">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52.xml><?xml version="1.0" encoding="utf-8"?>
<cs:chartStyle xmlns:cs="http://schemas.microsoft.com/office/drawing/2012/chartStyle" xmlns:a="http://schemas.openxmlformats.org/drawingml/2006/main" id="344">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53.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54.xml><?xml version="1.0" encoding="utf-8"?>
<cs:chartStyle xmlns:cs="http://schemas.microsoft.com/office/drawing/2012/chartStyle" xmlns:a="http://schemas.openxmlformats.org/drawingml/2006/main" id="344">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55.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9.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_rels/drawing10.xml.rels><?xml version="1.0" encoding="UTF-8" standalone="yes"?>
<Relationships xmlns="http://schemas.openxmlformats.org/package/2006/relationships"><Relationship Id="rId1" Type="http://schemas.openxmlformats.org/officeDocument/2006/relationships/image" Target="../media/image5.png"/></Relationships>
</file>

<file path=word/drawings/_rels/drawing8.xml.rels><?xml version="1.0" encoding="UTF-8" standalone="yes"?>
<Relationships xmlns="http://schemas.openxmlformats.org/package/2006/relationships"><Relationship Id="rId1" Type="http://schemas.openxmlformats.org/officeDocument/2006/relationships/image" Target="../media/image4.png"/></Relationships>
</file>

<file path=word/drawings/drawing1.xml><?xml version="1.0" encoding="utf-8"?>
<c:userShapes xmlns:c="http://schemas.openxmlformats.org/drawingml/2006/chart">
  <cdr:absSizeAnchor xmlns:cdr="http://schemas.openxmlformats.org/drawingml/2006/chartDrawing">
    <cdr:from>
      <cdr:x>0.01784</cdr:x>
      <cdr:y>0.07479</cdr:y>
    </cdr:from>
    <cdr:ext cx="1701202" cy="184251"/>
    <cdr:sp macro="" textlink="">
      <cdr:nvSpPr>
        <cdr:cNvPr id="24" name="TextBox 23"/>
        <cdr:cNvSpPr txBox="1"/>
      </cdr:nvSpPr>
      <cdr:spPr>
        <a:xfrm xmlns:a="http://schemas.openxmlformats.org/drawingml/2006/main">
          <a:off x="113012" y="160248"/>
          <a:ext cx="1701202" cy="184251"/>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marL="0" marR="0" lvl="0" indent="0" defTabSz="914400" rtl="0" eaLnBrk="1" fontAlgn="auto" latinLnBrk="0" hangingPunct="1">
            <a:lnSpc>
              <a:spcPct val="100000"/>
            </a:lnSpc>
            <a:spcBef>
              <a:spcPts val="0"/>
            </a:spcBef>
            <a:spcAft>
              <a:spcPts val="0"/>
            </a:spcAft>
            <a:buClrTx/>
            <a:buSzTx/>
            <a:buFontTx/>
            <a:buNone/>
            <a:tabLst/>
            <a:defRPr/>
          </a:pPr>
          <a:r>
            <a:rPr lang="en-GB" sz="800" b="0" i="0" baseline="0">
              <a:solidFill>
                <a:srgbClr val="000000"/>
              </a:solidFill>
              <a:effectLst/>
              <a:latin typeface="Arial Narrow" panose="020B0606020202030204" pitchFamily="34" charset="0"/>
              <a:ea typeface="+mn-ea"/>
              <a:cs typeface="+mn-cs"/>
            </a:rPr>
            <a:t>% </a:t>
          </a:r>
          <a:endParaRPr lang="en-GB" sz="800" b="0" i="0">
            <a:solidFill>
              <a:srgbClr val="000000"/>
            </a:solidFill>
            <a:effectLst/>
            <a:latin typeface="Arial Narrow" panose="020B0606020202030204" pitchFamily="34" charset="0"/>
          </a:endParaRPr>
        </a:p>
        <a:p xmlns:a="http://schemas.openxmlformats.org/drawingml/2006/main">
          <a:endParaRPr lang="en-GB" sz="800" b="0" i="0">
            <a:solidFill>
              <a:srgbClr val="000000"/>
            </a:solidFill>
            <a:latin typeface="Arial Narrow" panose="020B0606020202030204" pitchFamily="34" charset="0"/>
          </a:endParaRPr>
        </a:p>
      </cdr:txBody>
    </cdr:sp>
  </cdr:absSizeAnchor>
</c:userShapes>
</file>

<file path=word/drawings/drawing10.xml><?xml version="1.0" encoding="utf-8"?>
<c:userShapes xmlns:c="http://schemas.openxmlformats.org/drawingml/2006/chart">
  <cdr:relSizeAnchor xmlns:cdr="http://schemas.openxmlformats.org/drawingml/2006/chartDrawing">
    <cdr:from>
      <cdr:x>0.46458</cdr:x>
      <cdr:y>0</cdr:y>
    </cdr:from>
    <cdr:to>
      <cdr:x>0.53606</cdr:x>
      <cdr:y>0.10069</cdr:y>
    </cdr:to>
    <cdr:pic>
      <cdr:nvPicPr>
        <cdr:cNvPr id="2" name="chart">
          <a:extLst xmlns:a="http://schemas.openxmlformats.org/drawingml/2006/main">
            <a:ext uri="{FF2B5EF4-FFF2-40B4-BE49-F238E27FC236}">
              <a16:creationId xmlns:a16="http://schemas.microsoft.com/office/drawing/2014/main" id="{BDB0E49A-CD6B-B04A-EC49-20A3B2642C01}"/>
            </a:ext>
          </a:extLst>
        </cdr:cNvPr>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2124075" y="0"/>
          <a:ext cx="326807" cy="276213"/>
        </a:xfrm>
        <a:prstGeom xmlns:a="http://schemas.openxmlformats.org/drawingml/2006/main" prst="rect">
          <a:avLst/>
        </a:prstGeom>
      </cdr:spPr>
    </cdr:pic>
  </cdr:relSizeAnchor>
</c:userShapes>
</file>

<file path=word/drawings/drawing11.xml><?xml version="1.0" encoding="utf-8"?>
<c:userShapes xmlns:c="http://schemas.openxmlformats.org/drawingml/2006/chart">
  <cdr:relSizeAnchor xmlns:cdr="http://schemas.openxmlformats.org/drawingml/2006/chartDrawing">
    <cdr:from>
      <cdr:x>0.4875</cdr:x>
      <cdr:y>0.01389</cdr:y>
    </cdr:from>
    <cdr:to>
      <cdr:x>0.54583</cdr:x>
      <cdr:y>0.10417</cdr:y>
    </cdr:to>
    <cdr:sp macro="" textlink="">
      <cdr:nvSpPr>
        <cdr:cNvPr id="2" name="TextBox 1"/>
        <cdr:cNvSpPr txBox="1"/>
      </cdr:nvSpPr>
      <cdr:spPr>
        <a:xfrm xmlns:a="http://schemas.openxmlformats.org/drawingml/2006/main">
          <a:off x="2228851" y="38100"/>
          <a:ext cx="266699" cy="24765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a:t>%</a:t>
          </a:r>
        </a:p>
      </cdr:txBody>
    </cdr:sp>
  </cdr:relSizeAnchor>
</c:userShapes>
</file>

<file path=word/drawings/drawing12.xml><?xml version="1.0" encoding="utf-8"?>
<c:userShapes xmlns:c="http://schemas.openxmlformats.org/drawingml/2006/chart">
  <cdr:relSizeAnchor xmlns:cdr="http://schemas.openxmlformats.org/drawingml/2006/chartDrawing">
    <cdr:from>
      <cdr:x>0.43396</cdr:x>
      <cdr:y>0.03528</cdr:y>
    </cdr:from>
    <cdr:to>
      <cdr:x>0.54167</cdr:x>
      <cdr:y>0.16583</cdr:y>
    </cdr:to>
    <cdr:sp macro="" textlink="">
      <cdr:nvSpPr>
        <cdr:cNvPr id="2" name="TextBox 1"/>
        <cdr:cNvSpPr txBox="1"/>
      </cdr:nvSpPr>
      <cdr:spPr>
        <a:xfrm xmlns:a="http://schemas.openxmlformats.org/drawingml/2006/main">
          <a:off x="1249680" y="76200"/>
          <a:ext cx="310181" cy="28194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a:t>%</a:t>
          </a:r>
        </a:p>
      </cdr:txBody>
    </cdr:sp>
  </cdr:relSizeAnchor>
</c:userShapes>
</file>

<file path=word/drawings/drawing13.xml><?xml version="1.0" encoding="utf-8"?>
<c:userShapes xmlns:c="http://schemas.openxmlformats.org/drawingml/2006/chart">
  <cdr:relSizeAnchor xmlns:cdr="http://schemas.openxmlformats.org/drawingml/2006/chartDrawing">
    <cdr:from>
      <cdr:x>0.46042</cdr:x>
      <cdr:y>0.03472</cdr:y>
    </cdr:from>
    <cdr:to>
      <cdr:x>0.52083</cdr:x>
      <cdr:y>0.11458</cdr:y>
    </cdr:to>
    <cdr:sp macro="" textlink="">
      <cdr:nvSpPr>
        <cdr:cNvPr id="2" name="TextBox 1"/>
        <cdr:cNvSpPr txBox="1"/>
      </cdr:nvSpPr>
      <cdr:spPr>
        <a:xfrm xmlns:a="http://schemas.openxmlformats.org/drawingml/2006/main">
          <a:off x="2105025" y="95250"/>
          <a:ext cx="276225" cy="21907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ro-RO" sz="1100"/>
            <a:t>%</a:t>
          </a:r>
          <a:endParaRPr lang="en-US" sz="1100"/>
        </a:p>
      </cdr:txBody>
    </cdr:sp>
  </cdr:relSizeAnchor>
</c:userShapes>
</file>

<file path=word/drawings/drawing14.xml><?xml version="1.0" encoding="utf-8"?>
<c:userShapes xmlns:c="http://schemas.openxmlformats.org/drawingml/2006/chart">
  <cdr:relSizeAnchor xmlns:cdr="http://schemas.openxmlformats.org/drawingml/2006/chartDrawing">
    <cdr:from>
      <cdr:x>0.50417</cdr:x>
      <cdr:y>0.05208</cdr:y>
    </cdr:from>
    <cdr:to>
      <cdr:x>0.56042</cdr:x>
      <cdr:y>0.14236</cdr:y>
    </cdr:to>
    <cdr:sp macro="" textlink="">
      <cdr:nvSpPr>
        <cdr:cNvPr id="2" name="TextBox 1"/>
        <cdr:cNvSpPr txBox="1"/>
      </cdr:nvSpPr>
      <cdr:spPr>
        <a:xfrm xmlns:a="http://schemas.openxmlformats.org/drawingml/2006/main">
          <a:off x="2305050" y="142875"/>
          <a:ext cx="257175" cy="24765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a:t>%</a:t>
          </a:r>
        </a:p>
      </cdr:txBody>
    </cdr:sp>
  </cdr:relSizeAnchor>
</c:userShapes>
</file>

<file path=word/drawings/drawing15.xml><?xml version="1.0" encoding="utf-8"?>
<c:userShapes xmlns:c="http://schemas.openxmlformats.org/drawingml/2006/chart">
  <cdr:relSizeAnchor xmlns:cdr="http://schemas.openxmlformats.org/drawingml/2006/chartDrawing">
    <cdr:from>
      <cdr:x>0.45417</cdr:x>
      <cdr:y>0.02778</cdr:y>
    </cdr:from>
    <cdr:to>
      <cdr:x>0.55</cdr:x>
      <cdr:y>0.10069</cdr:y>
    </cdr:to>
    <cdr:sp macro="" textlink="">
      <cdr:nvSpPr>
        <cdr:cNvPr id="2" name="TextBox 1"/>
        <cdr:cNvSpPr txBox="1"/>
      </cdr:nvSpPr>
      <cdr:spPr>
        <a:xfrm xmlns:a="http://schemas.openxmlformats.org/drawingml/2006/main">
          <a:off x="2076450" y="76200"/>
          <a:ext cx="438150" cy="20002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ro-RO" sz="1100"/>
            <a:t>%</a:t>
          </a:r>
          <a:endParaRPr lang="en-US" sz="1100"/>
        </a:p>
      </cdr:txBody>
    </cdr:sp>
  </cdr:relSizeAnchor>
</c:userShapes>
</file>

<file path=word/drawings/drawing16.xml><?xml version="1.0" encoding="utf-8"?>
<c:userShapes xmlns:c="http://schemas.openxmlformats.org/drawingml/2006/chart">
  <cdr:relSizeAnchor xmlns:cdr="http://schemas.openxmlformats.org/drawingml/2006/chartDrawing">
    <cdr:from>
      <cdr:x>0.47083</cdr:x>
      <cdr:y>0.05208</cdr:y>
    </cdr:from>
    <cdr:to>
      <cdr:x>0.55</cdr:x>
      <cdr:y>0.11806</cdr:y>
    </cdr:to>
    <cdr:sp macro="" textlink="">
      <cdr:nvSpPr>
        <cdr:cNvPr id="2" name="TextBox 1"/>
        <cdr:cNvSpPr txBox="1"/>
      </cdr:nvSpPr>
      <cdr:spPr>
        <a:xfrm xmlns:a="http://schemas.openxmlformats.org/drawingml/2006/main">
          <a:off x="2152650" y="142875"/>
          <a:ext cx="361950" cy="18097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ro-RO" sz="1100"/>
            <a:t>%</a:t>
          </a:r>
          <a:endParaRPr lang="en-US" sz="1100"/>
        </a:p>
      </cdr:txBody>
    </cdr:sp>
  </cdr:relSizeAnchor>
</c:userShapes>
</file>

<file path=word/drawings/drawing17.xml><?xml version="1.0" encoding="utf-8"?>
<c:userShapes xmlns:c="http://schemas.openxmlformats.org/drawingml/2006/chart">
  <cdr:relSizeAnchor xmlns:cdr="http://schemas.openxmlformats.org/drawingml/2006/chartDrawing">
    <cdr:from>
      <cdr:x>0.475</cdr:x>
      <cdr:y>0.02083</cdr:y>
    </cdr:from>
    <cdr:to>
      <cdr:x>0.53542</cdr:x>
      <cdr:y>0.11806</cdr:y>
    </cdr:to>
    <cdr:sp macro="" textlink="">
      <cdr:nvSpPr>
        <cdr:cNvPr id="2" name="TextBox 1"/>
        <cdr:cNvSpPr txBox="1"/>
      </cdr:nvSpPr>
      <cdr:spPr>
        <a:xfrm xmlns:a="http://schemas.openxmlformats.org/drawingml/2006/main">
          <a:off x="2171700" y="57150"/>
          <a:ext cx="276225" cy="2667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ro-RO" sz="1100"/>
            <a:t>%</a:t>
          </a:r>
          <a:endParaRPr lang="en-US" sz="1100"/>
        </a:p>
      </cdr:txBody>
    </cdr:sp>
  </cdr:relSizeAnchor>
</c:userShapes>
</file>

<file path=word/drawings/drawing18.xml><?xml version="1.0" encoding="utf-8"?>
<c:userShapes xmlns:c="http://schemas.openxmlformats.org/drawingml/2006/chart">
  <cdr:relSizeAnchor xmlns:cdr="http://schemas.openxmlformats.org/drawingml/2006/chartDrawing">
    <cdr:from>
      <cdr:x>0.46154</cdr:x>
      <cdr:y>0.02066</cdr:y>
    </cdr:from>
    <cdr:to>
      <cdr:x>0.55335</cdr:x>
      <cdr:y>0.1405</cdr:y>
    </cdr:to>
    <cdr:sp macro="" textlink="">
      <cdr:nvSpPr>
        <cdr:cNvPr id="2" name="TextBox 1"/>
        <cdr:cNvSpPr txBox="1"/>
      </cdr:nvSpPr>
      <cdr:spPr>
        <a:xfrm xmlns:a="http://schemas.openxmlformats.org/drawingml/2006/main">
          <a:off x="2109107" y="56697"/>
          <a:ext cx="419553" cy="328839"/>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a:t>%</a:t>
          </a:r>
        </a:p>
      </cdr:txBody>
    </cdr:sp>
  </cdr:relSizeAnchor>
</c:userShapes>
</file>

<file path=word/drawings/drawing19.xml><?xml version="1.0" encoding="utf-8"?>
<c:userShapes xmlns:c="http://schemas.openxmlformats.org/drawingml/2006/chart">
  <cdr:relSizeAnchor xmlns:cdr="http://schemas.openxmlformats.org/drawingml/2006/chartDrawing">
    <cdr:from>
      <cdr:x>0.48139</cdr:x>
      <cdr:y>0.02479</cdr:y>
    </cdr:from>
    <cdr:to>
      <cdr:x>0.54591</cdr:x>
      <cdr:y>0.11983</cdr:y>
    </cdr:to>
    <cdr:sp macro="" textlink="">
      <cdr:nvSpPr>
        <cdr:cNvPr id="2" name="TextBox 1"/>
        <cdr:cNvSpPr txBox="1"/>
      </cdr:nvSpPr>
      <cdr:spPr>
        <a:xfrm xmlns:a="http://schemas.openxmlformats.org/drawingml/2006/main">
          <a:off x="2199822" y="68035"/>
          <a:ext cx="294821" cy="260804"/>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a:t>%</a:t>
          </a:r>
        </a:p>
      </cdr:txBody>
    </cdr:sp>
  </cdr:relSizeAnchor>
</c:userShapes>
</file>

<file path=word/drawings/drawing2.xml><?xml version="1.0" encoding="utf-8"?>
<c:userShapes xmlns:c="http://schemas.openxmlformats.org/drawingml/2006/chart">
  <cdr:absSizeAnchor xmlns:cdr="http://schemas.openxmlformats.org/drawingml/2006/chartDrawing">
    <cdr:from>
      <cdr:x>0.01321</cdr:x>
      <cdr:y>0.08052</cdr:y>
    </cdr:from>
    <cdr:ext cx="3637000" cy="193236"/>
    <cdr:sp macro="" textlink="">
      <cdr:nvSpPr>
        <cdr:cNvPr id="2" name="TextBox 1"/>
        <cdr:cNvSpPr txBox="1"/>
      </cdr:nvSpPr>
      <cdr:spPr>
        <a:xfrm xmlns:a="http://schemas.openxmlformats.org/drawingml/2006/main">
          <a:off x="75066" y="206306"/>
          <a:ext cx="3637000" cy="193236"/>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pPr rtl="0" eaLnBrk="1" fontAlgn="auto" latinLnBrk="0" hangingPunct="1"/>
          <a:r>
            <a:rPr lang="en-GB" sz="800" b="0" i="0" baseline="0">
              <a:solidFill>
                <a:srgbClr val="000000"/>
              </a:solidFill>
              <a:effectLst/>
              <a:latin typeface="Arial Narrow" panose="020B0606020202030204" pitchFamily="34" charset="0"/>
              <a:ea typeface="+mn-ea"/>
              <a:cs typeface="+mn-cs"/>
            </a:rPr>
            <a:t>%</a:t>
          </a:r>
        </a:p>
      </cdr:txBody>
    </cdr:sp>
  </cdr:absSizeAnchor>
  <cdr:absSizeAnchor xmlns:cdr="http://schemas.openxmlformats.org/drawingml/2006/chartDrawing">
    <cdr:from>
      <cdr:x>0.96221</cdr:x>
      <cdr:y>0.10828</cdr:y>
    </cdr:from>
    <cdr:ext cx="193765" cy="82963"/>
    <cdr:sp macro="" textlink="">
      <cdr:nvSpPr>
        <cdr:cNvPr id="17" name="xlamTextsS2P50">
          <a:extLst xmlns:a="http://schemas.openxmlformats.org/drawingml/2006/main">
            <a:ext uri="{FF2B5EF4-FFF2-40B4-BE49-F238E27FC236}">
              <a16:creationId xmlns:a16="http://schemas.microsoft.com/office/drawing/2014/main" id="{FC39B56C-9CE0-2218-1923-80D4A0D23ACB}"/>
            </a:ext>
          </a:extLst>
        </cdr:cNvPr>
        <cdr:cNvSpPr txBox="1"/>
      </cdr:nvSpPr>
      <cdr:spPr>
        <a:xfrm xmlns:a="http://schemas.openxmlformats.org/drawingml/2006/main">
          <a:off x="6080816" y="230507"/>
          <a:ext cx="193634" cy="85065"/>
        </a:xfrm>
        <a:prstGeom xmlns:a="http://schemas.openxmlformats.org/drawingml/2006/main" prst="rect">
          <a:avLst/>
        </a:prstGeom>
      </cdr:spPr>
      <cdr:txBody>
        <a:bodyPr xmlns:a="http://schemas.openxmlformats.org/drawingml/2006/main" vertOverflow="clip" vert="horz" wrap="none" lIns="0" tIns="0" bIns="0" rtlCol="0">
          <a:spAutoFit/>
        </a:bodyPr>
        <a:lstStyle xmlns:a="http://schemas.openxmlformats.org/drawingml/2006/main"/>
        <a:p xmlns:a="http://schemas.openxmlformats.org/drawingml/2006/main">
          <a:pPr algn="ctr"/>
          <a:r>
            <a:rPr lang="en-US" sz="700" b="0" i="0">
              <a:solidFill>
                <a:srgbClr val="000000"/>
              </a:solidFill>
              <a:latin typeface="Arial Narrow" panose="020B0606020202030204" pitchFamily="34" charset="0"/>
            </a:rPr>
            <a:t>63</a:t>
          </a:r>
          <a:endParaRPr lang="en-US" sz="800" b="0" i="0">
            <a:solidFill>
              <a:srgbClr val="000000"/>
            </a:solidFill>
            <a:latin typeface="Arial Narrow" panose="020B0606020202030204" pitchFamily="34" charset="0"/>
          </a:endParaRPr>
        </a:p>
      </cdr:txBody>
    </cdr:sp>
  </cdr:absSizeAnchor>
</c:userShapes>
</file>

<file path=word/drawings/drawing20.xml><?xml version="1.0" encoding="utf-8"?>
<c:userShapes xmlns:c="http://schemas.openxmlformats.org/drawingml/2006/chart">
  <cdr:relSizeAnchor xmlns:cdr="http://schemas.openxmlformats.org/drawingml/2006/chartDrawing">
    <cdr:from>
      <cdr:x>0.48139</cdr:x>
      <cdr:y>0.02479</cdr:y>
    </cdr:from>
    <cdr:to>
      <cdr:x>0.54591</cdr:x>
      <cdr:y>0.11983</cdr:y>
    </cdr:to>
    <cdr:sp macro="" textlink="">
      <cdr:nvSpPr>
        <cdr:cNvPr id="2" name="TextBox 1"/>
        <cdr:cNvSpPr txBox="1"/>
      </cdr:nvSpPr>
      <cdr:spPr>
        <a:xfrm xmlns:a="http://schemas.openxmlformats.org/drawingml/2006/main">
          <a:off x="2199822" y="68035"/>
          <a:ext cx="294821" cy="260804"/>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a:t>%</a:t>
          </a:r>
        </a:p>
      </cdr:txBody>
    </cdr:sp>
  </cdr:relSizeAnchor>
</c:userShapes>
</file>

<file path=word/drawings/drawing3.xml><?xml version="1.0" encoding="utf-8"?>
<c:userShapes xmlns:c="http://schemas.openxmlformats.org/drawingml/2006/chart">
  <cdr:absSizeAnchor xmlns:cdr="http://schemas.openxmlformats.org/drawingml/2006/chartDrawing">
    <cdr:from>
      <cdr:x>0.00433</cdr:x>
      <cdr:y>0.91753</cdr:y>
    </cdr:from>
    <cdr:ext cx="5750950" cy="243839"/>
    <cdr:sp macro="" textlink="">
      <cdr:nvSpPr>
        <cdr:cNvPr id="2" name="FootonotesShape">
          <a:extLst xmlns:a="http://schemas.openxmlformats.org/drawingml/2006/main">
            <a:ext uri="{FF2B5EF4-FFF2-40B4-BE49-F238E27FC236}">
              <a16:creationId xmlns:a16="http://schemas.microsoft.com/office/drawing/2014/main" id="{E985B606-B29F-5E42-ABC3-A2B968C35674}"/>
            </a:ext>
          </a:extLst>
        </cdr:cNvPr>
        <cdr:cNvSpPr txBox="1"/>
      </cdr:nvSpPr>
      <cdr:spPr>
        <a:xfrm xmlns:a="http://schemas.openxmlformats.org/drawingml/2006/main">
          <a:off x="25010" y="2712720"/>
          <a:ext cx="5750950" cy="243839"/>
        </a:xfrm>
        <a:prstGeom xmlns:a="http://schemas.openxmlformats.org/drawingml/2006/main" prst="rect">
          <a:avLst/>
        </a:prstGeom>
      </cdr:spPr>
      <cdr:txBody>
        <a:bodyPr xmlns:a="http://schemas.openxmlformats.org/drawingml/2006/main" vertOverflow="clip" vert="horz" wrap="square" rtlCol="0">
          <a:noAutofit/>
        </a:bodyPr>
        <a:lstStyle xmlns:a="http://schemas.openxmlformats.org/drawingml/2006/main"/>
        <a:p xmlns:a="http://schemas.openxmlformats.org/drawingml/2006/main">
          <a:pPr>
            <a:spcBef>
              <a:spcPts val="300"/>
            </a:spcBef>
          </a:pPr>
          <a:r>
            <a:rPr lang="en-GB" sz="1000">
              <a:latin typeface="+mj-lt"/>
            </a:rPr>
            <a:t>(¹) </a:t>
          </a:r>
          <a:r>
            <a:rPr lang="ro-RO" sz="1000">
              <a:latin typeface="+mj-lt"/>
            </a:rPr>
            <a:t>î</a:t>
          </a:r>
          <a:r>
            <a:rPr lang="en-GB" sz="1000">
              <a:latin typeface="+mj-lt"/>
            </a:rPr>
            <a:t>ncredere</a:t>
          </a:r>
          <a:r>
            <a:rPr lang="en-GB" sz="1000" baseline="0">
              <a:latin typeface="+mj-lt"/>
            </a:rPr>
            <a:t> sc</a:t>
          </a:r>
          <a:r>
            <a:rPr lang="ro-RO" sz="1000" baseline="0">
              <a:latin typeface="+mj-lt"/>
            </a:rPr>
            <a:t>ă</a:t>
          </a:r>
          <a:r>
            <a:rPr lang="en-GB" sz="1000" baseline="0">
              <a:latin typeface="+mj-lt"/>
            </a:rPr>
            <a:t>zut</a:t>
          </a:r>
          <a:r>
            <a:rPr lang="ro-RO" sz="1000" baseline="0">
              <a:latin typeface="+mj-lt"/>
            </a:rPr>
            <a:t>ă</a:t>
          </a:r>
          <a:endParaRPr lang="en-GB" sz="1000">
            <a:latin typeface="+mj-lt"/>
          </a:endParaRPr>
        </a:p>
      </cdr:txBody>
    </cdr:sp>
  </cdr:absSizeAnchor>
</c:userShapes>
</file>

<file path=word/drawings/drawing4.xml><?xml version="1.0" encoding="utf-8"?>
<c:userShapes xmlns:c="http://schemas.openxmlformats.org/drawingml/2006/chart">
  <cdr:absSizeAnchor xmlns:cdr="http://schemas.openxmlformats.org/drawingml/2006/chartDrawing">
    <cdr:from>
      <cdr:x>0</cdr:x>
      <cdr:y>0.89316</cdr:y>
    </cdr:from>
    <cdr:ext cx="5715000" cy="280204"/>
    <cdr:sp macro="" textlink="">
      <cdr:nvSpPr>
        <cdr:cNvPr id="2" name="FootonotesShape">
          <a:extLst xmlns:a="http://schemas.openxmlformats.org/drawingml/2006/main">
            <a:ext uri="{FF2B5EF4-FFF2-40B4-BE49-F238E27FC236}">
              <a16:creationId xmlns:a16="http://schemas.microsoft.com/office/drawing/2014/main" id="{C6141E27-882E-5566-AEC6-F9DAE29D464D}"/>
            </a:ext>
          </a:extLst>
        </cdr:cNvPr>
        <cdr:cNvSpPr txBox="1"/>
      </cdr:nvSpPr>
      <cdr:spPr>
        <a:xfrm xmlns:a="http://schemas.openxmlformats.org/drawingml/2006/main">
          <a:off x="0" y="2715539"/>
          <a:ext cx="5715000" cy="280204"/>
        </a:xfrm>
        <a:prstGeom xmlns:a="http://schemas.openxmlformats.org/drawingml/2006/main" prst="rect">
          <a:avLst/>
        </a:prstGeom>
      </cdr:spPr>
      <cdr:txBody>
        <a:bodyPr xmlns:a="http://schemas.openxmlformats.org/drawingml/2006/main" vertOverflow="clip" vert="horz" wrap="square" rtlCol="0">
          <a:spAutoFit/>
        </a:bodyPr>
        <a:lstStyle xmlns:a="http://schemas.openxmlformats.org/drawingml/2006/main"/>
        <a:p xmlns:a="http://schemas.openxmlformats.org/drawingml/2006/main">
          <a:pPr>
            <a:spcBef>
              <a:spcPts val="300"/>
            </a:spcBef>
          </a:pPr>
          <a:r>
            <a:rPr lang="en-GB" sz="1200">
              <a:latin typeface="+mn-lt"/>
            </a:rPr>
            <a:t>(¹) </a:t>
          </a:r>
          <a:r>
            <a:rPr lang="ro-RO" sz="1000">
              <a:latin typeface="+mn-lt"/>
            </a:rPr>
            <a:t>încredere</a:t>
          </a:r>
          <a:r>
            <a:rPr lang="ro-RO" sz="1000" baseline="0">
              <a:latin typeface="+mn-lt"/>
            </a:rPr>
            <a:t> scăzută</a:t>
          </a:r>
          <a:endParaRPr lang="en-GB" sz="1000">
            <a:latin typeface="+mn-lt"/>
          </a:endParaRPr>
        </a:p>
      </cdr:txBody>
    </cdr:sp>
  </cdr:absSizeAnchor>
</c:userShapes>
</file>

<file path=word/drawings/drawing5.xml><?xml version="1.0" encoding="utf-8"?>
<c:userShapes xmlns:c="http://schemas.openxmlformats.org/drawingml/2006/chart">
  <cdr:absSizeAnchor xmlns:cdr="http://schemas.openxmlformats.org/drawingml/2006/chartDrawing">
    <cdr:from>
      <cdr:x>0.01265</cdr:x>
      <cdr:y>0.07655</cdr:y>
    </cdr:from>
    <cdr:ext cx="1701202" cy="184251"/>
    <cdr:sp macro="" textlink="">
      <cdr:nvSpPr>
        <cdr:cNvPr id="24" name="TextBox 23"/>
        <cdr:cNvSpPr txBox="1"/>
      </cdr:nvSpPr>
      <cdr:spPr>
        <a:xfrm xmlns:a="http://schemas.openxmlformats.org/drawingml/2006/main">
          <a:off x="72307" y="196180"/>
          <a:ext cx="1701202" cy="184251"/>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marL="0" marR="0" lvl="0" indent="0" defTabSz="914400" rtl="0" eaLnBrk="1" fontAlgn="auto" latinLnBrk="0" hangingPunct="1">
            <a:lnSpc>
              <a:spcPct val="100000"/>
            </a:lnSpc>
            <a:spcBef>
              <a:spcPts val="0"/>
            </a:spcBef>
            <a:spcAft>
              <a:spcPts val="0"/>
            </a:spcAft>
            <a:buClrTx/>
            <a:buSzTx/>
            <a:buFontTx/>
            <a:buNone/>
            <a:tabLst/>
            <a:defRPr/>
          </a:pPr>
          <a:r>
            <a:rPr lang="en-GB" sz="800" b="0" i="0" baseline="0">
              <a:solidFill>
                <a:srgbClr val="000000"/>
              </a:solidFill>
              <a:effectLst/>
              <a:latin typeface="Arial Narrow" panose="020B0606020202030204" pitchFamily="34" charset="0"/>
              <a:ea typeface="+mn-ea"/>
              <a:cs typeface="+mn-cs"/>
            </a:rPr>
            <a:t>% </a:t>
          </a:r>
          <a:endParaRPr lang="en-GB" sz="800" b="0" i="0">
            <a:solidFill>
              <a:srgbClr val="000000"/>
            </a:solidFill>
            <a:latin typeface="Arial Narrow" panose="020B0606020202030204" pitchFamily="34" charset="0"/>
          </a:endParaRPr>
        </a:p>
      </cdr:txBody>
    </cdr:sp>
  </cdr:absSizeAnchor>
</c:userShapes>
</file>

<file path=word/drawings/drawing6.xml><?xml version="1.0" encoding="utf-8"?>
<c:userShapes xmlns:c="http://schemas.openxmlformats.org/drawingml/2006/chart">
  <cdr:absSizeAnchor xmlns:cdr="http://schemas.openxmlformats.org/drawingml/2006/chartDrawing">
    <cdr:from>
      <cdr:x>0.00987</cdr:x>
      <cdr:y>0.06101</cdr:y>
    </cdr:from>
    <cdr:ext cx="3988070" cy="345446"/>
    <cdr:sp macro="" textlink="">
      <cdr:nvSpPr>
        <cdr:cNvPr id="2" name="TextBox 1"/>
        <cdr:cNvSpPr txBox="1"/>
      </cdr:nvSpPr>
      <cdr:spPr>
        <a:xfrm xmlns:a="http://schemas.openxmlformats.org/drawingml/2006/main">
          <a:off x="67529" y="209368"/>
          <a:ext cx="4357189" cy="317858"/>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GB" sz="750" b="0" i="0">
              <a:solidFill>
                <a:srgbClr val="000000"/>
              </a:solidFill>
              <a:latin typeface="Arial Narrow" panose="020B0606020202030204" pitchFamily="34" charset="0"/>
            </a:rPr>
            <a:t>% </a:t>
          </a:r>
          <a:r>
            <a:rPr lang="ro-RO" sz="750" b="0" i="0">
              <a:solidFill>
                <a:srgbClr val="000000"/>
              </a:solidFill>
              <a:latin typeface="Arial Narrow" panose="020B0606020202030204" pitchFamily="34" charset="0"/>
            </a:rPr>
            <a:t>persoane de</a:t>
          </a:r>
          <a:r>
            <a:rPr lang="ro-RO" sz="750" b="0" i="0" baseline="0">
              <a:solidFill>
                <a:srgbClr val="000000"/>
              </a:solidFill>
              <a:latin typeface="Arial Narrow" panose="020B0606020202030204" pitchFamily="34" charset="0"/>
            </a:rPr>
            <a:t> 15 ani care au fumat cel puțin o țigară în ultimele 30 de zile</a:t>
          </a:r>
          <a:endParaRPr lang="en-GB" sz="750" b="0" i="0">
            <a:solidFill>
              <a:srgbClr val="000000"/>
            </a:solidFill>
            <a:latin typeface="Arial Narrow" panose="020B0606020202030204" pitchFamily="34" charset="0"/>
          </a:endParaRPr>
        </a:p>
      </cdr:txBody>
    </cdr:sp>
  </cdr:absSizeAnchor>
</c:userShapes>
</file>

<file path=word/drawings/drawing7.xml><?xml version="1.0" encoding="utf-8"?>
<c:userShapes xmlns:c="http://schemas.openxmlformats.org/drawingml/2006/chart">
  <cdr:relSizeAnchor xmlns:cdr="http://schemas.openxmlformats.org/drawingml/2006/chartDrawing">
    <cdr:from>
      <cdr:x>0.5974</cdr:x>
      <cdr:y>0.07686</cdr:y>
    </cdr:from>
    <cdr:to>
      <cdr:x>0.65574</cdr:x>
      <cdr:y>0.1845</cdr:y>
    </cdr:to>
    <cdr:sp macro="" textlink="">
      <cdr:nvSpPr>
        <cdr:cNvPr id="2" name="TextBox 1"/>
        <cdr:cNvSpPr txBox="1"/>
      </cdr:nvSpPr>
      <cdr:spPr>
        <a:xfrm xmlns:a="http://schemas.openxmlformats.org/drawingml/2006/main">
          <a:off x="2885212" y="201092"/>
          <a:ext cx="281761" cy="281608"/>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ro-RO" sz="1100"/>
            <a:t>%</a:t>
          </a:r>
          <a:endParaRPr lang="en-US" sz="1100"/>
        </a:p>
      </cdr:txBody>
    </cdr:sp>
  </cdr:relSizeAnchor>
</c:userShapes>
</file>

<file path=word/drawings/drawing8.xml><?xml version="1.0" encoding="utf-8"?>
<c:userShapes xmlns:c="http://schemas.openxmlformats.org/drawingml/2006/chart">
  <cdr:relSizeAnchor xmlns:cdr="http://schemas.openxmlformats.org/drawingml/2006/chartDrawing">
    <cdr:from>
      <cdr:x>0</cdr:x>
      <cdr:y>0</cdr:y>
    </cdr:from>
    <cdr:to>
      <cdr:x>0.00533</cdr:x>
      <cdr:y>0.00889</cdr:y>
    </cdr:to>
    <cdr:pic>
      <cdr:nvPicPr>
        <cdr:cNvPr id="2" name="chart">
          <a:extLst xmlns:a="http://schemas.openxmlformats.org/drawingml/2006/main">
            <a:ext uri="{FF2B5EF4-FFF2-40B4-BE49-F238E27FC236}">
              <a16:creationId xmlns:a16="http://schemas.microsoft.com/office/drawing/2014/main" id="{685E987E-BBD1-6C85-ABFA-F24201239BA3}"/>
            </a:ext>
          </a:extLst>
        </cdr:cNvPr>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0" y="0"/>
          <a:ext cx="24386" cy="24386"/>
        </a:xfrm>
        <a:prstGeom xmlns:a="http://schemas.openxmlformats.org/drawingml/2006/main" prst="rect">
          <a:avLst/>
        </a:prstGeom>
      </cdr:spPr>
    </cdr:pic>
  </cdr:relSizeAnchor>
  <cdr:relSizeAnchor xmlns:cdr="http://schemas.openxmlformats.org/drawingml/2006/chartDrawing">
    <cdr:from>
      <cdr:x>0.47292</cdr:x>
      <cdr:y>0.02083</cdr:y>
    </cdr:from>
    <cdr:to>
      <cdr:x>0.52708</cdr:x>
      <cdr:y>0.10417</cdr:y>
    </cdr:to>
    <cdr:sp macro="" textlink="">
      <cdr:nvSpPr>
        <cdr:cNvPr id="3" name="TextBox 2"/>
        <cdr:cNvSpPr txBox="1"/>
      </cdr:nvSpPr>
      <cdr:spPr>
        <a:xfrm xmlns:a="http://schemas.openxmlformats.org/drawingml/2006/main">
          <a:off x="2162175" y="57150"/>
          <a:ext cx="247650" cy="2286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ro-RO" sz="1100"/>
            <a:t>%</a:t>
          </a:r>
          <a:endParaRPr lang="en-US" sz="1100"/>
        </a:p>
      </cdr:txBody>
    </cdr:sp>
  </cdr:relSizeAnchor>
</c:userShapes>
</file>

<file path=word/drawings/drawing9.xml><?xml version="1.0" encoding="utf-8"?>
<c:userShapes xmlns:c="http://schemas.openxmlformats.org/drawingml/2006/chart">
  <cdr:relSizeAnchor xmlns:cdr="http://schemas.openxmlformats.org/drawingml/2006/chartDrawing">
    <cdr:from>
      <cdr:x>0.45417</cdr:x>
      <cdr:y>0.02431</cdr:y>
    </cdr:from>
    <cdr:to>
      <cdr:x>0.51667</cdr:x>
      <cdr:y>0.11458</cdr:y>
    </cdr:to>
    <cdr:sp macro="" textlink="">
      <cdr:nvSpPr>
        <cdr:cNvPr id="2" name="TextBox 1"/>
        <cdr:cNvSpPr txBox="1"/>
      </cdr:nvSpPr>
      <cdr:spPr>
        <a:xfrm xmlns:a="http://schemas.openxmlformats.org/drawingml/2006/main">
          <a:off x="2076450" y="66675"/>
          <a:ext cx="285750" cy="24765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a:t>%</a:t>
          </a:r>
        </a:p>
      </cdr:txBody>
    </cdr:sp>
  </cdr:relSizeAnchor>
</c:userShapes>
</file>

<file path=word/theme/theme1.xml><?xml version="1.0" encoding="utf-8"?>
<a:theme xmlns:a="http://schemas.openxmlformats.org/drawingml/2006/main" name="INSP">
  <a:themeElements>
    <a:clrScheme name="INSP">
      <a:dk1>
        <a:srgbClr val="6D6D6D"/>
      </a:dk1>
      <a:lt1>
        <a:sysClr val="window" lastClr="FFFFFF"/>
      </a:lt1>
      <a:dk2>
        <a:srgbClr val="262262"/>
      </a:dk2>
      <a:lt2>
        <a:srgbClr val="949598"/>
      </a:lt2>
      <a:accent1>
        <a:srgbClr val="01B69B"/>
      </a:accent1>
      <a:accent2>
        <a:srgbClr val="E41D48"/>
      </a:accent2>
      <a:accent3>
        <a:srgbClr val="FDC24E"/>
      </a:accent3>
      <a:accent4>
        <a:srgbClr val="00B9F2"/>
      </a:accent4>
      <a:accent5>
        <a:srgbClr val="FFFFFF"/>
      </a:accent5>
      <a:accent6>
        <a:srgbClr val="FFFFFF"/>
      </a:accent6>
      <a:hlink>
        <a:srgbClr val="00B9F2"/>
      </a:hlink>
      <a:folHlink>
        <a:srgbClr val="C00000"/>
      </a:folHlink>
    </a:clrScheme>
    <a:fontScheme name="Office 2007 - 2010">
      <a:majorFont>
        <a:latin typeface="Calibri"/>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Them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INSP" id="{9B2EF6F1-F4EB-4318-A542-5DBDA28C84B8}" vid="{9754CE77-CB0D-47C2-8352-95ED97DE9DBC}"/>
    </a:ext>
  </a:extLst>
</a:theme>
</file>

<file path=word/theme/themeOverride1.xml><?xml version="1.0" encoding="utf-8"?>
<a:themeOverride xmlns:a="http://schemas.openxmlformats.org/drawingml/2006/main">
  <a:clrScheme name="Custom 4">
    <a:dk1>
      <a:srgbClr val="363636"/>
    </a:dk1>
    <a:lt1>
      <a:sysClr val="window" lastClr="FFFFFF"/>
    </a:lt1>
    <a:dk2>
      <a:srgbClr val="262262"/>
    </a:dk2>
    <a:lt2>
      <a:srgbClr val="949598"/>
    </a:lt2>
    <a:accent1>
      <a:srgbClr val="C00000"/>
    </a:accent1>
    <a:accent2>
      <a:srgbClr val="FFBFBF"/>
    </a:accent2>
    <a:accent3>
      <a:srgbClr val="FF7F7F"/>
    </a:accent3>
    <a:accent4>
      <a:srgbClr val="FF4040"/>
    </a:accent4>
    <a:accent5>
      <a:srgbClr val="900000"/>
    </a:accent5>
    <a:accent6>
      <a:srgbClr val="600000"/>
    </a:accent6>
    <a:hlink>
      <a:srgbClr val="FFFFFF"/>
    </a:hlink>
    <a:folHlink>
      <a:srgbClr val="FFFFFF"/>
    </a:folHlink>
  </a:clrScheme>
  <a:fontScheme name="Office 2007 - 2010">
    <a:majorFont>
      <a:latin typeface="Calibri"/>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Them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Narrow"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Narrow"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2.xml><?xml version="1.0" encoding="utf-8"?>
<a:themeOverride xmlns:a="http://schemas.openxmlformats.org/drawingml/2006/main">
  <a:clrScheme name="Custom 10">
    <a:dk1>
      <a:srgbClr val="363636"/>
    </a:dk1>
    <a:lt1>
      <a:sysClr val="window" lastClr="FFFFFF"/>
    </a:lt1>
    <a:dk2>
      <a:srgbClr val="262262"/>
    </a:dk2>
    <a:lt2>
      <a:srgbClr val="949598"/>
    </a:lt2>
    <a:accent1>
      <a:srgbClr val="C00000"/>
    </a:accent1>
    <a:accent2>
      <a:srgbClr val="262262"/>
    </a:accent2>
    <a:accent3>
      <a:srgbClr val="C9C6EB"/>
    </a:accent3>
    <a:accent4>
      <a:srgbClr val="FFBFBF"/>
    </a:accent4>
    <a:accent5>
      <a:srgbClr val="D6D6D6"/>
    </a:accent5>
    <a:accent6>
      <a:srgbClr val="A0A0A0"/>
    </a:accent6>
    <a:hlink>
      <a:srgbClr val="FFFFFF"/>
    </a:hlink>
    <a:folHlink>
      <a:srgbClr val="FFFFFF"/>
    </a:folHlink>
  </a:clrScheme>
  <a:fontScheme name="Office 2007 - 2010">
    <a:majorFont>
      <a:latin typeface="Calibri"/>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Them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3.xml><?xml version="1.0" encoding="utf-8"?>
<a:themeOverride xmlns:a="http://schemas.openxmlformats.org/drawingml/2006/main">
  <a:clrScheme name="Custom 10">
    <a:dk1>
      <a:srgbClr val="363636"/>
    </a:dk1>
    <a:lt1>
      <a:sysClr val="window" lastClr="FFFFFF"/>
    </a:lt1>
    <a:dk2>
      <a:srgbClr val="262262"/>
    </a:dk2>
    <a:lt2>
      <a:srgbClr val="949598"/>
    </a:lt2>
    <a:accent1>
      <a:srgbClr val="C00000"/>
    </a:accent1>
    <a:accent2>
      <a:srgbClr val="262262"/>
    </a:accent2>
    <a:accent3>
      <a:srgbClr val="C9C6EB"/>
    </a:accent3>
    <a:accent4>
      <a:srgbClr val="FFBFBF"/>
    </a:accent4>
    <a:accent5>
      <a:srgbClr val="D6D6D6"/>
    </a:accent5>
    <a:accent6>
      <a:srgbClr val="A0A0A0"/>
    </a:accent6>
    <a:hlink>
      <a:srgbClr val="FFFFFF"/>
    </a:hlink>
    <a:folHlink>
      <a:srgbClr val="FFFFFF"/>
    </a:folHlink>
  </a:clrScheme>
  <a:fontScheme name="Office 2007 - 2010">
    <a:majorFont>
      <a:latin typeface="Calibri"/>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Them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4.xml><?xml version="1.0" encoding="utf-8"?>
<a:themeOverride xmlns:a="http://schemas.openxmlformats.org/drawingml/2006/main">
  <a:clrScheme name="Custom 10">
    <a:dk1>
      <a:srgbClr val="363636"/>
    </a:dk1>
    <a:lt1>
      <a:sysClr val="window" lastClr="FFFFFF"/>
    </a:lt1>
    <a:dk2>
      <a:srgbClr val="262262"/>
    </a:dk2>
    <a:lt2>
      <a:srgbClr val="949598"/>
    </a:lt2>
    <a:accent1>
      <a:srgbClr val="C00000"/>
    </a:accent1>
    <a:accent2>
      <a:srgbClr val="262262"/>
    </a:accent2>
    <a:accent3>
      <a:srgbClr val="C9C6EB"/>
    </a:accent3>
    <a:accent4>
      <a:srgbClr val="FFBFBF"/>
    </a:accent4>
    <a:accent5>
      <a:srgbClr val="D6D6D6"/>
    </a:accent5>
    <a:accent6>
      <a:srgbClr val="A0A0A0"/>
    </a:accent6>
    <a:hlink>
      <a:srgbClr val="FFFFFF"/>
    </a:hlink>
    <a:folHlink>
      <a:srgbClr val="FFFFFF"/>
    </a:folHlink>
  </a:clrScheme>
  <a:fontScheme name="Office 2007 - 2010">
    <a:majorFont>
      <a:latin typeface="Calibri"/>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Them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5.xml><?xml version="1.0" encoding="utf-8"?>
<a:themeOverride xmlns:a="http://schemas.openxmlformats.org/drawingml/2006/main">
  <a:clrScheme name="Custom 4">
    <a:dk1>
      <a:srgbClr val="363636"/>
    </a:dk1>
    <a:lt1>
      <a:sysClr val="window" lastClr="FFFFFF"/>
    </a:lt1>
    <a:dk2>
      <a:srgbClr val="262262"/>
    </a:dk2>
    <a:lt2>
      <a:srgbClr val="949598"/>
    </a:lt2>
    <a:accent1>
      <a:srgbClr val="C00000"/>
    </a:accent1>
    <a:accent2>
      <a:srgbClr val="FFBFBF"/>
    </a:accent2>
    <a:accent3>
      <a:srgbClr val="FF7F7F"/>
    </a:accent3>
    <a:accent4>
      <a:srgbClr val="FF4040"/>
    </a:accent4>
    <a:accent5>
      <a:srgbClr val="900000"/>
    </a:accent5>
    <a:accent6>
      <a:srgbClr val="600000"/>
    </a:accent6>
    <a:hlink>
      <a:srgbClr val="FFFFFF"/>
    </a:hlink>
    <a:folHlink>
      <a:srgbClr val="FFFFFF"/>
    </a:folHlink>
  </a:clrScheme>
  <a:fontScheme name="Office 2007 - 2010">
    <a:majorFont>
      <a:latin typeface="Calibri"/>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Them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6.xml><?xml version="1.0" encoding="utf-8"?>
<a:themeOverride xmlns:a="http://schemas.openxmlformats.org/drawingml/2006/main">
  <a:clrScheme name="Custom 4">
    <a:dk1>
      <a:srgbClr val="363636"/>
    </a:dk1>
    <a:lt1>
      <a:sysClr val="window" lastClr="FFFFFF"/>
    </a:lt1>
    <a:dk2>
      <a:srgbClr val="262262"/>
    </a:dk2>
    <a:lt2>
      <a:srgbClr val="949598"/>
    </a:lt2>
    <a:accent1>
      <a:srgbClr val="C00000"/>
    </a:accent1>
    <a:accent2>
      <a:srgbClr val="FFBFBF"/>
    </a:accent2>
    <a:accent3>
      <a:srgbClr val="FF7F7F"/>
    </a:accent3>
    <a:accent4>
      <a:srgbClr val="FF4040"/>
    </a:accent4>
    <a:accent5>
      <a:srgbClr val="900000"/>
    </a:accent5>
    <a:accent6>
      <a:srgbClr val="600000"/>
    </a:accent6>
    <a:hlink>
      <a:srgbClr val="FFFFFF"/>
    </a:hlink>
    <a:folHlink>
      <a:srgbClr val="FFFFFF"/>
    </a:folHlink>
  </a:clrScheme>
  <a:fontScheme name="Office 2007 - 2010">
    <a:majorFont>
      <a:latin typeface="Calibri"/>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Them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7.xml><?xml version="1.0" encoding="utf-8"?>
<a:themeOverride xmlns:a="http://schemas.openxmlformats.org/drawingml/2006/main">
  <a:clrScheme name="Custom 4">
    <a:dk1>
      <a:srgbClr val="363636"/>
    </a:dk1>
    <a:lt1>
      <a:sysClr val="window" lastClr="FFFFFF"/>
    </a:lt1>
    <a:dk2>
      <a:srgbClr val="262262"/>
    </a:dk2>
    <a:lt2>
      <a:srgbClr val="949598"/>
    </a:lt2>
    <a:accent1>
      <a:srgbClr val="C00000"/>
    </a:accent1>
    <a:accent2>
      <a:srgbClr val="FFBFBF"/>
    </a:accent2>
    <a:accent3>
      <a:srgbClr val="FF7F7F"/>
    </a:accent3>
    <a:accent4>
      <a:srgbClr val="FF4040"/>
    </a:accent4>
    <a:accent5>
      <a:srgbClr val="900000"/>
    </a:accent5>
    <a:accent6>
      <a:srgbClr val="600000"/>
    </a:accent6>
    <a:hlink>
      <a:srgbClr val="FFFFFF"/>
    </a:hlink>
    <a:folHlink>
      <a:srgbClr val="FFFFFF"/>
    </a:folHlink>
  </a:clrScheme>
  <a:fontScheme name="Office 2007 - 2010">
    <a:majorFont>
      <a:latin typeface="Calibri"/>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Them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8.xml><?xml version="1.0" encoding="utf-8"?>
<a:themeOverride xmlns:a="http://schemas.openxmlformats.org/drawingml/2006/main">
  <a:clrScheme name="Custom 4">
    <a:dk1>
      <a:srgbClr val="363636"/>
    </a:dk1>
    <a:lt1>
      <a:sysClr val="window" lastClr="FFFFFF"/>
    </a:lt1>
    <a:dk2>
      <a:srgbClr val="262262"/>
    </a:dk2>
    <a:lt2>
      <a:srgbClr val="949598"/>
    </a:lt2>
    <a:accent1>
      <a:srgbClr val="C00000"/>
    </a:accent1>
    <a:accent2>
      <a:srgbClr val="FFBFBF"/>
    </a:accent2>
    <a:accent3>
      <a:srgbClr val="FF7F7F"/>
    </a:accent3>
    <a:accent4>
      <a:srgbClr val="FF4040"/>
    </a:accent4>
    <a:accent5>
      <a:srgbClr val="900000"/>
    </a:accent5>
    <a:accent6>
      <a:srgbClr val="600000"/>
    </a:accent6>
    <a:hlink>
      <a:srgbClr val="FFFFFF"/>
    </a:hlink>
    <a:folHlink>
      <a:srgbClr val="FFFFFF"/>
    </a:folHlink>
  </a:clrScheme>
  <a:fontScheme name="Office 2007 - 2010">
    <a:majorFont>
      <a:latin typeface="Calibri"/>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Them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9.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Narrow"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Custom 4">
    <a:dk1>
      <a:srgbClr val="363636"/>
    </a:dk1>
    <a:lt1>
      <a:sysClr val="window" lastClr="FFFFFF"/>
    </a:lt1>
    <a:dk2>
      <a:srgbClr val="262262"/>
    </a:dk2>
    <a:lt2>
      <a:srgbClr val="949598"/>
    </a:lt2>
    <a:accent1>
      <a:srgbClr val="C00000"/>
    </a:accent1>
    <a:accent2>
      <a:srgbClr val="FFBFBF"/>
    </a:accent2>
    <a:accent3>
      <a:srgbClr val="FF7F7F"/>
    </a:accent3>
    <a:accent4>
      <a:srgbClr val="FF4040"/>
    </a:accent4>
    <a:accent5>
      <a:srgbClr val="900000"/>
    </a:accent5>
    <a:accent6>
      <a:srgbClr val="600000"/>
    </a:accent6>
    <a:hlink>
      <a:srgbClr val="FFFFFF"/>
    </a:hlink>
    <a:folHlink>
      <a:srgbClr val="FFFFFF"/>
    </a:folHlink>
  </a:clrScheme>
  <a:fontScheme name="Office 2007 - 2010">
    <a:majorFont>
      <a:latin typeface="Calibri"/>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Them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0.xml><?xml version="1.0" encoding="utf-8"?>
<a:themeOverride xmlns:a="http://schemas.openxmlformats.org/drawingml/2006/main">
  <a:clrScheme name="Custom 10">
    <a:dk1>
      <a:srgbClr val="363636"/>
    </a:dk1>
    <a:lt1>
      <a:sysClr val="window" lastClr="FFFFFF"/>
    </a:lt1>
    <a:dk2>
      <a:srgbClr val="262262"/>
    </a:dk2>
    <a:lt2>
      <a:srgbClr val="949598"/>
    </a:lt2>
    <a:accent1>
      <a:srgbClr val="C00000"/>
    </a:accent1>
    <a:accent2>
      <a:srgbClr val="262262"/>
    </a:accent2>
    <a:accent3>
      <a:srgbClr val="C9C6EB"/>
    </a:accent3>
    <a:accent4>
      <a:srgbClr val="FFBFBF"/>
    </a:accent4>
    <a:accent5>
      <a:srgbClr val="D6D6D6"/>
    </a:accent5>
    <a:accent6>
      <a:srgbClr val="A0A0A0"/>
    </a:accent6>
    <a:hlink>
      <a:srgbClr val="FFFFFF"/>
    </a:hlink>
    <a:folHlink>
      <a:srgbClr val="FFFFFF"/>
    </a:folHlink>
  </a:clrScheme>
  <a:fontScheme name="Office 2007 - 2010">
    <a:majorFont>
      <a:latin typeface="Calibri"/>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Them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1.xml><?xml version="1.0" encoding="utf-8"?>
<a:themeOverride xmlns:a="http://schemas.openxmlformats.org/drawingml/2006/main">
  <a:clrScheme name="Custom 4">
    <a:dk1>
      <a:srgbClr val="363636"/>
    </a:dk1>
    <a:lt1>
      <a:sysClr val="window" lastClr="FFFFFF"/>
    </a:lt1>
    <a:dk2>
      <a:srgbClr val="262262"/>
    </a:dk2>
    <a:lt2>
      <a:srgbClr val="949598"/>
    </a:lt2>
    <a:accent1>
      <a:srgbClr val="C00000"/>
    </a:accent1>
    <a:accent2>
      <a:srgbClr val="FFBFBF"/>
    </a:accent2>
    <a:accent3>
      <a:srgbClr val="FF7F7F"/>
    </a:accent3>
    <a:accent4>
      <a:srgbClr val="FF4040"/>
    </a:accent4>
    <a:accent5>
      <a:srgbClr val="900000"/>
    </a:accent5>
    <a:accent6>
      <a:srgbClr val="600000"/>
    </a:accent6>
    <a:hlink>
      <a:srgbClr val="FFFFFF"/>
    </a:hlink>
    <a:folHlink>
      <a:srgbClr val="FFFFFF"/>
    </a:folHlink>
  </a:clrScheme>
  <a:fontScheme name="Office 2013 - 2022">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Them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2.xml><?xml version="1.0" encoding="utf-8"?>
<a:themeOverride xmlns:a="http://schemas.openxmlformats.org/drawingml/2006/main">
  <a:clrScheme name="Custom 4">
    <a:dk1>
      <a:srgbClr val="363636"/>
    </a:dk1>
    <a:lt1>
      <a:sysClr val="window" lastClr="FFFFFF"/>
    </a:lt1>
    <a:dk2>
      <a:srgbClr val="262262"/>
    </a:dk2>
    <a:lt2>
      <a:srgbClr val="949598"/>
    </a:lt2>
    <a:accent1>
      <a:srgbClr val="C00000"/>
    </a:accent1>
    <a:accent2>
      <a:srgbClr val="FFBFBF"/>
    </a:accent2>
    <a:accent3>
      <a:srgbClr val="FF7F7F"/>
    </a:accent3>
    <a:accent4>
      <a:srgbClr val="FF4040"/>
    </a:accent4>
    <a:accent5>
      <a:srgbClr val="900000"/>
    </a:accent5>
    <a:accent6>
      <a:srgbClr val="600000"/>
    </a:accent6>
    <a:hlink>
      <a:srgbClr val="FFFFFF"/>
    </a:hlink>
    <a:folHlink>
      <a:srgbClr val="FFFFFF"/>
    </a:folHlink>
  </a:clrScheme>
  <a:fontScheme name="Office 2013 - 2022">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Them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3.xml><?xml version="1.0" encoding="utf-8"?>
<a:themeOverride xmlns:a="http://schemas.openxmlformats.org/drawingml/2006/main">
  <a:clrScheme name="Custom 4">
    <a:dk1>
      <a:srgbClr val="363636"/>
    </a:dk1>
    <a:lt1>
      <a:sysClr val="window" lastClr="FFFFFF"/>
    </a:lt1>
    <a:dk2>
      <a:srgbClr val="262262"/>
    </a:dk2>
    <a:lt2>
      <a:srgbClr val="949598"/>
    </a:lt2>
    <a:accent1>
      <a:srgbClr val="C00000"/>
    </a:accent1>
    <a:accent2>
      <a:srgbClr val="FFBFBF"/>
    </a:accent2>
    <a:accent3>
      <a:srgbClr val="FF7F7F"/>
    </a:accent3>
    <a:accent4>
      <a:srgbClr val="FF4040"/>
    </a:accent4>
    <a:accent5>
      <a:srgbClr val="900000"/>
    </a:accent5>
    <a:accent6>
      <a:srgbClr val="600000"/>
    </a:accent6>
    <a:hlink>
      <a:srgbClr val="FFFFFF"/>
    </a:hlink>
    <a:folHlink>
      <a:srgbClr val="FFFFFF"/>
    </a:folHlink>
  </a:clrScheme>
  <a:fontScheme name="Office 2013 - 2022">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Them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4.xml><?xml version="1.0" encoding="utf-8"?>
<a:themeOverride xmlns:a="http://schemas.openxmlformats.org/drawingml/2006/main">
  <a:clrScheme name="Custom 4">
    <a:dk1>
      <a:srgbClr val="363636"/>
    </a:dk1>
    <a:lt1>
      <a:sysClr val="window" lastClr="FFFFFF"/>
    </a:lt1>
    <a:dk2>
      <a:srgbClr val="262262"/>
    </a:dk2>
    <a:lt2>
      <a:srgbClr val="949598"/>
    </a:lt2>
    <a:accent1>
      <a:srgbClr val="C00000"/>
    </a:accent1>
    <a:accent2>
      <a:srgbClr val="FFBFBF"/>
    </a:accent2>
    <a:accent3>
      <a:srgbClr val="FF7F7F"/>
    </a:accent3>
    <a:accent4>
      <a:srgbClr val="FF4040"/>
    </a:accent4>
    <a:accent5>
      <a:srgbClr val="900000"/>
    </a:accent5>
    <a:accent6>
      <a:srgbClr val="600000"/>
    </a:accent6>
    <a:hlink>
      <a:srgbClr val="FFFFFF"/>
    </a:hlink>
    <a:folHlink>
      <a:srgbClr val="FFFFFF"/>
    </a:folHlink>
  </a:clrScheme>
  <a:fontScheme name="Office 2013 - 2022">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Them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5.xml><?xml version="1.0" encoding="utf-8"?>
<a:themeOverride xmlns:a="http://schemas.openxmlformats.org/drawingml/2006/main">
  <a:clrScheme name="Custom 4">
    <a:dk1>
      <a:srgbClr val="363636"/>
    </a:dk1>
    <a:lt1>
      <a:sysClr val="window" lastClr="FFFFFF"/>
    </a:lt1>
    <a:dk2>
      <a:srgbClr val="262262"/>
    </a:dk2>
    <a:lt2>
      <a:srgbClr val="949598"/>
    </a:lt2>
    <a:accent1>
      <a:srgbClr val="C00000"/>
    </a:accent1>
    <a:accent2>
      <a:srgbClr val="FFBFBF"/>
    </a:accent2>
    <a:accent3>
      <a:srgbClr val="FF7F7F"/>
    </a:accent3>
    <a:accent4>
      <a:srgbClr val="FF4040"/>
    </a:accent4>
    <a:accent5>
      <a:srgbClr val="900000"/>
    </a:accent5>
    <a:accent6>
      <a:srgbClr val="600000"/>
    </a:accent6>
    <a:hlink>
      <a:srgbClr val="FFFFFF"/>
    </a:hlink>
    <a:folHlink>
      <a:srgbClr val="FFFFFF"/>
    </a:folHlink>
  </a:clrScheme>
  <a:fontScheme name="Office 2013 - 2022">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Them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6.xml><?xml version="1.0" encoding="utf-8"?>
<a:themeOverride xmlns:a="http://schemas.openxmlformats.org/drawingml/2006/main">
  <a:clrScheme name="Custom 9">
    <a:dk1>
      <a:srgbClr val="363636"/>
    </a:dk1>
    <a:lt1>
      <a:sysClr val="window" lastClr="FFFFFF"/>
    </a:lt1>
    <a:dk2>
      <a:srgbClr val="262262"/>
    </a:dk2>
    <a:lt2>
      <a:srgbClr val="949598"/>
    </a:lt2>
    <a:accent1>
      <a:srgbClr val="C00000"/>
    </a:accent1>
    <a:accent2>
      <a:srgbClr val="FFBFBF"/>
    </a:accent2>
    <a:accent3>
      <a:srgbClr val="5D56C4"/>
    </a:accent3>
    <a:accent4>
      <a:srgbClr val="C9C6EB"/>
    </a:accent4>
    <a:accent5>
      <a:srgbClr val="680000"/>
    </a:accent5>
    <a:accent6>
      <a:srgbClr val="900000"/>
    </a:accent6>
    <a:hlink>
      <a:srgbClr val="FFFFFF"/>
    </a:hlink>
    <a:folHlink>
      <a:srgbClr val="FFFFFF"/>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Narrow"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7.xml><?xml version="1.0" encoding="utf-8"?>
<a:themeOverride xmlns:a="http://schemas.openxmlformats.org/drawingml/2006/main">
  <a:clrScheme name="Custom 9">
    <a:dk1>
      <a:srgbClr val="363636"/>
    </a:dk1>
    <a:lt1>
      <a:sysClr val="window" lastClr="FFFFFF"/>
    </a:lt1>
    <a:dk2>
      <a:srgbClr val="262262"/>
    </a:dk2>
    <a:lt2>
      <a:srgbClr val="949598"/>
    </a:lt2>
    <a:accent1>
      <a:srgbClr val="C00000"/>
    </a:accent1>
    <a:accent2>
      <a:srgbClr val="FFBFBF"/>
    </a:accent2>
    <a:accent3>
      <a:srgbClr val="5D56C4"/>
    </a:accent3>
    <a:accent4>
      <a:srgbClr val="C9C6EB"/>
    </a:accent4>
    <a:accent5>
      <a:srgbClr val="680000"/>
    </a:accent5>
    <a:accent6>
      <a:srgbClr val="900000"/>
    </a:accent6>
    <a:hlink>
      <a:srgbClr val="FFFFFF"/>
    </a:hlink>
    <a:folHlink>
      <a:srgbClr val="FFFFFF"/>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Narrow"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8.xml><?xml version="1.0" encoding="utf-8"?>
<a:themeOverride xmlns:a="http://schemas.openxmlformats.org/drawingml/2006/main">
  <a:clrScheme name="Custom 9">
    <a:dk1>
      <a:srgbClr val="363636"/>
    </a:dk1>
    <a:lt1>
      <a:sysClr val="window" lastClr="FFFFFF"/>
    </a:lt1>
    <a:dk2>
      <a:srgbClr val="262262"/>
    </a:dk2>
    <a:lt2>
      <a:srgbClr val="949598"/>
    </a:lt2>
    <a:accent1>
      <a:srgbClr val="C00000"/>
    </a:accent1>
    <a:accent2>
      <a:srgbClr val="FFBFBF"/>
    </a:accent2>
    <a:accent3>
      <a:srgbClr val="5D56C4"/>
    </a:accent3>
    <a:accent4>
      <a:srgbClr val="C9C6EB"/>
    </a:accent4>
    <a:accent5>
      <a:srgbClr val="680000"/>
    </a:accent5>
    <a:accent6>
      <a:srgbClr val="900000"/>
    </a:accent6>
    <a:hlink>
      <a:srgbClr val="FFFFFF"/>
    </a:hlink>
    <a:folHlink>
      <a:srgbClr val="FFFFFF"/>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Narrow"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9.xml><?xml version="1.0" encoding="utf-8"?>
<a:themeOverride xmlns:a="http://schemas.openxmlformats.org/drawingml/2006/main">
  <a:clrScheme name="Custom 9">
    <a:dk1>
      <a:srgbClr val="363636"/>
    </a:dk1>
    <a:lt1>
      <a:sysClr val="window" lastClr="FFFFFF"/>
    </a:lt1>
    <a:dk2>
      <a:srgbClr val="262262"/>
    </a:dk2>
    <a:lt2>
      <a:srgbClr val="949598"/>
    </a:lt2>
    <a:accent1>
      <a:srgbClr val="C00000"/>
    </a:accent1>
    <a:accent2>
      <a:srgbClr val="FFBFBF"/>
    </a:accent2>
    <a:accent3>
      <a:srgbClr val="5D56C4"/>
    </a:accent3>
    <a:accent4>
      <a:srgbClr val="C9C6EB"/>
    </a:accent4>
    <a:accent5>
      <a:srgbClr val="680000"/>
    </a:accent5>
    <a:accent6>
      <a:srgbClr val="900000"/>
    </a:accent6>
    <a:hlink>
      <a:srgbClr val="FFFFFF"/>
    </a:hlink>
    <a:folHlink>
      <a:srgbClr val="FFFFFF"/>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Narrow"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Custom 4">
    <a:dk1>
      <a:srgbClr val="363636"/>
    </a:dk1>
    <a:lt1>
      <a:sysClr val="window" lastClr="FFFFFF"/>
    </a:lt1>
    <a:dk2>
      <a:srgbClr val="262262"/>
    </a:dk2>
    <a:lt2>
      <a:srgbClr val="949598"/>
    </a:lt2>
    <a:accent1>
      <a:srgbClr val="C00000"/>
    </a:accent1>
    <a:accent2>
      <a:srgbClr val="FFBFBF"/>
    </a:accent2>
    <a:accent3>
      <a:srgbClr val="FF7F7F"/>
    </a:accent3>
    <a:accent4>
      <a:srgbClr val="FF4040"/>
    </a:accent4>
    <a:accent5>
      <a:srgbClr val="900000"/>
    </a:accent5>
    <a:accent6>
      <a:srgbClr val="600000"/>
    </a:accent6>
    <a:hlink>
      <a:srgbClr val="FFFFFF"/>
    </a:hlink>
    <a:folHlink>
      <a:srgbClr val="FFFFFF"/>
    </a:folHlink>
  </a:clrScheme>
  <a:fontScheme name="Office 2007 - 2010">
    <a:majorFont>
      <a:latin typeface="Calibri"/>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Them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0.xml><?xml version="1.0" encoding="utf-8"?>
<a:themeOverride xmlns:a="http://schemas.openxmlformats.org/drawingml/2006/main">
  <a:clrScheme name="Custom 9">
    <a:dk1>
      <a:srgbClr val="363636"/>
    </a:dk1>
    <a:lt1>
      <a:sysClr val="window" lastClr="FFFFFF"/>
    </a:lt1>
    <a:dk2>
      <a:srgbClr val="262262"/>
    </a:dk2>
    <a:lt2>
      <a:srgbClr val="949598"/>
    </a:lt2>
    <a:accent1>
      <a:srgbClr val="C00000"/>
    </a:accent1>
    <a:accent2>
      <a:srgbClr val="FFBFBF"/>
    </a:accent2>
    <a:accent3>
      <a:srgbClr val="5D56C4"/>
    </a:accent3>
    <a:accent4>
      <a:srgbClr val="C9C6EB"/>
    </a:accent4>
    <a:accent5>
      <a:srgbClr val="680000"/>
    </a:accent5>
    <a:accent6>
      <a:srgbClr val="900000"/>
    </a:accent6>
    <a:hlink>
      <a:srgbClr val="FFFFFF"/>
    </a:hlink>
    <a:folHlink>
      <a:srgbClr val="FFFFFF"/>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Narrow"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1.xml><?xml version="1.0" encoding="utf-8"?>
<a:themeOverride xmlns:a="http://schemas.openxmlformats.org/drawingml/2006/main">
  <a:clrScheme name="Office 2013 - 2022">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2013 - 2022">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2013 - 2022">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2.xml><?xml version="1.0" encoding="utf-8"?>
<a:themeOverride xmlns:a="http://schemas.openxmlformats.org/drawingml/2006/main">
  <a:clrScheme name="Custom 9">
    <a:dk1>
      <a:srgbClr val="363636"/>
    </a:dk1>
    <a:lt1>
      <a:sysClr val="window" lastClr="FFFFFF"/>
    </a:lt1>
    <a:dk2>
      <a:srgbClr val="262262"/>
    </a:dk2>
    <a:lt2>
      <a:srgbClr val="949598"/>
    </a:lt2>
    <a:accent1>
      <a:srgbClr val="C00000"/>
    </a:accent1>
    <a:accent2>
      <a:srgbClr val="FFBFBF"/>
    </a:accent2>
    <a:accent3>
      <a:srgbClr val="5D56C4"/>
    </a:accent3>
    <a:accent4>
      <a:srgbClr val="C9C6EB"/>
    </a:accent4>
    <a:accent5>
      <a:srgbClr val="FFFFFF"/>
    </a:accent5>
    <a:accent6>
      <a:srgbClr val="FFFFFF"/>
    </a:accent6>
    <a:hlink>
      <a:srgbClr val="FFFFFF"/>
    </a:hlink>
    <a:folHlink>
      <a:srgbClr val="FFFFFF"/>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Narrow"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3.xml><?xml version="1.0" encoding="utf-8"?>
<a:themeOverride xmlns:a="http://schemas.openxmlformats.org/drawingml/2006/main">
  <a:clrScheme name="Custom 9">
    <a:dk1>
      <a:srgbClr val="363636"/>
    </a:dk1>
    <a:lt1>
      <a:sysClr val="window" lastClr="FFFFFF"/>
    </a:lt1>
    <a:dk2>
      <a:srgbClr val="262262"/>
    </a:dk2>
    <a:lt2>
      <a:srgbClr val="949598"/>
    </a:lt2>
    <a:accent1>
      <a:srgbClr val="C00000"/>
    </a:accent1>
    <a:accent2>
      <a:srgbClr val="FFBFBF"/>
    </a:accent2>
    <a:accent3>
      <a:srgbClr val="5D56C4"/>
    </a:accent3>
    <a:accent4>
      <a:srgbClr val="C9C6EB"/>
    </a:accent4>
    <a:accent5>
      <a:srgbClr val="680000"/>
    </a:accent5>
    <a:accent6>
      <a:srgbClr val="900000"/>
    </a:accent6>
    <a:hlink>
      <a:srgbClr val="FFFFFF"/>
    </a:hlink>
    <a:folHlink>
      <a:srgbClr val="FFFFFF"/>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Narrow"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4.xml><?xml version="1.0" encoding="utf-8"?>
<a:themeOverride xmlns:a="http://schemas.openxmlformats.org/drawingml/2006/main">
  <a:clrScheme name="Custom 9">
    <a:dk1>
      <a:srgbClr val="363636"/>
    </a:dk1>
    <a:lt1>
      <a:sysClr val="window" lastClr="FFFFFF"/>
    </a:lt1>
    <a:dk2>
      <a:srgbClr val="262262"/>
    </a:dk2>
    <a:lt2>
      <a:srgbClr val="949598"/>
    </a:lt2>
    <a:accent1>
      <a:srgbClr val="C00000"/>
    </a:accent1>
    <a:accent2>
      <a:srgbClr val="FFBFBF"/>
    </a:accent2>
    <a:accent3>
      <a:srgbClr val="5D56C4"/>
    </a:accent3>
    <a:accent4>
      <a:srgbClr val="C9C6EB"/>
    </a:accent4>
    <a:accent5>
      <a:srgbClr val="680000"/>
    </a:accent5>
    <a:accent6>
      <a:srgbClr val="900000"/>
    </a:accent6>
    <a:hlink>
      <a:srgbClr val="FFFFFF"/>
    </a:hlink>
    <a:folHlink>
      <a:srgbClr val="FFFFFF"/>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Narrow"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5.xml><?xml version="1.0" encoding="utf-8"?>
<a:themeOverride xmlns:a="http://schemas.openxmlformats.org/drawingml/2006/main">
  <a:clrScheme name="Custom 9">
    <a:dk1>
      <a:srgbClr val="363636"/>
    </a:dk1>
    <a:lt1>
      <a:sysClr val="window" lastClr="FFFFFF"/>
    </a:lt1>
    <a:dk2>
      <a:srgbClr val="262262"/>
    </a:dk2>
    <a:lt2>
      <a:srgbClr val="949598"/>
    </a:lt2>
    <a:accent1>
      <a:srgbClr val="C00000"/>
    </a:accent1>
    <a:accent2>
      <a:srgbClr val="FFBFBF"/>
    </a:accent2>
    <a:accent3>
      <a:srgbClr val="5D56C4"/>
    </a:accent3>
    <a:accent4>
      <a:srgbClr val="C9C6EB"/>
    </a:accent4>
    <a:accent5>
      <a:srgbClr val="680000"/>
    </a:accent5>
    <a:accent6>
      <a:srgbClr val="900000"/>
    </a:accent6>
    <a:hlink>
      <a:srgbClr val="FFFFFF"/>
    </a:hlink>
    <a:folHlink>
      <a:srgbClr val="FFFFFF"/>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Narrow"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6.xml><?xml version="1.0" encoding="utf-8"?>
<a:themeOverride xmlns:a="http://schemas.openxmlformats.org/drawingml/2006/main">
  <a:clrScheme name="Custom 9">
    <a:dk1>
      <a:srgbClr val="363636"/>
    </a:dk1>
    <a:lt1>
      <a:sysClr val="window" lastClr="FFFFFF"/>
    </a:lt1>
    <a:dk2>
      <a:srgbClr val="262262"/>
    </a:dk2>
    <a:lt2>
      <a:srgbClr val="949598"/>
    </a:lt2>
    <a:accent1>
      <a:srgbClr val="C00000"/>
    </a:accent1>
    <a:accent2>
      <a:srgbClr val="FFBFBF"/>
    </a:accent2>
    <a:accent3>
      <a:srgbClr val="5D56C4"/>
    </a:accent3>
    <a:accent4>
      <a:srgbClr val="C9C6EB"/>
    </a:accent4>
    <a:accent5>
      <a:srgbClr val="680000"/>
    </a:accent5>
    <a:accent6>
      <a:srgbClr val="900000"/>
    </a:accent6>
    <a:hlink>
      <a:srgbClr val="FFFFFF"/>
    </a:hlink>
    <a:folHlink>
      <a:srgbClr val="FFFFFF"/>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Narrow"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7.xml><?xml version="1.0" encoding="utf-8"?>
<a:themeOverride xmlns:a="http://schemas.openxmlformats.org/drawingml/2006/main">
  <a:clrScheme name="INSP">
    <a:dk1>
      <a:srgbClr val="6D6D6D"/>
    </a:dk1>
    <a:lt1>
      <a:sysClr val="window" lastClr="FFFFFF"/>
    </a:lt1>
    <a:dk2>
      <a:srgbClr val="262262"/>
    </a:dk2>
    <a:lt2>
      <a:srgbClr val="949598"/>
    </a:lt2>
    <a:accent1>
      <a:srgbClr val="01B69B"/>
    </a:accent1>
    <a:accent2>
      <a:srgbClr val="E41D48"/>
    </a:accent2>
    <a:accent3>
      <a:srgbClr val="FDC24E"/>
    </a:accent3>
    <a:accent4>
      <a:srgbClr val="00B9F2"/>
    </a:accent4>
    <a:accent5>
      <a:srgbClr val="FFFFFF"/>
    </a:accent5>
    <a:accent6>
      <a:srgbClr val="FFFFFF"/>
    </a:accent6>
    <a:hlink>
      <a:srgbClr val="00B9F2"/>
    </a:hlink>
    <a:folHlink>
      <a:srgbClr val="C00000"/>
    </a:folHlink>
  </a:clrScheme>
  <a:fontScheme name="Office 2007 - 2010">
    <a:majorFont>
      <a:latin typeface="Calibri"/>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Them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8.xml><?xml version="1.0" encoding="utf-8"?>
<a:themeOverride xmlns:a="http://schemas.openxmlformats.org/drawingml/2006/main">
  <a:clrScheme name="INSP">
    <a:dk1>
      <a:srgbClr val="6D6D6D"/>
    </a:dk1>
    <a:lt1>
      <a:sysClr val="window" lastClr="FFFFFF"/>
    </a:lt1>
    <a:dk2>
      <a:srgbClr val="262262"/>
    </a:dk2>
    <a:lt2>
      <a:srgbClr val="949598"/>
    </a:lt2>
    <a:accent1>
      <a:srgbClr val="01B69B"/>
    </a:accent1>
    <a:accent2>
      <a:srgbClr val="E41D48"/>
    </a:accent2>
    <a:accent3>
      <a:srgbClr val="FDC24E"/>
    </a:accent3>
    <a:accent4>
      <a:srgbClr val="00B9F2"/>
    </a:accent4>
    <a:accent5>
      <a:srgbClr val="FFFFFF"/>
    </a:accent5>
    <a:accent6>
      <a:srgbClr val="FFFFFF"/>
    </a:accent6>
    <a:hlink>
      <a:srgbClr val="00B9F2"/>
    </a:hlink>
    <a:folHlink>
      <a:srgbClr val="C00000"/>
    </a:folHlink>
  </a:clrScheme>
  <a:fontScheme name="Office 2007 - 2010">
    <a:majorFont>
      <a:latin typeface="Calibri"/>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Them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9.xml><?xml version="1.0" encoding="utf-8"?>
<a:themeOverride xmlns:a="http://schemas.openxmlformats.org/drawingml/2006/main">
  <a:clrScheme name="INSP">
    <a:dk1>
      <a:srgbClr val="6D6D6D"/>
    </a:dk1>
    <a:lt1>
      <a:sysClr val="window" lastClr="FFFFFF"/>
    </a:lt1>
    <a:dk2>
      <a:srgbClr val="262262"/>
    </a:dk2>
    <a:lt2>
      <a:srgbClr val="949598"/>
    </a:lt2>
    <a:accent1>
      <a:srgbClr val="01B69B"/>
    </a:accent1>
    <a:accent2>
      <a:srgbClr val="E41D48"/>
    </a:accent2>
    <a:accent3>
      <a:srgbClr val="FDC24E"/>
    </a:accent3>
    <a:accent4>
      <a:srgbClr val="00B9F2"/>
    </a:accent4>
    <a:accent5>
      <a:srgbClr val="FFFFFF"/>
    </a:accent5>
    <a:accent6>
      <a:srgbClr val="FFFFFF"/>
    </a:accent6>
    <a:hlink>
      <a:srgbClr val="00B9F2"/>
    </a:hlink>
    <a:folHlink>
      <a:srgbClr val="C00000"/>
    </a:folHlink>
  </a:clrScheme>
  <a:fontScheme name="Office 2007 - 2010">
    <a:majorFont>
      <a:latin typeface="Calibri"/>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Them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Custom 4">
    <a:dk1>
      <a:srgbClr val="363636"/>
    </a:dk1>
    <a:lt1>
      <a:sysClr val="window" lastClr="FFFFFF"/>
    </a:lt1>
    <a:dk2>
      <a:srgbClr val="262262"/>
    </a:dk2>
    <a:lt2>
      <a:srgbClr val="949598"/>
    </a:lt2>
    <a:accent1>
      <a:srgbClr val="C00000"/>
    </a:accent1>
    <a:accent2>
      <a:srgbClr val="FFBFBF"/>
    </a:accent2>
    <a:accent3>
      <a:srgbClr val="FF7F7F"/>
    </a:accent3>
    <a:accent4>
      <a:srgbClr val="FF4040"/>
    </a:accent4>
    <a:accent5>
      <a:srgbClr val="900000"/>
    </a:accent5>
    <a:accent6>
      <a:srgbClr val="600000"/>
    </a:accent6>
    <a:hlink>
      <a:srgbClr val="FFFFFF"/>
    </a:hlink>
    <a:folHlink>
      <a:srgbClr val="FFFFFF"/>
    </a:folHlink>
  </a:clrScheme>
  <a:fontScheme name="Office 2007 - 2010">
    <a:majorFont>
      <a:latin typeface="Calibri"/>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Them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0.xml><?xml version="1.0" encoding="utf-8"?>
<a:themeOverride xmlns:a="http://schemas.openxmlformats.org/drawingml/2006/main">
  <a:clrScheme name="INSP">
    <a:dk1>
      <a:srgbClr val="6D6D6D"/>
    </a:dk1>
    <a:lt1>
      <a:sysClr val="window" lastClr="FFFFFF"/>
    </a:lt1>
    <a:dk2>
      <a:srgbClr val="262262"/>
    </a:dk2>
    <a:lt2>
      <a:srgbClr val="949598"/>
    </a:lt2>
    <a:accent1>
      <a:srgbClr val="01B69B"/>
    </a:accent1>
    <a:accent2>
      <a:srgbClr val="E41D48"/>
    </a:accent2>
    <a:accent3>
      <a:srgbClr val="FDC24E"/>
    </a:accent3>
    <a:accent4>
      <a:srgbClr val="00B9F2"/>
    </a:accent4>
    <a:accent5>
      <a:srgbClr val="FFFFFF"/>
    </a:accent5>
    <a:accent6>
      <a:srgbClr val="FFFFFF"/>
    </a:accent6>
    <a:hlink>
      <a:srgbClr val="00B9F2"/>
    </a:hlink>
    <a:folHlink>
      <a:srgbClr val="C00000"/>
    </a:folHlink>
  </a:clrScheme>
  <a:fontScheme name="Office 2007 - 2010">
    <a:majorFont>
      <a:latin typeface="Calibri"/>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Them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1.xml><?xml version="1.0" encoding="utf-8"?>
<a:themeOverride xmlns:a="http://schemas.openxmlformats.org/drawingml/2006/main">
  <a:clrScheme name="INSP">
    <a:dk1>
      <a:srgbClr val="6D6D6D"/>
    </a:dk1>
    <a:lt1>
      <a:sysClr val="window" lastClr="FFFFFF"/>
    </a:lt1>
    <a:dk2>
      <a:srgbClr val="262262"/>
    </a:dk2>
    <a:lt2>
      <a:srgbClr val="949598"/>
    </a:lt2>
    <a:accent1>
      <a:srgbClr val="01B69B"/>
    </a:accent1>
    <a:accent2>
      <a:srgbClr val="E41D48"/>
    </a:accent2>
    <a:accent3>
      <a:srgbClr val="FDC24E"/>
    </a:accent3>
    <a:accent4>
      <a:srgbClr val="00B9F2"/>
    </a:accent4>
    <a:accent5>
      <a:srgbClr val="FFFFFF"/>
    </a:accent5>
    <a:accent6>
      <a:srgbClr val="FFFFFF"/>
    </a:accent6>
    <a:hlink>
      <a:srgbClr val="00B9F2"/>
    </a:hlink>
    <a:folHlink>
      <a:srgbClr val="C00000"/>
    </a:folHlink>
  </a:clrScheme>
  <a:fontScheme name="Office 2007 - 2010">
    <a:majorFont>
      <a:latin typeface="Calibri"/>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Them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2.xml><?xml version="1.0" encoding="utf-8"?>
<a:themeOverride xmlns:a="http://schemas.openxmlformats.org/drawingml/2006/main">
  <a:clrScheme name="INSP">
    <a:dk1>
      <a:srgbClr val="6D6D6D"/>
    </a:dk1>
    <a:lt1>
      <a:sysClr val="window" lastClr="FFFFFF"/>
    </a:lt1>
    <a:dk2>
      <a:srgbClr val="262262"/>
    </a:dk2>
    <a:lt2>
      <a:srgbClr val="949598"/>
    </a:lt2>
    <a:accent1>
      <a:srgbClr val="01B69B"/>
    </a:accent1>
    <a:accent2>
      <a:srgbClr val="E41D48"/>
    </a:accent2>
    <a:accent3>
      <a:srgbClr val="FDC24E"/>
    </a:accent3>
    <a:accent4>
      <a:srgbClr val="00B9F2"/>
    </a:accent4>
    <a:accent5>
      <a:srgbClr val="FFFFFF"/>
    </a:accent5>
    <a:accent6>
      <a:srgbClr val="FFFFFF"/>
    </a:accent6>
    <a:hlink>
      <a:srgbClr val="00B9F2"/>
    </a:hlink>
    <a:folHlink>
      <a:srgbClr val="C00000"/>
    </a:folHlink>
  </a:clrScheme>
  <a:fontScheme name="Office 2007 - 2010">
    <a:majorFont>
      <a:latin typeface="Calibri"/>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Them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3.xml><?xml version="1.0" encoding="utf-8"?>
<a:themeOverride xmlns:a="http://schemas.openxmlformats.org/drawingml/2006/main">
  <a:clrScheme name="INSP">
    <a:dk1>
      <a:srgbClr val="6D6D6D"/>
    </a:dk1>
    <a:lt1>
      <a:sysClr val="window" lastClr="FFFFFF"/>
    </a:lt1>
    <a:dk2>
      <a:srgbClr val="262262"/>
    </a:dk2>
    <a:lt2>
      <a:srgbClr val="949598"/>
    </a:lt2>
    <a:accent1>
      <a:srgbClr val="01B69B"/>
    </a:accent1>
    <a:accent2>
      <a:srgbClr val="E41D48"/>
    </a:accent2>
    <a:accent3>
      <a:srgbClr val="FDC24E"/>
    </a:accent3>
    <a:accent4>
      <a:srgbClr val="00B9F2"/>
    </a:accent4>
    <a:accent5>
      <a:srgbClr val="FFFFFF"/>
    </a:accent5>
    <a:accent6>
      <a:srgbClr val="FFFFFF"/>
    </a:accent6>
    <a:hlink>
      <a:srgbClr val="00B9F2"/>
    </a:hlink>
    <a:folHlink>
      <a:srgbClr val="C00000"/>
    </a:folHlink>
  </a:clrScheme>
  <a:fontScheme name="Office 2007 - 2010">
    <a:majorFont>
      <a:latin typeface="Calibri"/>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Them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4.xml><?xml version="1.0" encoding="utf-8"?>
<a:themeOverride xmlns:a="http://schemas.openxmlformats.org/drawingml/2006/main">
  <a:clrScheme name="INSP">
    <a:dk1>
      <a:srgbClr val="6D6D6D"/>
    </a:dk1>
    <a:lt1>
      <a:sysClr val="window" lastClr="FFFFFF"/>
    </a:lt1>
    <a:dk2>
      <a:srgbClr val="262262"/>
    </a:dk2>
    <a:lt2>
      <a:srgbClr val="949598"/>
    </a:lt2>
    <a:accent1>
      <a:srgbClr val="01B69B"/>
    </a:accent1>
    <a:accent2>
      <a:srgbClr val="E41D48"/>
    </a:accent2>
    <a:accent3>
      <a:srgbClr val="FDC24E"/>
    </a:accent3>
    <a:accent4>
      <a:srgbClr val="00B9F2"/>
    </a:accent4>
    <a:accent5>
      <a:srgbClr val="FFFFFF"/>
    </a:accent5>
    <a:accent6>
      <a:srgbClr val="FFFFFF"/>
    </a:accent6>
    <a:hlink>
      <a:srgbClr val="00B9F2"/>
    </a:hlink>
    <a:folHlink>
      <a:srgbClr val="C00000"/>
    </a:folHlink>
  </a:clrScheme>
  <a:fontScheme name="Office 2007 - 2010">
    <a:majorFont>
      <a:latin typeface="Calibri"/>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Them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5.xml><?xml version="1.0" encoding="utf-8"?>
<a:themeOverride xmlns:a="http://schemas.openxmlformats.org/drawingml/2006/main">
  <a:clrScheme name="INSP">
    <a:dk1>
      <a:srgbClr val="6D6D6D"/>
    </a:dk1>
    <a:lt1>
      <a:sysClr val="window" lastClr="FFFFFF"/>
    </a:lt1>
    <a:dk2>
      <a:srgbClr val="262262"/>
    </a:dk2>
    <a:lt2>
      <a:srgbClr val="949598"/>
    </a:lt2>
    <a:accent1>
      <a:srgbClr val="01B69B"/>
    </a:accent1>
    <a:accent2>
      <a:srgbClr val="E41D48"/>
    </a:accent2>
    <a:accent3>
      <a:srgbClr val="FDC24E"/>
    </a:accent3>
    <a:accent4>
      <a:srgbClr val="00B9F2"/>
    </a:accent4>
    <a:accent5>
      <a:srgbClr val="FFFFFF"/>
    </a:accent5>
    <a:accent6>
      <a:srgbClr val="FFFFFF"/>
    </a:accent6>
    <a:hlink>
      <a:srgbClr val="00B9F2"/>
    </a:hlink>
    <a:folHlink>
      <a:srgbClr val="C00000"/>
    </a:folHlink>
  </a:clrScheme>
  <a:fontScheme name="Office 2007 - 2010">
    <a:majorFont>
      <a:latin typeface="Calibri"/>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Them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6.xml><?xml version="1.0" encoding="utf-8"?>
<a:themeOverride xmlns:a="http://schemas.openxmlformats.org/drawingml/2006/main">
  <a:clrScheme name="INSP">
    <a:dk1>
      <a:srgbClr val="6D6D6D"/>
    </a:dk1>
    <a:lt1>
      <a:sysClr val="window" lastClr="FFFFFF"/>
    </a:lt1>
    <a:dk2>
      <a:srgbClr val="262262"/>
    </a:dk2>
    <a:lt2>
      <a:srgbClr val="949598"/>
    </a:lt2>
    <a:accent1>
      <a:srgbClr val="01B69B"/>
    </a:accent1>
    <a:accent2>
      <a:srgbClr val="E41D48"/>
    </a:accent2>
    <a:accent3>
      <a:srgbClr val="FDC24E"/>
    </a:accent3>
    <a:accent4>
      <a:srgbClr val="00B9F2"/>
    </a:accent4>
    <a:accent5>
      <a:srgbClr val="FFFFFF"/>
    </a:accent5>
    <a:accent6>
      <a:srgbClr val="FFFFFF"/>
    </a:accent6>
    <a:hlink>
      <a:srgbClr val="00B9F2"/>
    </a:hlink>
    <a:folHlink>
      <a:srgbClr val="C00000"/>
    </a:folHlink>
  </a:clrScheme>
  <a:fontScheme name="Office 2007 - 2010">
    <a:majorFont>
      <a:latin typeface="Calibri"/>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Them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7.xml><?xml version="1.0" encoding="utf-8"?>
<a:themeOverride xmlns:a="http://schemas.openxmlformats.org/drawingml/2006/main">
  <a:clrScheme name="INSP">
    <a:dk1>
      <a:srgbClr val="6D6D6D"/>
    </a:dk1>
    <a:lt1>
      <a:sysClr val="window" lastClr="FFFFFF"/>
    </a:lt1>
    <a:dk2>
      <a:srgbClr val="262262"/>
    </a:dk2>
    <a:lt2>
      <a:srgbClr val="949598"/>
    </a:lt2>
    <a:accent1>
      <a:srgbClr val="01B69B"/>
    </a:accent1>
    <a:accent2>
      <a:srgbClr val="E41D48"/>
    </a:accent2>
    <a:accent3>
      <a:srgbClr val="FDC24E"/>
    </a:accent3>
    <a:accent4>
      <a:srgbClr val="00B9F2"/>
    </a:accent4>
    <a:accent5>
      <a:srgbClr val="FFFFFF"/>
    </a:accent5>
    <a:accent6>
      <a:srgbClr val="FFFFFF"/>
    </a:accent6>
    <a:hlink>
      <a:srgbClr val="00B9F2"/>
    </a:hlink>
    <a:folHlink>
      <a:srgbClr val="C00000"/>
    </a:folHlink>
  </a:clrScheme>
  <a:fontScheme name="Office 2007 - 2010">
    <a:majorFont>
      <a:latin typeface="Calibri"/>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Them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8.xml><?xml version="1.0" encoding="utf-8"?>
<a:themeOverride xmlns:a="http://schemas.openxmlformats.org/drawingml/2006/main">
  <a:clrScheme name="INSP">
    <a:dk1>
      <a:srgbClr val="6D6D6D"/>
    </a:dk1>
    <a:lt1>
      <a:sysClr val="window" lastClr="FFFFFF"/>
    </a:lt1>
    <a:dk2>
      <a:srgbClr val="262262"/>
    </a:dk2>
    <a:lt2>
      <a:srgbClr val="949598"/>
    </a:lt2>
    <a:accent1>
      <a:srgbClr val="01B69B"/>
    </a:accent1>
    <a:accent2>
      <a:srgbClr val="E41D48"/>
    </a:accent2>
    <a:accent3>
      <a:srgbClr val="FDC24E"/>
    </a:accent3>
    <a:accent4>
      <a:srgbClr val="00B9F2"/>
    </a:accent4>
    <a:accent5>
      <a:srgbClr val="FFFFFF"/>
    </a:accent5>
    <a:accent6>
      <a:srgbClr val="FFFFFF"/>
    </a:accent6>
    <a:hlink>
      <a:srgbClr val="00B9F2"/>
    </a:hlink>
    <a:folHlink>
      <a:srgbClr val="C00000"/>
    </a:folHlink>
  </a:clrScheme>
  <a:fontScheme name="Office 2007 - 2010">
    <a:majorFont>
      <a:latin typeface="Calibri"/>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Them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9.xml><?xml version="1.0" encoding="utf-8"?>
<a:themeOverride xmlns:a="http://schemas.openxmlformats.org/drawingml/2006/main">
  <a:clrScheme name="INSP">
    <a:dk1>
      <a:srgbClr val="6D6D6D"/>
    </a:dk1>
    <a:lt1>
      <a:sysClr val="window" lastClr="FFFFFF"/>
    </a:lt1>
    <a:dk2>
      <a:srgbClr val="262262"/>
    </a:dk2>
    <a:lt2>
      <a:srgbClr val="949598"/>
    </a:lt2>
    <a:accent1>
      <a:srgbClr val="01B69B"/>
    </a:accent1>
    <a:accent2>
      <a:srgbClr val="E41D48"/>
    </a:accent2>
    <a:accent3>
      <a:srgbClr val="FDC24E"/>
    </a:accent3>
    <a:accent4>
      <a:srgbClr val="00B9F2"/>
    </a:accent4>
    <a:accent5>
      <a:srgbClr val="FFFFFF"/>
    </a:accent5>
    <a:accent6>
      <a:srgbClr val="FFFFFF"/>
    </a:accent6>
    <a:hlink>
      <a:srgbClr val="00B9F2"/>
    </a:hlink>
    <a:folHlink>
      <a:srgbClr val="C00000"/>
    </a:folHlink>
  </a:clrScheme>
  <a:fontScheme name="Office 2007 - 2010">
    <a:majorFont>
      <a:latin typeface="Calibri"/>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Them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Custom 4">
    <a:dk1>
      <a:srgbClr val="363636"/>
    </a:dk1>
    <a:lt1>
      <a:sysClr val="window" lastClr="FFFFFF"/>
    </a:lt1>
    <a:dk2>
      <a:srgbClr val="262262"/>
    </a:dk2>
    <a:lt2>
      <a:srgbClr val="949598"/>
    </a:lt2>
    <a:accent1>
      <a:srgbClr val="C00000"/>
    </a:accent1>
    <a:accent2>
      <a:srgbClr val="FFBFBF"/>
    </a:accent2>
    <a:accent3>
      <a:srgbClr val="FF7F7F"/>
    </a:accent3>
    <a:accent4>
      <a:srgbClr val="FF4040"/>
    </a:accent4>
    <a:accent5>
      <a:srgbClr val="900000"/>
    </a:accent5>
    <a:accent6>
      <a:srgbClr val="600000"/>
    </a:accent6>
    <a:hlink>
      <a:srgbClr val="FFFFFF"/>
    </a:hlink>
    <a:folHlink>
      <a:srgbClr val="FFFFFF"/>
    </a:folHlink>
  </a:clrScheme>
  <a:fontScheme name="Office 2007 - 2010">
    <a:majorFont>
      <a:latin typeface="Calibri"/>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Them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0.xml><?xml version="1.0" encoding="utf-8"?>
<a:themeOverride xmlns:a="http://schemas.openxmlformats.org/drawingml/2006/main">
  <a:clrScheme name="INSP">
    <a:dk1>
      <a:srgbClr val="6D6D6D"/>
    </a:dk1>
    <a:lt1>
      <a:sysClr val="window" lastClr="FFFFFF"/>
    </a:lt1>
    <a:dk2>
      <a:srgbClr val="262262"/>
    </a:dk2>
    <a:lt2>
      <a:srgbClr val="949598"/>
    </a:lt2>
    <a:accent1>
      <a:srgbClr val="01B69B"/>
    </a:accent1>
    <a:accent2>
      <a:srgbClr val="E41D48"/>
    </a:accent2>
    <a:accent3>
      <a:srgbClr val="FDC24E"/>
    </a:accent3>
    <a:accent4>
      <a:srgbClr val="00B9F2"/>
    </a:accent4>
    <a:accent5>
      <a:srgbClr val="FFFFFF"/>
    </a:accent5>
    <a:accent6>
      <a:srgbClr val="FFFFFF"/>
    </a:accent6>
    <a:hlink>
      <a:srgbClr val="00B9F2"/>
    </a:hlink>
    <a:folHlink>
      <a:srgbClr val="C00000"/>
    </a:folHlink>
  </a:clrScheme>
  <a:fontScheme name="Office 2007 - 2010">
    <a:majorFont>
      <a:latin typeface="Calibri"/>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Them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1.xml><?xml version="1.0" encoding="utf-8"?>
<a:themeOverride xmlns:a="http://schemas.openxmlformats.org/drawingml/2006/main">
  <a:clrScheme name="INSP">
    <a:dk1>
      <a:srgbClr val="6D6D6D"/>
    </a:dk1>
    <a:lt1>
      <a:sysClr val="window" lastClr="FFFFFF"/>
    </a:lt1>
    <a:dk2>
      <a:srgbClr val="262262"/>
    </a:dk2>
    <a:lt2>
      <a:srgbClr val="949598"/>
    </a:lt2>
    <a:accent1>
      <a:srgbClr val="01B69B"/>
    </a:accent1>
    <a:accent2>
      <a:srgbClr val="E41D48"/>
    </a:accent2>
    <a:accent3>
      <a:srgbClr val="FDC24E"/>
    </a:accent3>
    <a:accent4>
      <a:srgbClr val="00B9F2"/>
    </a:accent4>
    <a:accent5>
      <a:srgbClr val="FFFFFF"/>
    </a:accent5>
    <a:accent6>
      <a:srgbClr val="FFFFFF"/>
    </a:accent6>
    <a:hlink>
      <a:srgbClr val="00B9F2"/>
    </a:hlink>
    <a:folHlink>
      <a:srgbClr val="C00000"/>
    </a:folHlink>
  </a:clrScheme>
  <a:fontScheme name="Office 2007 - 2010">
    <a:majorFont>
      <a:latin typeface="Calibri"/>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Them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2.xml><?xml version="1.0" encoding="utf-8"?>
<a:themeOverride xmlns:a="http://schemas.openxmlformats.org/drawingml/2006/main">
  <a:clrScheme name="INSP">
    <a:dk1>
      <a:srgbClr val="6D6D6D"/>
    </a:dk1>
    <a:lt1>
      <a:sysClr val="window" lastClr="FFFFFF"/>
    </a:lt1>
    <a:dk2>
      <a:srgbClr val="262262"/>
    </a:dk2>
    <a:lt2>
      <a:srgbClr val="949598"/>
    </a:lt2>
    <a:accent1>
      <a:srgbClr val="01B69B"/>
    </a:accent1>
    <a:accent2>
      <a:srgbClr val="E41D48"/>
    </a:accent2>
    <a:accent3>
      <a:srgbClr val="FDC24E"/>
    </a:accent3>
    <a:accent4>
      <a:srgbClr val="00B9F2"/>
    </a:accent4>
    <a:accent5>
      <a:srgbClr val="FFFFFF"/>
    </a:accent5>
    <a:accent6>
      <a:srgbClr val="FFFFFF"/>
    </a:accent6>
    <a:hlink>
      <a:srgbClr val="00B9F2"/>
    </a:hlink>
    <a:folHlink>
      <a:srgbClr val="C00000"/>
    </a:folHlink>
  </a:clrScheme>
  <a:fontScheme name="Office 2007 - 2010">
    <a:majorFont>
      <a:latin typeface="Calibri"/>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Them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3.xml><?xml version="1.0" encoding="utf-8"?>
<a:themeOverride xmlns:a="http://schemas.openxmlformats.org/drawingml/2006/main">
  <a:clrScheme name="Custom 4">
    <a:dk1>
      <a:srgbClr val="363636"/>
    </a:dk1>
    <a:lt1>
      <a:sysClr val="window" lastClr="FFFFFF"/>
    </a:lt1>
    <a:dk2>
      <a:srgbClr val="262262"/>
    </a:dk2>
    <a:lt2>
      <a:srgbClr val="949598"/>
    </a:lt2>
    <a:accent1>
      <a:srgbClr val="C00000"/>
    </a:accent1>
    <a:accent2>
      <a:srgbClr val="FFBFBF"/>
    </a:accent2>
    <a:accent3>
      <a:srgbClr val="FF7F7F"/>
    </a:accent3>
    <a:accent4>
      <a:srgbClr val="FF4040"/>
    </a:accent4>
    <a:accent5>
      <a:srgbClr val="900000"/>
    </a:accent5>
    <a:accent6>
      <a:srgbClr val="600000"/>
    </a:accent6>
    <a:hlink>
      <a:srgbClr val="FFFFFF"/>
    </a:hlink>
    <a:folHlink>
      <a:srgbClr val="FFFFFF"/>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Narrow"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4.xml><?xml version="1.0" encoding="utf-8"?>
<a:themeOverride xmlns:a="http://schemas.openxmlformats.org/drawingml/2006/main">
  <a:clrScheme name="Custom 4">
    <a:dk1>
      <a:srgbClr val="363636"/>
    </a:dk1>
    <a:lt1>
      <a:sysClr val="window" lastClr="FFFFFF"/>
    </a:lt1>
    <a:dk2>
      <a:srgbClr val="262262"/>
    </a:dk2>
    <a:lt2>
      <a:srgbClr val="949598"/>
    </a:lt2>
    <a:accent1>
      <a:srgbClr val="C00000"/>
    </a:accent1>
    <a:accent2>
      <a:srgbClr val="FFBFBF"/>
    </a:accent2>
    <a:accent3>
      <a:srgbClr val="FF7F7F"/>
    </a:accent3>
    <a:accent4>
      <a:srgbClr val="FF4040"/>
    </a:accent4>
    <a:accent5>
      <a:srgbClr val="900000"/>
    </a:accent5>
    <a:accent6>
      <a:srgbClr val="600000"/>
    </a:accent6>
    <a:hlink>
      <a:srgbClr val="FFFFFF"/>
    </a:hlink>
    <a:folHlink>
      <a:srgbClr val="FFFFFF"/>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Narrow"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5.xml><?xml version="1.0" encoding="utf-8"?>
<a:themeOverride xmlns:a="http://schemas.openxmlformats.org/drawingml/2006/main">
  <a:clrScheme name="Custom 4">
    <a:dk1>
      <a:srgbClr val="363636"/>
    </a:dk1>
    <a:lt1>
      <a:sysClr val="window" lastClr="FFFFFF"/>
    </a:lt1>
    <a:dk2>
      <a:srgbClr val="262262"/>
    </a:dk2>
    <a:lt2>
      <a:srgbClr val="949598"/>
    </a:lt2>
    <a:accent1>
      <a:srgbClr val="C00000"/>
    </a:accent1>
    <a:accent2>
      <a:srgbClr val="FFBFBF"/>
    </a:accent2>
    <a:accent3>
      <a:srgbClr val="FF7F7F"/>
    </a:accent3>
    <a:accent4>
      <a:srgbClr val="FF4040"/>
    </a:accent4>
    <a:accent5>
      <a:srgbClr val="900000"/>
    </a:accent5>
    <a:accent6>
      <a:srgbClr val="600000"/>
    </a:accent6>
    <a:hlink>
      <a:srgbClr val="FFFFFF"/>
    </a:hlink>
    <a:folHlink>
      <a:srgbClr val="FFFFFF"/>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Narrow"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6.xml><?xml version="1.0" encoding="utf-8"?>
<a:themeOverride xmlns:a="http://schemas.openxmlformats.org/drawingml/2006/main">
  <a:clrScheme name="Custom 4">
    <a:dk1>
      <a:srgbClr val="363636"/>
    </a:dk1>
    <a:lt1>
      <a:sysClr val="window" lastClr="FFFFFF"/>
    </a:lt1>
    <a:dk2>
      <a:srgbClr val="262262"/>
    </a:dk2>
    <a:lt2>
      <a:srgbClr val="949598"/>
    </a:lt2>
    <a:accent1>
      <a:srgbClr val="C00000"/>
    </a:accent1>
    <a:accent2>
      <a:srgbClr val="FFBFBF"/>
    </a:accent2>
    <a:accent3>
      <a:srgbClr val="FF7F7F"/>
    </a:accent3>
    <a:accent4>
      <a:srgbClr val="FF4040"/>
    </a:accent4>
    <a:accent5>
      <a:srgbClr val="900000"/>
    </a:accent5>
    <a:accent6>
      <a:srgbClr val="600000"/>
    </a:accent6>
    <a:hlink>
      <a:srgbClr val="FFFFFF"/>
    </a:hlink>
    <a:folHlink>
      <a:srgbClr val="FFFFFF"/>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Narrow"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7.xml><?xml version="1.0" encoding="utf-8"?>
<a:themeOverride xmlns:a="http://schemas.openxmlformats.org/drawingml/2006/main">
  <a:clrScheme name="Custom 4">
    <a:dk1>
      <a:srgbClr val="363636"/>
    </a:dk1>
    <a:lt1>
      <a:sysClr val="window" lastClr="FFFFFF"/>
    </a:lt1>
    <a:dk2>
      <a:srgbClr val="262262"/>
    </a:dk2>
    <a:lt2>
      <a:srgbClr val="949598"/>
    </a:lt2>
    <a:accent1>
      <a:srgbClr val="C00000"/>
    </a:accent1>
    <a:accent2>
      <a:srgbClr val="FFBFBF"/>
    </a:accent2>
    <a:accent3>
      <a:srgbClr val="FF7F7F"/>
    </a:accent3>
    <a:accent4>
      <a:srgbClr val="FF4040"/>
    </a:accent4>
    <a:accent5>
      <a:srgbClr val="900000"/>
    </a:accent5>
    <a:accent6>
      <a:srgbClr val="600000"/>
    </a:accent6>
    <a:hlink>
      <a:srgbClr val="FFFFFF"/>
    </a:hlink>
    <a:folHlink>
      <a:srgbClr val="FFFFFF"/>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Narrow"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8.xml><?xml version="1.0" encoding="utf-8"?>
<a:themeOverride xmlns:a="http://schemas.openxmlformats.org/drawingml/2006/main">
  <a:clrScheme name="Custom 4">
    <a:dk1>
      <a:srgbClr val="363636"/>
    </a:dk1>
    <a:lt1>
      <a:sysClr val="window" lastClr="FFFFFF"/>
    </a:lt1>
    <a:dk2>
      <a:srgbClr val="262262"/>
    </a:dk2>
    <a:lt2>
      <a:srgbClr val="949598"/>
    </a:lt2>
    <a:accent1>
      <a:srgbClr val="C00000"/>
    </a:accent1>
    <a:accent2>
      <a:srgbClr val="FFBFBF"/>
    </a:accent2>
    <a:accent3>
      <a:srgbClr val="FF7F7F"/>
    </a:accent3>
    <a:accent4>
      <a:srgbClr val="FF4040"/>
    </a:accent4>
    <a:accent5>
      <a:srgbClr val="900000"/>
    </a:accent5>
    <a:accent6>
      <a:srgbClr val="600000"/>
    </a:accent6>
    <a:hlink>
      <a:srgbClr val="FFFFFF"/>
    </a:hlink>
    <a:folHlink>
      <a:srgbClr val="FFFFFF"/>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Narrow"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9.xml><?xml version="1.0" encoding="utf-8"?>
<a:themeOverride xmlns:a="http://schemas.openxmlformats.org/drawingml/2006/main">
  <a:clrScheme name="Custom 4">
    <a:dk1>
      <a:srgbClr val="363636"/>
    </a:dk1>
    <a:lt1>
      <a:sysClr val="window" lastClr="FFFFFF"/>
    </a:lt1>
    <a:dk2>
      <a:srgbClr val="262262"/>
    </a:dk2>
    <a:lt2>
      <a:srgbClr val="949598"/>
    </a:lt2>
    <a:accent1>
      <a:srgbClr val="C00000"/>
    </a:accent1>
    <a:accent2>
      <a:srgbClr val="FFBFBF"/>
    </a:accent2>
    <a:accent3>
      <a:srgbClr val="FF7F7F"/>
    </a:accent3>
    <a:accent4>
      <a:srgbClr val="FF4040"/>
    </a:accent4>
    <a:accent5>
      <a:srgbClr val="900000"/>
    </a:accent5>
    <a:accent6>
      <a:srgbClr val="600000"/>
    </a:accent6>
    <a:hlink>
      <a:srgbClr val="FFFFFF"/>
    </a:hlink>
    <a:folHlink>
      <a:srgbClr val="FFFFFF"/>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Narrow"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Custom 4">
    <a:dk1>
      <a:srgbClr val="363636"/>
    </a:dk1>
    <a:lt1>
      <a:sysClr val="window" lastClr="FFFFFF"/>
    </a:lt1>
    <a:dk2>
      <a:srgbClr val="262262"/>
    </a:dk2>
    <a:lt2>
      <a:srgbClr val="949598"/>
    </a:lt2>
    <a:accent1>
      <a:srgbClr val="C00000"/>
    </a:accent1>
    <a:accent2>
      <a:srgbClr val="FFBFBF"/>
    </a:accent2>
    <a:accent3>
      <a:srgbClr val="FF7F7F"/>
    </a:accent3>
    <a:accent4>
      <a:srgbClr val="FF4040"/>
    </a:accent4>
    <a:accent5>
      <a:srgbClr val="900000"/>
    </a:accent5>
    <a:accent6>
      <a:srgbClr val="600000"/>
    </a:accent6>
    <a:hlink>
      <a:srgbClr val="FFFFFF"/>
    </a:hlink>
    <a:folHlink>
      <a:srgbClr val="FFFFFF"/>
    </a:folHlink>
  </a:clrScheme>
  <a:fontScheme name="Office 2007 - 2010">
    <a:majorFont>
      <a:latin typeface="Calibri"/>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Them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0.xml><?xml version="1.0" encoding="utf-8"?>
<a:themeOverride xmlns:a="http://schemas.openxmlformats.org/drawingml/2006/main">
  <a:clrScheme name="Custom 4">
    <a:dk1>
      <a:srgbClr val="363636"/>
    </a:dk1>
    <a:lt1>
      <a:sysClr val="window" lastClr="FFFFFF"/>
    </a:lt1>
    <a:dk2>
      <a:srgbClr val="262262"/>
    </a:dk2>
    <a:lt2>
      <a:srgbClr val="949598"/>
    </a:lt2>
    <a:accent1>
      <a:srgbClr val="C00000"/>
    </a:accent1>
    <a:accent2>
      <a:srgbClr val="FFBFBF"/>
    </a:accent2>
    <a:accent3>
      <a:srgbClr val="FF7F7F"/>
    </a:accent3>
    <a:accent4>
      <a:srgbClr val="FF4040"/>
    </a:accent4>
    <a:accent5>
      <a:srgbClr val="900000"/>
    </a:accent5>
    <a:accent6>
      <a:srgbClr val="600000"/>
    </a:accent6>
    <a:hlink>
      <a:srgbClr val="FFFFFF"/>
    </a:hlink>
    <a:folHlink>
      <a:srgbClr val="FFFFFF"/>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Narrow"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1.xml><?xml version="1.0" encoding="utf-8"?>
<a:themeOverride xmlns:a="http://schemas.openxmlformats.org/drawingml/2006/main">
  <a:clrScheme name="Custom 4">
    <a:dk1>
      <a:srgbClr val="363636"/>
    </a:dk1>
    <a:lt1>
      <a:sysClr val="window" lastClr="FFFFFF"/>
    </a:lt1>
    <a:dk2>
      <a:srgbClr val="262262"/>
    </a:dk2>
    <a:lt2>
      <a:srgbClr val="949598"/>
    </a:lt2>
    <a:accent1>
      <a:srgbClr val="C00000"/>
    </a:accent1>
    <a:accent2>
      <a:srgbClr val="FFBFBF"/>
    </a:accent2>
    <a:accent3>
      <a:srgbClr val="FF7F7F"/>
    </a:accent3>
    <a:accent4>
      <a:srgbClr val="FF4040"/>
    </a:accent4>
    <a:accent5>
      <a:srgbClr val="900000"/>
    </a:accent5>
    <a:accent6>
      <a:srgbClr val="600000"/>
    </a:accent6>
    <a:hlink>
      <a:srgbClr val="FFFFFF"/>
    </a:hlink>
    <a:folHlink>
      <a:srgbClr val="FFFFFF"/>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Narrow"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2.xml><?xml version="1.0" encoding="utf-8"?>
<a:themeOverride xmlns:a="http://schemas.openxmlformats.org/drawingml/2006/main">
  <a:clrScheme name="Custom 4">
    <a:dk1>
      <a:srgbClr val="363636"/>
    </a:dk1>
    <a:lt1>
      <a:sysClr val="window" lastClr="FFFFFF"/>
    </a:lt1>
    <a:dk2>
      <a:srgbClr val="262262"/>
    </a:dk2>
    <a:lt2>
      <a:srgbClr val="949598"/>
    </a:lt2>
    <a:accent1>
      <a:srgbClr val="C00000"/>
    </a:accent1>
    <a:accent2>
      <a:srgbClr val="FFBFBF"/>
    </a:accent2>
    <a:accent3>
      <a:srgbClr val="FF7F7F"/>
    </a:accent3>
    <a:accent4>
      <a:srgbClr val="FF4040"/>
    </a:accent4>
    <a:accent5>
      <a:srgbClr val="900000"/>
    </a:accent5>
    <a:accent6>
      <a:srgbClr val="600000"/>
    </a:accent6>
    <a:hlink>
      <a:srgbClr val="FFFFFF"/>
    </a:hlink>
    <a:folHlink>
      <a:srgbClr val="FFFFFF"/>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Narrow"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3.xml><?xml version="1.0" encoding="utf-8"?>
<a:themeOverride xmlns:a="http://schemas.openxmlformats.org/drawingml/2006/main">
  <a:clrScheme name="Custom 4">
    <a:dk1>
      <a:srgbClr val="363636"/>
    </a:dk1>
    <a:lt1>
      <a:sysClr val="window" lastClr="FFFFFF"/>
    </a:lt1>
    <a:dk2>
      <a:srgbClr val="262262"/>
    </a:dk2>
    <a:lt2>
      <a:srgbClr val="949598"/>
    </a:lt2>
    <a:accent1>
      <a:srgbClr val="C00000"/>
    </a:accent1>
    <a:accent2>
      <a:srgbClr val="FFBFBF"/>
    </a:accent2>
    <a:accent3>
      <a:srgbClr val="FF7F7F"/>
    </a:accent3>
    <a:accent4>
      <a:srgbClr val="FF4040"/>
    </a:accent4>
    <a:accent5>
      <a:srgbClr val="900000"/>
    </a:accent5>
    <a:accent6>
      <a:srgbClr val="600000"/>
    </a:accent6>
    <a:hlink>
      <a:srgbClr val="FFFFFF"/>
    </a:hlink>
    <a:folHlink>
      <a:srgbClr val="FFFFFF"/>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Narrow"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4.xml><?xml version="1.0" encoding="utf-8"?>
<a:themeOverride xmlns:a="http://schemas.openxmlformats.org/drawingml/2006/main">
  <a:clrScheme name="Custom 4">
    <a:dk1>
      <a:srgbClr val="363636"/>
    </a:dk1>
    <a:lt1>
      <a:sysClr val="window" lastClr="FFFFFF"/>
    </a:lt1>
    <a:dk2>
      <a:srgbClr val="262262"/>
    </a:dk2>
    <a:lt2>
      <a:srgbClr val="949598"/>
    </a:lt2>
    <a:accent1>
      <a:srgbClr val="C00000"/>
    </a:accent1>
    <a:accent2>
      <a:srgbClr val="FFBFBF"/>
    </a:accent2>
    <a:accent3>
      <a:srgbClr val="FF7F7F"/>
    </a:accent3>
    <a:accent4>
      <a:srgbClr val="FF4040"/>
    </a:accent4>
    <a:accent5>
      <a:srgbClr val="900000"/>
    </a:accent5>
    <a:accent6>
      <a:srgbClr val="600000"/>
    </a:accent6>
    <a:hlink>
      <a:srgbClr val="FFFFFF"/>
    </a:hlink>
    <a:folHlink>
      <a:srgbClr val="FFFFFF"/>
    </a:folHlink>
  </a:clrScheme>
  <a:fontScheme name="Office 2007 - 2010">
    <a:majorFont>
      <a:latin typeface="Calibri"/>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Them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5.xml><?xml version="1.0" encoding="utf-8"?>
<a:themeOverride xmlns:a="http://schemas.openxmlformats.org/drawingml/2006/main">
  <a:clrScheme name="Custom 4">
    <a:dk1>
      <a:srgbClr val="363636"/>
    </a:dk1>
    <a:lt1>
      <a:sysClr val="window" lastClr="FFFFFF"/>
    </a:lt1>
    <a:dk2>
      <a:srgbClr val="262262"/>
    </a:dk2>
    <a:lt2>
      <a:srgbClr val="949598"/>
    </a:lt2>
    <a:accent1>
      <a:srgbClr val="C00000"/>
    </a:accent1>
    <a:accent2>
      <a:srgbClr val="FFBFBF"/>
    </a:accent2>
    <a:accent3>
      <a:srgbClr val="FF7F7F"/>
    </a:accent3>
    <a:accent4>
      <a:srgbClr val="FF4040"/>
    </a:accent4>
    <a:accent5>
      <a:srgbClr val="900000"/>
    </a:accent5>
    <a:accent6>
      <a:srgbClr val="600000"/>
    </a:accent6>
    <a:hlink>
      <a:srgbClr val="FFFFFF"/>
    </a:hlink>
    <a:folHlink>
      <a:srgbClr val="FFFFFF"/>
    </a:folHlink>
  </a:clrScheme>
  <a:fontScheme name="Office 2007 - 2010">
    <a:majorFont>
      <a:latin typeface="Calibri"/>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Them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6.xml><?xml version="1.0" encoding="utf-8"?>
<a:themeOverride xmlns:a="http://schemas.openxmlformats.org/drawingml/2006/main">
  <a:clrScheme name="Custom 4">
    <a:dk1>
      <a:srgbClr val="363636"/>
    </a:dk1>
    <a:lt1>
      <a:sysClr val="window" lastClr="FFFFFF"/>
    </a:lt1>
    <a:dk2>
      <a:srgbClr val="262262"/>
    </a:dk2>
    <a:lt2>
      <a:srgbClr val="949598"/>
    </a:lt2>
    <a:accent1>
      <a:srgbClr val="C00000"/>
    </a:accent1>
    <a:accent2>
      <a:srgbClr val="FFBFBF"/>
    </a:accent2>
    <a:accent3>
      <a:srgbClr val="FF7F7F"/>
    </a:accent3>
    <a:accent4>
      <a:srgbClr val="FF4040"/>
    </a:accent4>
    <a:accent5>
      <a:srgbClr val="900000"/>
    </a:accent5>
    <a:accent6>
      <a:srgbClr val="600000"/>
    </a:accent6>
    <a:hlink>
      <a:srgbClr val="FFFFFF"/>
    </a:hlink>
    <a:folHlink>
      <a:srgbClr val="FFFFFF"/>
    </a:folHlink>
  </a:clrScheme>
  <a:fontScheme name="Office 2007 - 2010">
    <a:majorFont>
      <a:latin typeface="Calibri"/>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Them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7.xml><?xml version="1.0" encoding="utf-8"?>
<a:themeOverride xmlns:a="http://schemas.openxmlformats.org/drawingml/2006/main">
  <a:clrScheme name="Custom 4">
    <a:dk1>
      <a:srgbClr val="363636"/>
    </a:dk1>
    <a:lt1>
      <a:sysClr val="window" lastClr="FFFFFF"/>
    </a:lt1>
    <a:dk2>
      <a:srgbClr val="262262"/>
    </a:dk2>
    <a:lt2>
      <a:srgbClr val="949598"/>
    </a:lt2>
    <a:accent1>
      <a:srgbClr val="C00000"/>
    </a:accent1>
    <a:accent2>
      <a:srgbClr val="FFBFBF"/>
    </a:accent2>
    <a:accent3>
      <a:srgbClr val="FF7F7F"/>
    </a:accent3>
    <a:accent4>
      <a:srgbClr val="FF4040"/>
    </a:accent4>
    <a:accent5>
      <a:srgbClr val="900000"/>
    </a:accent5>
    <a:accent6>
      <a:srgbClr val="600000"/>
    </a:accent6>
    <a:hlink>
      <a:srgbClr val="FFFFFF"/>
    </a:hlink>
    <a:folHlink>
      <a:srgbClr val="FFFFFF"/>
    </a:folHlink>
  </a:clrScheme>
  <a:fontScheme name="Office 2007 - 2010">
    <a:majorFont>
      <a:latin typeface="Calibri"/>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Them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8.xml><?xml version="1.0" encoding="utf-8"?>
<a:themeOverride xmlns:a="http://schemas.openxmlformats.org/drawingml/2006/main">
  <a:clrScheme name="Custom 4">
    <a:dk1>
      <a:srgbClr val="363636"/>
    </a:dk1>
    <a:lt1>
      <a:sysClr val="window" lastClr="FFFFFF"/>
    </a:lt1>
    <a:dk2>
      <a:srgbClr val="262262"/>
    </a:dk2>
    <a:lt2>
      <a:srgbClr val="949598"/>
    </a:lt2>
    <a:accent1>
      <a:srgbClr val="C00000"/>
    </a:accent1>
    <a:accent2>
      <a:srgbClr val="FFBFBF"/>
    </a:accent2>
    <a:accent3>
      <a:srgbClr val="FF7F7F"/>
    </a:accent3>
    <a:accent4>
      <a:srgbClr val="FF4040"/>
    </a:accent4>
    <a:accent5>
      <a:srgbClr val="900000"/>
    </a:accent5>
    <a:accent6>
      <a:srgbClr val="600000"/>
    </a:accent6>
    <a:hlink>
      <a:srgbClr val="FFFFFF"/>
    </a:hlink>
    <a:folHlink>
      <a:srgbClr val="FFFFFF"/>
    </a:folHlink>
  </a:clrScheme>
  <a:fontScheme name="Office 2007 - 2010">
    <a:majorFont>
      <a:latin typeface="Calibri"/>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Them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9.xml><?xml version="1.0" encoding="utf-8"?>
<a:themeOverride xmlns:a="http://schemas.openxmlformats.org/drawingml/2006/main">
  <a:clrScheme name="Custom 4">
    <a:dk1>
      <a:srgbClr val="363636"/>
    </a:dk1>
    <a:lt1>
      <a:sysClr val="window" lastClr="FFFFFF"/>
    </a:lt1>
    <a:dk2>
      <a:srgbClr val="262262"/>
    </a:dk2>
    <a:lt2>
      <a:srgbClr val="949598"/>
    </a:lt2>
    <a:accent1>
      <a:srgbClr val="C00000"/>
    </a:accent1>
    <a:accent2>
      <a:srgbClr val="FFBFBF"/>
    </a:accent2>
    <a:accent3>
      <a:srgbClr val="FF7F7F"/>
    </a:accent3>
    <a:accent4>
      <a:srgbClr val="FF4040"/>
    </a:accent4>
    <a:accent5>
      <a:srgbClr val="900000"/>
    </a:accent5>
    <a:accent6>
      <a:srgbClr val="600000"/>
    </a:accent6>
    <a:hlink>
      <a:srgbClr val="FFFFFF"/>
    </a:hlink>
    <a:folHlink>
      <a:srgbClr val="FFFFFF"/>
    </a:folHlink>
  </a:clrScheme>
  <a:fontScheme name="Office 2007 - 2010">
    <a:majorFont>
      <a:latin typeface="Calibri"/>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Them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Custom 4">
    <a:dk1>
      <a:srgbClr val="363636"/>
    </a:dk1>
    <a:lt1>
      <a:sysClr val="window" lastClr="FFFFFF"/>
    </a:lt1>
    <a:dk2>
      <a:srgbClr val="262262"/>
    </a:dk2>
    <a:lt2>
      <a:srgbClr val="949598"/>
    </a:lt2>
    <a:accent1>
      <a:srgbClr val="C00000"/>
    </a:accent1>
    <a:accent2>
      <a:srgbClr val="FFBFBF"/>
    </a:accent2>
    <a:accent3>
      <a:srgbClr val="FF7F7F"/>
    </a:accent3>
    <a:accent4>
      <a:srgbClr val="FF4040"/>
    </a:accent4>
    <a:accent5>
      <a:srgbClr val="900000"/>
    </a:accent5>
    <a:accent6>
      <a:srgbClr val="600000"/>
    </a:accent6>
    <a:hlink>
      <a:srgbClr val="FFFFFF"/>
    </a:hlink>
    <a:folHlink>
      <a:srgbClr val="FFFFFF"/>
    </a:folHlink>
  </a:clrScheme>
  <a:fontScheme name="Office 2007 - 2010">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2007 - 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0.xml><?xml version="1.0" encoding="utf-8"?>
<a:themeOverride xmlns:a="http://schemas.openxmlformats.org/drawingml/2006/main">
  <a:clrScheme name="Custom 4">
    <a:dk1>
      <a:srgbClr val="363636"/>
    </a:dk1>
    <a:lt1>
      <a:sysClr val="window" lastClr="FFFFFF"/>
    </a:lt1>
    <a:dk2>
      <a:srgbClr val="262262"/>
    </a:dk2>
    <a:lt2>
      <a:srgbClr val="949598"/>
    </a:lt2>
    <a:accent1>
      <a:srgbClr val="C00000"/>
    </a:accent1>
    <a:accent2>
      <a:srgbClr val="FFBFBF"/>
    </a:accent2>
    <a:accent3>
      <a:srgbClr val="FF7F7F"/>
    </a:accent3>
    <a:accent4>
      <a:srgbClr val="FF4040"/>
    </a:accent4>
    <a:accent5>
      <a:srgbClr val="900000"/>
    </a:accent5>
    <a:accent6>
      <a:srgbClr val="600000"/>
    </a:accent6>
    <a:hlink>
      <a:srgbClr val="FFFFFF"/>
    </a:hlink>
    <a:folHlink>
      <a:srgbClr val="FFFFFF"/>
    </a:folHlink>
  </a:clrScheme>
  <a:fontScheme name="Office 2007 - 2010">
    <a:majorFont>
      <a:latin typeface="Calibri"/>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Them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1.xml><?xml version="1.0" encoding="utf-8"?>
<a:themeOverride xmlns:a="http://schemas.openxmlformats.org/drawingml/2006/main">
  <a:clrScheme name="Custom 4">
    <a:dk1>
      <a:srgbClr val="363636"/>
    </a:dk1>
    <a:lt1>
      <a:sysClr val="window" lastClr="FFFFFF"/>
    </a:lt1>
    <a:dk2>
      <a:srgbClr val="262262"/>
    </a:dk2>
    <a:lt2>
      <a:srgbClr val="949598"/>
    </a:lt2>
    <a:accent1>
      <a:srgbClr val="C00000"/>
    </a:accent1>
    <a:accent2>
      <a:srgbClr val="FFBFBF"/>
    </a:accent2>
    <a:accent3>
      <a:srgbClr val="FF7F7F"/>
    </a:accent3>
    <a:accent4>
      <a:srgbClr val="FF4040"/>
    </a:accent4>
    <a:accent5>
      <a:srgbClr val="900000"/>
    </a:accent5>
    <a:accent6>
      <a:srgbClr val="600000"/>
    </a:accent6>
    <a:hlink>
      <a:srgbClr val="FFFFFF"/>
    </a:hlink>
    <a:folHlink>
      <a:srgbClr val="FFFFFF"/>
    </a:folHlink>
  </a:clrScheme>
  <a:fontScheme name="Office 2007 - 2010">
    <a:majorFont>
      <a:latin typeface="Calibri"/>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Them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2.xml><?xml version="1.0" encoding="utf-8"?>
<a:themeOverride xmlns:a="http://schemas.openxmlformats.org/drawingml/2006/main">
  <a:clrScheme name="Custom 4">
    <a:dk1>
      <a:srgbClr val="363636"/>
    </a:dk1>
    <a:lt1>
      <a:sysClr val="window" lastClr="FFFFFF"/>
    </a:lt1>
    <a:dk2>
      <a:srgbClr val="262262"/>
    </a:dk2>
    <a:lt2>
      <a:srgbClr val="949598"/>
    </a:lt2>
    <a:accent1>
      <a:srgbClr val="C00000"/>
    </a:accent1>
    <a:accent2>
      <a:srgbClr val="FFBFBF"/>
    </a:accent2>
    <a:accent3>
      <a:srgbClr val="FF7F7F"/>
    </a:accent3>
    <a:accent4>
      <a:srgbClr val="FF4040"/>
    </a:accent4>
    <a:accent5>
      <a:srgbClr val="900000"/>
    </a:accent5>
    <a:accent6>
      <a:srgbClr val="600000"/>
    </a:accent6>
    <a:hlink>
      <a:srgbClr val="FFFFFF"/>
    </a:hlink>
    <a:folHlink>
      <a:srgbClr val="FFFFFF"/>
    </a:folHlink>
  </a:clrScheme>
  <a:fontScheme name="Office 2007 - 2010">
    <a:majorFont>
      <a:latin typeface="Calibri"/>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Them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3.xml><?xml version="1.0" encoding="utf-8"?>
<a:themeOverride xmlns:a="http://schemas.openxmlformats.org/drawingml/2006/main">
  <a:clrScheme name="Custom 4">
    <a:dk1>
      <a:srgbClr val="363636"/>
    </a:dk1>
    <a:lt1>
      <a:sysClr val="window" lastClr="FFFFFF"/>
    </a:lt1>
    <a:dk2>
      <a:srgbClr val="262262"/>
    </a:dk2>
    <a:lt2>
      <a:srgbClr val="949598"/>
    </a:lt2>
    <a:accent1>
      <a:srgbClr val="C00000"/>
    </a:accent1>
    <a:accent2>
      <a:srgbClr val="FFBFBF"/>
    </a:accent2>
    <a:accent3>
      <a:srgbClr val="FF7F7F"/>
    </a:accent3>
    <a:accent4>
      <a:srgbClr val="FF4040"/>
    </a:accent4>
    <a:accent5>
      <a:srgbClr val="900000"/>
    </a:accent5>
    <a:accent6>
      <a:srgbClr val="600000"/>
    </a:accent6>
    <a:hlink>
      <a:srgbClr val="FFFFFF"/>
    </a:hlink>
    <a:folHlink>
      <a:srgbClr val="FFFFFF"/>
    </a:folHlink>
  </a:clrScheme>
  <a:fontScheme name="Office 2007 - 2010">
    <a:majorFont>
      <a:latin typeface="Calibri"/>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Them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4.xml><?xml version="1.0" encoding="utf-8"?>
<a:themeOverride xmlns:a="http://schemas.openxmlformats.org/drawingml/2006/main">
  <a:clrScheme name="Custom 4">
    <a:dk1>
      <a:srgbClr val="363636"/>
    </a:dk1>
    <a:lt1>
      <a:sysClr val="window" lastClr="FFFFFF"/>
    </a:lt1>
    <a:dk2>
      <a:srgbClr val="262262"/>
    </a:dk2>
    <a:lt2>
      <a:srgbClr val="949598"/>
    </a:lt2>
    <a:accent1>
      <a:srgbClr val="C00000"/>
    </a:accent1>
    <a:accent2>
      <a:srgbClr val="FFBFBF"/>
    </a:accent2>
    <a:accent3>
      <a:srgbClr val="FF7F7F"/>
    </a:accent3>
    <a:accent4>
      <a:srgbClr val="FF4040"/>
    </a:accent4>
    <a:accent5>
      <a:srgbClr val="900000"/>
    </a:accent5>
    <a:accent6>
      <a:srgbClr val="600000"/>
    </a:accent6>
    <a:hlink>
      <a:srgbClr val="FFFFFF"/>
    </a:hlink>
    <a:folHlink>
      <a:srgbClr val="FFFFFF"/>
    </a:folHlink>
  </a:clrScheme>
  <a:fontScheme name="Office 2007 - 2010">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2007 - 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5.xml><?xml version="1.0" encoding="utf-8"?>
<a:themeOverride xmlns:a="http://schemas.openxmlformats.org/drawingml/2006/main">
  <a:clrScheme name="Custom 4">
    <a:dk1>
      <a:srgbClr val="363636"/>
    </a:dk1>
    <a:lt1>
      <a:sysClr val="window" lastClr="FFFFFF"/>
    </a:lt1>
    <a:dk2>
      <a:srgbClr val="262262"/>
    </a:dk2>
    <a:lt2>
      <a:srgbClr val="949598"/>
    </a:lt2>
    <a:accent1>
      <a:srgbClr val="C00000"/>
    </a:accent1>
    <a:accent2>
      <a:srgbClr val="FFBFBF"/>
    </a:accent2>
    <a:accent3>
      <a:srgbClr val="FF7F7F"/>
    </a:accent3>
    <a:accent4>
      <a:srgbClr val="FF4040"/>
    </a:accent4>
    <a:accent5>
      <a:srgbClr val="900000"/>
    </a:accent5>
    <a:accent6>
      <a:srgbClr val="600000"/>
    </a:accent6>
    <a:hlink>
      <a:srgbClr val="FFFFFF"/>
    </a:hlink>
    <a:folHlink>
      <a:srgbClr val="FFFFFF"/>
    </a:folHlink>
  </a:clrScheme>
  <a:fontScheme name="Office 2007 - 2010">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2007 - 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6.xml><?xml version="1.0" encoding="utf-8"?>
<a:themeOverride xmlns:a="http://schemas.openxmlformats.org/drawingml/2006/main">
  <a:clrScheme name="Custom 4">
    <a:dk1>
      <a:srgbClr val="363636"/>
    </a:dk1>
    <a:lt1>
      <a:sysClr val="window" lastClr="FFFFFF"/>
    </a:lt1>
    <a:dk2>
      <a:srgbClr val="262262"/>
    </a:dk2>
    <a:lt2>
      <a:srgbClr val="949598"/>
    </a:lt2>
    <a:accent1>
      <a:srgbClr val="C00000"/>
    </a:accent1>
    <a:accent2>
      <a:srgbClr val="FFBFBF"/>
    </a:accent2>
    <a:accent3>
      <a:srgbClr val="FF7F7F"/>
    </a:accent3>
    <a:accent4>
      <a:srgbClr val="FF4040"/>
    </a:accent4>
    <a:accent5>
      <a:srgbClr val="900000"/>
    </a:accent5>
    <a:accent6>
      <a:srgbClr val="600000"/>
    </a:accent6>
    <a:hlink>
      <a:srgbClr val="FFFFFF"/>
    </a:hlink>
    <a:folHlink>
      <a:srgbClr val="FFFFFF"/>
    </a:folHlink>
  </a:clrScheme>
  <a:fontScheme name="Office 2007 - 2010">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2007 - 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7.xml><?xml version="1.0" encoding="utf-8"?>
<a:themeOverride xmlns:a="http://schemas.openxmlformats.org/drawingml/2006/main">
  <a:clrScheme name="Custom 4">
    <a:dk1>
      <a:srgbClr val="363636"/>
    </a:dk1>
    <a:lt1>
      <a:sysClr val="window" lastClr="FFFFFF"/>
    </a:lt1>
    <a:dk2>
      <a:srgbClr val="262262"/>
    </a:dk2>
    <a:lt2>
      <a:srgbClr val="949598"/>
    </a:lt2>
    <a:accent1>
      <a:srgbClr val="C00000"/>
    </a:accent1>
    <a:accent2>
      <a:srgbClr val="FFBFBF"/>
    </a:accent2>
    <a:accent3>
      <a:srgbClr val="FF7F7F"/>
    </a:accent3>
    <a:accent4>
      <a:srgbClr val="FF4040"/>
    </a:accent4>
    <a:accent5>
      <a:srgbClr val="900000"/>
    </a:accent5>
    <a:accent6>
      <a:srgbClr val="600000"/>
    </a:accent6>
    <a:hlink>
      <a:srgbClr val="FFFFFF"/>
    </a:hlink>
    <a:folHlink>
      <a:srgbClr val="FFFFFF"/>
    </a:folHlink>
  </a:clrScheme>
  <a:fontScheme name="Office 2007 - 2010">
    <a:majorFont>
      <a:latin typeface="Calibri"/>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Them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8.xml><?xml version="1.0" encoding="utf-8"?>
<a:themeOverride xmlns:a="http://schemas.openxmlformats.org/drawingml/2006/main">
  <a:clrScheme name="Custom 4">
    <a:dk1>
      <a:srgbClr val="363636"/>
    </a:dk1>
    <a:lt1>
      <a:sysClr val="window" lastClr="FFFFFF"/>
    </a:lt1>
    <a:dk2>
      <a:srgbClr val="262262"/>
    </a:dk2>
    <a:lt2>
      <a:srgbClr val="949598"/>
    </a:lt2>
    <a:accent1>
      <a:srgbClr val="C00000"/>
    </a:accent1>
    <a:accent2>
      <a:srgbClr val="FFBFBF"/>
    </a:accent2>
    <a:accent3>
      <a:srgbClr val="FF7F7F"/>
    </a:accent3>
    <a:accent4>
      <a:srgbClr val="FF4040"/>
    </a:accent4>
    <a:accent5>
      <a:srgbClr val="900000"/>
    </a:accent5>
    <a:accent6>
      <a:srgbClr val="600000"/>
    </a:accent6>
    <a:hlink>
      <a:srgbClr val="FFFFFF"/>
    </a:hlink>
    <a:folHlink>
      <a:srgbClr val="FFFFFF"/>
    </a:folHlink>
  </a:clrScheme>
  <a:fontScheme name="Office 2007 - 2010">
    <a:majorFont>
      <a:latin typeface="Calibri"/>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Them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9.xml><?xml version="1.0" encoding="utf-8"?>
<a:themeOverride xmlns:a="http://schemas.openxmlformats.org/drawingml/2006/main">
  <a:clrScheme name="Custom 4">
    <a:dk1>
      <a:srgbClr val="363636"/>
    </a:dk1>
    <a:lt1>
      <a:sysClr val="window" lastClr="FFFFFF"/>
    </a:lt1>
    <a:dk2>
      <a:srgbClr val="262262"/>
    </a:dk2>
    <a:lt2>
      <a:srgbClr val="949598"/>
    </a:lt2>
    <a:accent1>
      <a:srgbClr val="C00000"/>
    </a:accent1>
    <a:accent2>
      <a:srgbClr val="FFBFBF"/>
    </a:accent2>
    <a:accent3>
      <a:srgbClr val="FF7F7F"/>
    </a:accent3>
    <a:accent4>
      <a:srgbClr val="FF4040"/>
    </a:accent4>
    <a:accent5>
      <a:srgbClr val="900000"/>
    </a:accent5>
    <a:accent6>
      <a:srgbClr val="600000"/>
    </a:accent6>
    <a:hlink>
      <a:srgbClr val="FFFFFF"/>
    </a:hlink>
    <a:folHlink>
      <a:srgbClr val="FFFFFF"/>
    </a:folHlink>
  </a:clrScheme>
  <a:fontScheme name="Office 2007 - 2010">
    <a:majorFont>
      <a:latin typeface="Calibri"/>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Them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Custom 4">
    <a:dk1>
      <a:srgbClr val="363636"/>
    </a:dk1>
    <a:lt1>
      <a:sysClr val="window" lastClr="FFFFFF"/>
    </a:lt1>
    <a:dk2>
      <a:srgbClr val="262262"/>
    </a:dk2>
    <a:lt2>
      <a:srgbClr val="949598"/>
    </a:lt2>
    <a:accent1>
      <a:srgbClr val="C00000"/>
    </a:accent1>
    <a:accent2>
      <a:srgbClr val="FFBFBF"/>
    </a:accent2>
    <a:accent3>
      <a:srgbClr val="FF7F7F"/>
    </a:accent3>
    <a:accent4>
      <a:srgbClr val="FF4040"/>
    </a:accent4>
    <a:accent5>
      <a:srgbClr val="900000"/>
    </a:accent5>
    <a:accent6>
      <a:srgbClr val="600000"/>
    </a:accent6>
    <a:hlink>
      <a:srgbClr val="FFFFFF"/>
    </a:hlink>
    <a:folHlink>
      <a:srgbClr val="FFFFFF"/>
    </a:folHlink>
  </a:clrScheme>
  <a:fontScheme name="Office 2007 - 2010">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2007 - 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0.xml><?xml version="1.0" encoding="utf-8"?>
<a:themeOverride xmlns:a="http://schemas.openxmlformats.org/drawingml/2006/main">
  <a:clrScheme name="Custom 4">
    <a:dk1>
      <a:srgbClr val="363636"/>
    </a:dk1>
    <a:lt1>
      <a:sysClr val="window" lastClr="FFFFFF"/>
    </a:lt1>
    <a:dk2>
      <a:srgbClr val="262262"/>
    </a:dk2>
    <a:lt2>
      <a:srgbClr val="949598"/>
    </a:lt2>
    <a:accent1>
      <a:srgbClr val="C00000"/>
    </a:accent1>
    <a:accent2>
      <a:srgbClr val="FFBFBF"/>
    </a:accent2>
    <a:accent3>
      <a:srgbClr val="FF7F7F"/>
    </a:accent3>
    <a:accent4>
      <a:srgbClr val="FF4040"/>
    </a:accent4>
    <a:accent5>
      <a:srgbClr val="900000"/>
    </a:accent5>
    <a:accent6>
      <a:srgbClr val="600000"/>
    </a:accent6>
    <a:hlink>
      <a:srgbClr val="FFFFFF"/>
    </a:hlink>
    <a:folHlink>
      <a:srgbClr val="FFFFFF"/>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1.xml><?xml version="1.0" encoding="utf-8"?>
<a:themeOverride xmlns:a="http://schemas.openxmlformats.org/drawingml/2006/main">
  <a:clrScheme name="Custom 4">
    <a:dk1>
      <a:srgbClr val="363636"/>
    </a:dk1>
    <a:lt1>
      <a:sysClr val="window" lastClr="FFFFFF"/>
    </a:lt1>
    <a:dk2>
      <a:srgbClr val="262262"/>
    </a:dk2>
    <a:lt2>
      <a:srgbClr val="949598"/>
    </a:lt2>
    <a:accent1>
      <a:srgbClr val="C00000"/>
    </a:accent1>
    <a:accent2>
      <a:srgbClr val="FFBFBF"/>
    </a:accent2>
    <a:accent3>
      <a:srgbClr val="FF7F7F"/>
    </a:accent3>
    <a:accent4>
      <a:srgbClr val="FF4040"/>
    </a:accent4>
    <a:accent5>
      <a:srgbClr val="900000"/>
    </a:accent5>
    <a:accent6>
      <a:srgbClr val="600000"/>
    </a:accent6>
    <a:hlink>
      <a:srgbClr val="FFFFFF"/>
    </a:hlink>
    <a:folHlink>
      <a:srgbClr val="FFFFFF"/>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2.xml><?xml version="1.0" encoding="utf-8"?>
<a:themeOverride xmlns:a="http://schemas.openxmlformats.org/drawingml/2006/main">
  <a:clrScheme name="Custom 4">
    <a:dk1>
      <a:srgbClr val="363636"/>
    </a:dk1>
    <a:lt1>
      <a:sysClr val="window" lastClr="FFFFFF"/>
    </a:lt1>
    <a:dk2>
      <a:srgbClr val="262262"/>
    </a:dk2>
    <a:lt2>
      <a:srgbClr val="949598"/>
    </a:lt2>
    <a:accent1>
      <a:srgbClr val="C00000"/>
    </a:accent1>
    <a:accent2>
      <a:srgbClr val="FFBFBF"/>
    </a:accent2>
    <a:accent3>
      <a:srgbClr val="FF7F7F"/>
    </a:accent3>
    <a:accent4>
      <a:srgbClr val="FF4040"/>
    </a:accent4>
    <a:accent5>
      <a:srgbClr val="900000"/>
    </a:accent5>
    <a:accent6>
      <a:srgbClr val="600000"/>
    </a:accent6>
    <a:hlink>
      <a:srgbClr val="FFFFFF"/>
    </a:hlink>
    <a:folHlink>
      <a:srgbClr val="FFFFFF"/>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3.xml><?xml version="1.0" encoding="utf-8"?>
<a:themeOverride xmlns:a="http://schemas.openxmlformats.org/drawingml/2006/main">
  <a:clrScheme name="Custom 4">
    <a:dk1>
      <a:srgbClr val="363636"/>
    </a:dk1>
    <a:lt1>
      <a:sysClr val="window" lastClr="FFFFFF"/>
    </a:lt1>
    <a:dk2>
      <a:srgbClr val="262262"/>
    </a:dk2>
    <a:lt2>
      <a:srgbClr val="949598"/>
    </a:lt2>
    <a:accent1>
      <a:srgbClr val="C00000"/>
    </a:accent1>
    <a:accent2>
      <a:srgbClr val="FFBFBF"/>
    </a:accent2>
    <a:accent3>
      <a:srgbClr val="FF7F7F"/>
    </a:accent3>
    <a:accent4>
      <a:srgbClr val="FF4040"/>
    </a:accent4>
    <a:accent5>
      <a:srgbClr val="900000"/>
    </a:accent5>
    <a:accent6>
      <a:srgbClr val="600000"/>
    </a:accent6>
    <a:hlink>
      <a:srgbClr val="FFFFFF"/>
    </a:hlink>
    <a:folHlink>
      <a:srgbClr val="FFFFFF"/>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4.xml><?xml version="1.0" encoding="utf-8"?>
<a:themeOverride xmlns:a="http://schemas.openxmlformats.org/drawingml/2006/main">
  <a:clrScheme name="Custom 4">
    <a:dk1>
      <a:srgbClr val="363636"/>
    </a:dk1>
    <a:lt1>
      <a:sysClr val="window" lastClr="FFFFFF"/>
    </a:lt1>
    <a:dk2>
      <a:srgbClr val="262262"/>
    </a:dk2>
    <a:lt2>
      <a:srgbClr val="949598"/>
    </a:lt2>
    <a:accent1>
      <a:srgbClr val="C00000"/>
    </a:accent1>
    <a:accent2>
      <a:srgbClr val="FFBFBF"/>
    </a:accent2>
    <a:accent3>
      <a:srgbClr val="FF7F7F"/>
    </a:accent3>
    <a:accent4>
      <a:srgbClr val="FF4040"/>
    </a:accent4>
    <a:accent5>
      <a:srgbClr val="900000"/>
    </a:accent5>
    <a:accent6>
      <a:srgbClr val="600000"/>
    </a:accent6>
    <a:hlink>
      <a:srgbClr val="FFFFFF"/>
    </a:hlink>
    <a:folHlink>
      <a:srgbClr val="FFFFFF"/>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5.xml><?xml version="1.0" encoding="utf-8"?>
<a:themeOverride xmlns:a="http://schemas.openxmlformats.org/drawingml/2006/main">
  <a:clrScheme name="Custom 4">
    <a:dk1>
      <a:srgbClr val="363636"/>
    </a:dk1>
    <a:lt1>
      <a:sysClr val="window" lastClr="FFFFFF"/>
    </a:lt1>
    <a:dk2>
      <a:srgbClr val="262262"/>
    </a:dk2>
    <a:lt2>
      <a:srgbClr val="949598"/>
    </a:lt2>
    <a:accent1>
      <a:srgbClr val="C00000"/>
    </a:accent1>
    <a:accent2>
      <a:srgbClr val="FFBFBF"/>
    </a:accent2>
    <a:accent3>
      <a:srgbClr val="FF7F7F"/>
    </a:accent3>
    <a:accent4>
      <a:srgbClr val="FF4040"/>
    </a:accent4>
    <a:accent5>
      <a:srgbClr val="900000"/>
    </a:accent5>
    <a:accent6>
      <a:srgbClr val="600000"/>
    </a:accent6>
    <a:hlink>
      <a:srgbClr val="FFFFFF"/>
    </a:hlink>
    <a:folHlink>
      <a:srgbClr val="FFFFFF"/>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6.xml><?xml version="1.0" encoding="utf-8"?>
<a:themeOverride xmlns:a="http://schemas.openxmlformats.org/drawingml/2006/main">
  <a:clrScheme name="Custom 4">
    <a:dk1>
      <a:srgbClr val="363636"/>
    </a:dk1>
    <a:lt1>
      <a:sysClr val="window" lastClr="FFFFFF"/>
    </a:lt1>
    <a:dk2>
      <a:srgbClr val="262262"/>
    </a:dk2>
    <a:lt2>
      <a:srgbClr val="949598"/>
    </a:lt2>
    <a:accent1>
      <a:srgbClr val="C00000"/>
    </a:accent1>
    <a:accent2>
      <a:srgbClr val="FFBFBF"/>
    </a:accent2>
    <a:accent3>
      <a:srgbClr val="FF7F7F"/>
    </a:accent3>
    <a:accent4>
      <a:srgbClr val="FF4040"/>
    </a:accent4>
    <a:accent5>
      <a:srgbClr val="900000"/>
    </a:accent5>
    <a:accent6>
      <a:srgbClr val="600000"/>
    </a:accent6>
    <a:hlink>
      <a:srgbClr val="FFFFFF"/>
    </a:hlink>
    <a:folHlink>
      <a:srgbClr val="FFFFFF"/>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7.xml><?xml version="1.0" encoding="utf-8"?>
<a:themeOverride xmlns:a="http://schemas.openxmlformats.org/drawingml/2006/main">
  <a:clrScheme name="Custom 4">
    <a:dk1>
      <a:srgbClr val="363636"/>
    </a:dk1>
    <a:lt1>
      <a:sysClr val="window" lastClr="FFFFFF"/>
    </a:lt1>
    <a:dk2>
      <a:srgbClr val="262262"/>
    </a:dk2>
    <a:lt2>
      <a:srgbClr val="949598"/>
    </a:lt2>
    <a:accent1>
      <a:srgbClr val="C00000"/>
    </a:accent1>
    <a:accent2>
      <a:srgbClr val="FFBFBF"/>
    </a:accent2>
    <a:accent3>
      <a:srgbClr val="FF7F7F"/>
    </a:accent3>
    <a:accent4>
      <a:srgbClr val="FF4040"/>
    </a:accent4>
    <a:accent5>
      <a:srgbClr val="900000"/>
    </a:accent5>
    <a:accent6>
      <a:srgbClr val="600000"/>
    </a:accent6>
    <a:hlink>
      <a:srgbClr val="FFFFFF"/>
    </a:hlink>
    <a:folHlink>
      <a:srgbClr val="FFFFFF"/>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8.xml><?xml version="1.0" encoding="utf-8"?>
<a:themeOverride xmlns:a="http://schemas.openxmlformats.org/drawingml/2006/main">
  <a:clrScheme name="Custom 4">
    <a:dk1>
      <a:srgbClr val="363636"/>
    </a:dk1>
    <a:lt1>
      <a:sysClr val="window" lastClr="FFFFFF"/>
    </a:lt1>
    <a:dk2>
      <a:srgbClr val="262262"/>
    </a:dk2>
    <a:lt2>
      <a:srgbClr val="949598"/>
    </a:lt2>
    <a:accent1>
      <a:srgbClr val="C00000"/>
    </a:accent1>
    <a:accent2>
      <a:srgbClr val="FFBFBF"/>
    </a:accent2>
    <a:accent3>
      <a:srgbClr val="FF7F7F"/>
    </a:accent3>
    <a:accent4>
      <a:srgbClr val="FF4040"/>
    </a:accent4>
    <a:accent5>
      <a:srgbClr val="900000"/>
    </a:accent5>
    <a:accent6>
      <a:srgbClr val="600000"/>
    </a:accent6>
    <a:hlink>
      <a:srgbClr val="FFFFFF"/>
    </a:hlink>
    <a:folHlink>
      <a:srgbClr val="FFFFFF"/>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9.xml><?xml version="1.0" encoding="utf-8"?>
<a:themeOverride xmlns:a="http://schemas.openxmlformats.org/drawingml/2006/main">
  <a:clrScheme name="Custom 4">
    <a:dk1>
      <a:srgbClr val="363636"/>
    </a:dk1>
    <a:lt1>
      <a:sysClr val="window" lastClr="FFFFFF"/>
    </a:lt1>
    <a:dk2>
      <a:srgbClr val="262262"/>
    </a:dk2>
    <a:lt2>
      <a:srgbClr val="949598"/>
    </a:lt2>
    <a:accent1>
      <a:srgbClr val="C00000"/>
    </a:accent1>
    <a:accent2>
      <a:srgbClr val="FFBFBF"/>
    </a:accent2>
    <a:accent3>
      <a:srgbClr val="FF7F7F"/>
    </a:accent3>
    <a:accent4>
      <a:srgbClr val="FF4040"/>
    </a:accent4>
    <a:accent5>
      <a:srgbClr val="900000"/>
    </a:accent5>
    <a:accent6>
      <a:srgbClr val="600000"/>
    </a:accent6>
    <a:hlink>
      <a:srgbClr val="FFFFFF"/>
    </a:hlink>
    <a:folHlink>
      <a:srgbClr val="FFFFFF"/>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xml><?xml version="1.0" encoding="utf-8"?>
<a:themeOverride xmlns:a="http://schemas.openxmlformats.org/drawingml/2006/main">
  <a:clrScheme name="Custom 4">
    <a:dk1>
      <a:srgbClr val="363636"/>
    </a:dk1>
    <a:lt1>
      <a:sysClr val="window" lastClr="FFFFFF"/>
    </a:lt1>
    <a:dk2>
      <a:srgbClr val="262262"/>
    </a:dk2>
    <a:lt2>
      <a:srgbClr val="949598"/>
    </a:lt2>
    <a:accent1>
      <a:srgbClr val="C00000"/>
    </a:accent1>
    <a:accent2>
      <a:srgbClr val="FFBFBF"/>
    </a:accent2>
    <a:accent3>
      <a:srgbClr val="FF7F7F"/>
    </a:accent3>
    <a:accent4>
      <a:srgbClr val="FF4040"/>
    </a:accent4>
    <a:accent5>
      <a:srgbClr val="900000"/>
    </a:accent5>
    <a:accent6>
      <a:srgbClr val="600000"/>
    </a:accent6>
    <a:hlink>
      <a:srgbClr val="FFFFFF"/>
    </a:hlink>
    <a:folHlink>
      <a:srgbClr val="FFFFFF"/>
    </a:folHlink>
  </a:clrScheme>
  <a:fontScheme name="Office 2007 - 2010">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2007 - 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0.xml><?xml version="1.0" encoding="utf-8"?>
<a:themeOverride xmlns:a="http://schemas.openxmlformats.org/drawingml/2006/main">
  <a:clrScheme name="Custom 4">
    <a:dk1>
      <a:srgbClr val="363636"/>
    </a:dk1>
    <a:lt1>
      <a:sysClr val="window" lastClr="FFFFFF"/>
    </a:lt1>
    <a:dk2>
      <a:srgbClr val="262262"/>
    </a:dk2>
    <a:lt2>
      <a:srgbClr val="949598"/>
    </a:lt2>
    <a:accent1>
      <a:srgbClr val="C00000"/>
    </a:accent1>
    <a:accent2>
      <a:srgbClr val="FFBFBF"/>
    </a:accent2>
    <a:accent3>
      <a:srgbClr val="FF7F7F"/>
    </a:accent3>
    <a:accent4>
      <a:srgbClr val="FF4040"/>
    </a:accent4>
    <a:accent5>
      <a:srgbClr val="900000"/>
    </a:accent5>
    <a:accent6>
      <a:srgbClr val="600000"/>
    </a:accent6>
    <a:hlink>
      <a:srgbClr val="FFFFFF"/>
    </a:hlink>
    <a:folHlink>
      <a:srgbClr val="FFFFFF"/>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1.xml><?xml version="1.0" encoding="utf-8"?>
<a:themeOverride xmlns:a="http://schemas.openxmlformats.org/drawingml/2006/main">
  <a:clrScheme name="Custom 4">
    <a:dk1>
      <a:srgbClr val="363636"/>
    </a:dk1>
    <a:lt1>
      <a:sysClr val="window" lastClr="FFFFFF"/>
    </a:lt1>
    <a:dk2>
      <a:srgbClr val="262262"/>
    </a:dk2>
    <a:lt2>
      <a:srgbClr val="949598"/>
    </a:lt2>
    <a:accent1>
      <a:srgbClr val="C00000"/>
    </a:accent1>
    <a:accent2>
      <a:srgbClr val="FFBFBF"/>
    </a:accent2>
    <a:accent3>
      <a:srgbClr val="FF7F7F"/>
    </a:accent3>
    <a:accent4>
      <a:srgbClr val="FF4040"/>
    </a:accent4>
    <a:accent5>
      <a:srgbClr val="900000"/>
    </a:accent5>
    <a:accent6>
      <a:srgbClr val="600000"/>
    </a:accent6>
    <a:hlink>
      <a:srgbClr val="FFFFFF"/>
    </a:hlink>
    <a:folHlink>
      <a:srgbClr val="FFFFFF"/>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2.xml><?xml version="1.0" encoding="utf-8"?>
<a:themeOverride xmlns:a="http://schemas.openxmlformats.org/drawingml/2006/main">
  <a:clrScheme name="Custom 4">
    <a:dk1>
      <a:srgbClr val="363636"/>
    </a:dk1>
    <a:lt1>
      <a:sysClr val="window" lastClr="FFFFFF"/>
    </a:lt1>
    <a:dk2>
      <a:srgbClr val="262262"/>
    </a:dk2>
    <a:lt2>
      <a:srgbClr val="949598"/>
    </a:lt2>
    <a:accent1>
      <a:srgbClr val="C00000"/>
    </a:accent1>
    <a:accent2>
      <a:srgbClr val="FFBFBF"/>
    </a:accent2>
    <a:accent3>
      <a:srgbClr val="FF7F7F"/>
    </a:accent3>
    <a:accent4>
      <a:srgbClr val="FF4040"/>
    </a:accent4>
    <a:accent5>
      <a:srgbClr val="900000"/>
    </a:accent5>
    <a:accent6>
      <a:srgbClr val="600000"/>
    </a:accent6>
    <a:hlink>
      <a:srgbClr val="FFFFFF"/>
    </a:hlink>
    <a:folHlink>
      <a:srgbClr val="FFFFFF"/>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3.xml><?xml version="1.0" encoding="utf-8"?>
<a:themeOverride xmlns:a="http://schemas.openxmlformats.org/drawingml/2006/main">
  <a:clrScheme name="Custom 4">
    <a:dk1>
      <a:srgbClr val="363636"/>
    </a:dk1>
    <a:lt1>
      <a:sysClr val="window" lastClr="FFFFFF"/>
    </a:lt1>
    <a:dk2>
      <a:srgbClr val="262262"/>
    </a:dk2>
    <a:lt2>
      <a:srgbClr val="949598"/>
    </a:lt2>
    <a:accent1>
      <a:srgbClr val="C00000"/>
    </a:accent1>
    <a:accent2>
      <a:srgbClr val="FFBFBF"/>
    </a:accent2>
    <a:accent3>
      <a:srgbClr val="FF7F7F"/>
    </a:accent3>
    <a:accent4>
      <a:srgbClr val="FF4040"/>
    </a:accent4>
    <a:accent5>
      <a:srgbClr val="900000"/>
    </a:accent5>
    <a:accent6>
      <a:srgbClr val="600000"/>
    </a:accent6>
    <a:hlink>
      <a:srgbClr val="FFFFFF"/>
    </a:hlink>
    <a:folHlink>
      <a:srgbClr val="FFFFFF"/>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4.xml><?xml version="1.0" encoding="utf-8"?>
<a:themeOverride xmlns:a="http://schemas.openxmlformats.org/drawingml/2006/main">
  <a:clrScheme name="Custom 4">
    <a:dk1>
      <a:srgbClr val="363636"/>
    </a:dk1>
    <a:lt1>
      <a:sysClr val="window" lastClr="FFFFFF"/>
    </a:lt1>
    <a:dk2>
      <a:srgbClr val="262262"/>
    </a:dk2>
    <a:lt2>
      <a:srgbClr val="949598"/>
    </a:lt2>
    <a:accent1>
      <a:srgbClr val="C00000"/>
    </a:accent1>
    <a:accent2>
      <a:srgbClr val="FFBFBF"/>
    </a:accent2>
    <a:accent3>
      <a:srgbClr val="FF7F7F"/>
    </a:accent3>
    <a:accent4>
      <a:srgbClr val="FF4040"/>
    </a:accent4>
    <a:accent5>
      <a:srgbClr val="900000"/>
    </a:accent5>
    <a:accent6>
      <a:srgbClr val="600000"/>
    </a:accent6>
    <a:hlink>
      <a:srgbClr val="FFFFFF"/>
    </a:hlink>
    <a:folHlink>
      <a:srgbClr val="FFFFFF"/>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5.xml><?xml version="1.0" encoding="utf-8"?>
<a:themeOverride xmlns:a="http://schemas.openxmlformats.org/drawingml/2006/main">
  <a:clrScheme name="Custom 4">
    <a:dk1>
      <a:srgbClr val="363636"/>
    </a:dk1>
    <a:lt1>
      <a:sysClr val="window" lastClr="FFFFFF"/>
    </a:lt1>
    <a:dk2>
      <a:srgbClr val="262262"/>
    </a:dk2>
    <a:lt2>
      <a:srgbClr val="949598"/>
    </a:lt2>
    <a:accent1>
      <a:srgbClr val="C00000"/>
    </a:accent1>
    <a:accent2>
      <a:srgbClr val="FFBFBF"/>
    </a:accent2>
    <a:accent3>
      <a:srgbClr val="FF7F7F"/>
    </a:accent3>
    <a:accent4>
      <a:srgbClr val="FF4040"/>
    </a:accent4>
    <a:accent5>
      <a:srgbClr val="900000"/>
    </a:accent5>
    <a:accent6>
      <a:srgbClr val="600000"/>
    </a:accent6>
    <a:hlink>
      <a:srgbClr val="FFFFFF"/>
    </a:hlink>
    <a:folHlink>
      <a:srgbClr val="FFFFFF"/>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6.xml><?xml version="1.0" encoding="utf-8"?>
<a:themeOverride xmlns:a="http://schemas.openxmlformats.org/drawingml/2006/main">
  <a:clrScheme name="Custom 4">
    <a:dk1>
      <a:srgbClr val="363636"/>
    </a:dk1>
    <a:lt1>
      <a:sysClr val="window" lastClr="FFFFFF"/>
    </a:lt1>
    <a:dk2>
      <a:srgbClr val="262262"/>
    </a:dk2>
    <a:lt2>
      <a:srgbClr val="949598"/>
    </a:lt2>
    <a:accent1>
      <a:srgbClr val="C00000"/>
    </a:accent1>
    <a:accent2>
      <a:srgbClr val="FFBFBF"/>
    </a:accent2>
    <a:accent3>
      <a:srgbClr val="FF7F7F"/>
    </a:accent3>
    <a:accent4>
      <a:srgbClr val="FF4040"/>
    </a:accent4>
    <a:accent5>
      <a:srgbClr val="900000"/>
    </a:accent5>
    <a:accent6>
      <a:srgbClr val="600000"/>
    </a:accent6>
    <a:hlink>
      <a:srgbClr val="FFFFFF"/>
    </a:hlink>
    <a:folHlink>
      <a:srgbClr val="FFFFFF"/>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7.xml><?xml version="1.0" encoding="utf-8"?>
<a:themeOverride xmlns:a="http://schemas.openxmlformats.org/drawingml/2006/main">
  <a:clrScheme name="Custom 4">
    <a:dk1>
      <a:srgbClr val="363636"/>
    </a:dk1>
    <a:lt1>
      <a:sysClr val="window" lastClr="FFFFFF"/>
    </a:lt1>
    <a:dk2>
      <a:srgbClr val="262262"/>
    </a:dk2>
    <a:lt2>
      <a:srgbClr val="949598"/>
    </a:lt2>
    <a:accent1>
      <a:srgbClr val="C00000"/>
    </a:accent1>
    <a:accent2>
      <a:srgbClr val="FFBFBF"/>
    </a:accent2>
    <a:accent3>
      <a:srgbClr val="FF7F7F"/>
    </a:accent3>
    <a:accent4>
      <a:srgbClr val="FF4040"/>
    </a:accent4>
    <a:accent5>
      <a:srgbClr val="900000"/>
    </a:accent5>
    <a:accent6>
      <a:srgbClr val="600000"/>
    </a:accent6>
    <a:hlink>
      <a:srgbClr val="FFFFFF"/>
    </a:hlink>
    <a:folHlink>
      <a:srgbClr val="FFFFFF"/>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Vit22</b:Tag>
    <b:SourceType>Report</b:SourceType>
    <b:Guid>{66DE9BDB-344B-4A35-BBB6-9ABBE837D1F3}</b:Guid>
    <b:Author>
      <b:Author>
        <b:Corporate>Vital Strategies and Tobacconomics at the University of Illinois Chicago</b:Corporate>
      </b:Author>
    </b:Author>
    <b:Title>Health Effects | Tobacco Atlas. </b:Title>
    <b:Year>2021, Last updated: May 2022</b:Year>
    <b:City>https://tobaccoatlas.org/challenges/health-effects/, Health Effects | Tobacco Atlas. </b:City>
    <b:RefOrder>1</b:RefOrder>
  </b:Source>
  <b:Source>
    <b:Tag>Eur22</b:Tag>
    <b:SourceType>InternetSite</b:SourceType>
    <b:Guid>{4A4F2441-3D14-4816-B1D3-B00F0DFF71A0}</b:Guid>
    <b:Author>
      <b:Author>
        <b:Corporate>European Commission</b:Corporate>
      </b:Author>
    </b:Author>
    <b:Title>Public health-Tobacco-Overview</b:Title>
    <b:Year>2022</b:Year>
    <b:InternetSiteTitle>European Commission- Public Health</b:InternetSiteTitle>
    <b:Month>April</b:Month>
    <b:Day>08</b:Day>
    <b:URL>https://health.ec.europa.eu/tobacco/overview_en</b:URL>
    <b:RefOrder>2</b:RefOrder>
  </b:Source>
  <b:Source>
    <b:Tag>The21</b:Tag>
    <b:SourceType>Report</b:SourceType>
    <b:Guid>{F11C52C3-B147-45A5-A17C-F52D9A9E6625}</b:Guid>
    <b:Title>The Lancet&amp;The lancet Public Health: Latest global Data finds nearly 8 million deaths from smoking in 2019, and 90% of new smokers addicted by age 25</b:Title>
    <b:Year>2021</b:Year>
    <b:StandardNumber>https://www.healthdata.org/news-release/lancet-lancet-public-health-latest-global-data-finds-nearly-8-million-deaths-smoking</b:StandardNumber>
    <b:Author>
      <b:Author>
        <b:Corporate>The Institute for Health Metrics and Evaluation (IHME) </b:Corporate>
      </b:Author>
    </b:Author>
    <b:RefOrder>3</b:RefOrder>
  </b:Source>
  <b:Source>
    <b:Tag>OECis</b:Tag>
    <b:SourceType>Report</b:SourceType>
    <b:Guid>{05813822-C91F-4384-9BF1-7AEA00F2020F}</b:Guid>
    <b:Author>
      <b:Author>
        <b:Corporate>OECD/European Union</b:Corporate>
      </b:Author>
    </b:Author>
    <b:Title>Health at a Glance:Europe 2022:State of Health in the EU Cycle</b:Title>
    <b:Year>Paris</b:Year>
    <b:Publisher>OECD Publishing</b:Publisher>
    <b:City>Paris</b:City>
    <b:RefOrder>4</b:RefOrder>
  </b:Source>
  <b:Source>
    <b:Tag>202</b:Tag>
    <b:SourceType>Book</b:SourceType>
    <b:Guid>{850CE921-9CC5-4CA0-B9C6-FCBA0D5B3973}</b:Guid>
    <b:Author>
      <b:Author>
        <b:Corporate>OECD  </b:Corporate>
      </b:Author>
    </b:Author>
    <b:Title>Profil de țară privind cancerul: România 2023, EU Country Cancer Profiles, OECD Publishing</b:Title>
    <b:Year>2023</b:Year>
    <b:City>Paris</b:City>
    <b:Publisher>, https://doi.org/10.1787/20726aa6-ro</b:Publisher>
    <b:RefOrder>5</b:RefOrder>
  </b:Source>
  <b:Source>
    <b:Tag>Ins18</b:Tag>
    <b:SourceType>Report</b:SourceType>
    <b:Guid>{CBA97B53-C3F3-41A3-84EC-2B80F6731BBA}</b:Guid>
    <b:Author>
      <b:Author>
        <b:Corporate>Institutul Național de Sănătate Publică, Totem, Organizația Mondială a Sănătății</b:Corporate>
      </b:Author>
    </b:Author>
    <b:Title>Global Adult Tobacco Survey - România</b:Title>
    <b:Year>2018</b:Year>
    <b:Publisher>Institutul Național de Sănătate Publică</b:Publisher>
    <b:City>Bucharest</b:City>
    <b:RefOrder>6</b:RefOrder>
  </b:Source>
  <b:Source>
    <b:Tag>Ame18</b:Tag>
    <b:SourceType>InternetSite</b:SourceType>
    <b:Guid>{B34C1B3E-A777-4BC9-A0FF-3A3B9FD75579}</b:Guid>
    <b:Title>Health effects</b:Title>
    <b:Year>2018</b:Year>
    <b:Author>
      <b:Author>
        <b:Corporate>American Cancer Society and Vital Strategies</b:Corporate>
      </b:Author>
    </b:Author>
    <b:InternetSiteTitle>The tobacco atlas</b:InternetSiteTitle>
    <b:RefOrder>7</b:RefOrder>
  </b:Source>
  <b:Source>
    <b:Tag>Wor19</b:Tag>
    <b:SourceType>Report</b:SourceType>
    <b:Guid>{BEE3DF0C-4630-4A61-AA2D-723B66267309}</b:Guid>
    <b:Author>
      <b:Author>
        <b:Corporate>World Health Organization -Regional Office for Europe</b:Corporate>
      </b:Author>
    </b:Author>
    <b:Title>European Tobacco use- Trends Report 2019</b:Title>
    <b:Year>2019</b:Year>
    <b:URL>https://www.euro.who.int/__data/assets/pdf_file/0009/402777/Tobacco-Trends-Report-ENG-WEB.pdf</b:URL>
    <b:Publisher>WHO Regional Office for Europe</b:Publisher>
    <b:City>Copenhagen</b:City>
    <b:RefOrder>8</b:RefOrder>
  </b:Source>
  <b:Source>
    <b:Tag>htt</b:Tag>
    <b:SourceType>InternetSite</b:SourceType>
    <b:Guid>{78F9C66C-7527-4412-B430-2B4162B06751}</b:Guid>
    <b:Author>
      <b:Author>
        <b:Corporate>International Agency for Research on Cancer, World Health Organization</b:Corporate>
      </b:Author>
    </b:Author>
    <b:Title>Codul European Impotriva Cancerului</b:Title>
    <b:Year>2023</b:Year>
    <b:InternetSiteTitle>Poate tutunul s[ cauzeze cancer? C\t la sut[ dintre cazurile de cancer sunt cauzate de fumat</b:InternetSiteTitle>
    <b:Month>April</b:Month>
    <b:Day>10</b:Day>
    <b:URL>https://cancer-code-europe.iarc.fr/index.php/ro/12-modalitati/tutun/3307-poate-tutunul-sa-cauzeze-cancer-cat-la-suta-dintre-cazurile-de-cancer-sunt-cauzate-de-fumat</b:URL>
    <b:RefOrder>9</b:RefOrder>
  </b:Source>
  <b:Source>
    <b:Tag>Fric1</b:Tag>
    <b:SourceType>JournalArticle</b:SourceType>
    <b:Guid>{92AE0A15-EC87-4050-9ADF-8237FFB14E96}</b:Guid>
    <b:Author>
      <b:Author>
        <b:NameList>
          <b:Person>
            <b:Last>Fried ND</b:Last>
            <b:First>Gardner</b:First>
            <b:Middle>JD.</b:Middle>
          </b:Person>
        </b:NameList>
      </b:Author>
    </b:Author>
    <b:Title>Heat-not-burn tobacco products: an emerging threat to cardiovascular health</b:Title>
    <b:JournalName>Am J Physiol Heart Circ Physiol</b:JournalName>
    <b:Year>2020 Dec 1</b:Year>
    <b:Pages>319(6):H1234-H1239. doi: 10.1152/ajpheart.00708.2020. Epub 2020 Oct 2. PMID: 33006919; PMCID: PMC7792702</b:Pages>
    <b:RefOrder>10</b:RefOrder>
  </b:Source>
  <b:Source>
    <b:Tag>Wor23</b:Tag>
    <b:SourceType>InternetSite</b:SourceType>
    <b:Guid>{C4B47F02-E37B-4CD1-8870-3DDC754C7ECC}</b:Guid>
    <b:Author>
      <b:Author>
        <b:Corporate>World Health Organization</b:Corporate>
      </b:Author>
    </b:Author>
    <b:Title>Tobacco - Overview</b:Title>
    <b:InternetSiteTitle>Health Topics</b:InternetSiteTitle>
    <b:Year>2023</b:Year>
    <b:Month>April</b:Month>
    <b:Day>11</b:Day>
    <b:URL>https://www.who.int/health-topics/tobacco#tab=tab_1</b:URL>
    <b:RefOrder>11</b:RefOrder>
  </b:Source>
  <b:Source>
    <b:Tag>Zny21</b:Tag>
    <b:SourceType>JournalArticle</b:SourceType>
    <b:Guid>{83F74EC9-6B7F-488D-92B6-15D80B754DAA}</b:Guid>
    <b:Author>
      <b:Author>
        <b:NameList>
          <b:Person>
            <b:Last>Znyk M</b:Last>
            <b:First>Jurewicz</b:First>
            <b:Middle>J, Kaleta D</b:Middle>
          </b:Person>
        </b:NameList>
      </b:Author>
    </b:Author>
    <b:Title>Exposure to Heated Tobacco Products and Adverse Health Effects, a Systematic Review</b:Title>
    <b:JournalName>Int J Environ Res Public Health</b:JournalName>
    <b:Year>2021 Jun 21</b:Year>
    <b:Pages>Znyk M, Jurewicz J, Kaleta D. Exposure to Heated Tobacco Products and Adverse Health Effects, a Systemati18(12):6651. doi: 10.3390/ijerph18126651. PMID: 34205612; PMCID: PMC8296358.</b:Pages>
    <b:RefOrder>12</b:RefOrder>
  </b:Source>
  <b:Source>
    <b:Tag>Hik11</b:Tag>
    <b:SourceType>JournalArticle</b:SourceType>
    <b:Guid>{575A9903-F658-4F7F-98D4-C3952D33B0A3}</b:Guid>
    <b:Author>
      <b:Author>
        <b:NameList>
          <b:Person>
            <b:Last>Hikisz P</b:Last>
            <b:First>Jacenik</b:First>
            <b:Middle>D.</b:Middle>
          </b:Person>
        </b:NameList>
      </b:Author>
    </b:Author>
    <b:Title>The Tobacco Smoke Component, Acrolein, as a Major Culprit in Lung Diseases and Respiratory Cancers: Molecular Mechanisms of Acrolein Cytotoxic Activity</b:Title>
    <b:JournalName>Cells.</b:JournalName>
    <b:Year>2023 Mar 11</b:Year>
    <b:Pages>12(6):879. doi: 10.3390/cells12060879. PMID: 36980220; PMCID: PMC10047238</b:Pages>
    <b:RefOrder>13</b:RefOrder>
  </b:Source>
  <b:Source>
    <b:Tag>Wor20</b:Tag>
    <b:SourceType>Report</b:SourceType>
    <b:Guid>{40B67E82-8CA2-4FED-AB5A-F5E138717E5B}</b:Guid>
    <b:Author>
      <b:Author>
        <b:Corporate>World Health Organization</b:Corporate>
      </b:Author>
    </b:Author>
    <b:Title>Heated Tobacco Products- a brief</b:Title>
    <b:Year>2020</b:Year>
    <b:Publisher>World health Organization- Regional Office for Europe</b:Publisher>
    <b:City>Copenhagen, Denmark</b:City>
    <b:RefOrder>14</b:RefOrder>
  </b:Source>
  <b:Source>
    <b:Tag>Worly</b:Tag>
    <b:SourceType>Report</b:SourceType>
    <b:Guid>{A10E65D5-AAC2-4CC2-8B67-47DCAB029C1D}</b:Guid>
    <b:Title>WHO Report on the global tobacco epidemic 2021: addressing new and emerging products</b:Title>
    <b:Year>2021 July</b:Year>
    <b:Author>
      <b:Author>
        <b:Corporate>World Health Organization</b:Corporate>
      </b:Author>
    </b:Author>
    <b:Publisher>World Health Organization</b:Publisher>
    <b:City>Geneva</b:City>
    <b:StandardNumber> Licence: CC BY-NC-SA 3.0 IGO</b:StandardNumber>
    <b:URL>https://www.who.int/publications/i/item/9789240032095</b:URL>
    <b:RefOrder>15</b:RefOrder>
  </b:Source>
  <b:Source>
    <b:Tag>The23</b:Tag>
    <b:SourceType>InternetSite</b:SourceType>
    <b:Guid>{6E17A4AB-DAE0-4B30-99D7-ED5F0A9DD828}</b:Guid>
    <b:Title>The Tobacco Atlas</b:Title>
    <b:InternetSiteTitle>Challenge - Health Effects</b:InternetSiteTitle>
    <b:Year>2023</b:Year>
    <b:Month>April</b:Month>
    <b:Day>10</b:Day>
    <b:URL>https://tobaccoatlas.org/challenges/health-effects/</b:URL>
    <b:RefOrder>16</b:RefOrder>
  </b:Source>
  <b:Source>
    <b:Tag>Gioov</b:Tag>
    <b:SourceType>JournalArticle</b:SourceType>
    <b:Guid>{7EA415CF-603D-4CC6-A601-F0497DAD384B}</b:Guid>
    <b:Author>
      <b:Author>
        <b:NameList>
          <b:Person>
            <b:Last>Giovacchini CX</b:Last>
            <b:First>Crotty</b:First>
            <b:Middle>Alexander LE, Que LG.</b:Middle>
          </b:Person>
        </b:NameList>
      </b:Author>
    </b:Author>
    <b:Title>Electronic Cigarettes: A Pro-Con Review of the Current Literature. </b:Title>
    <b:JournalName>J Allergy Clin Immunol Pract</b:JournalName>
    <b:Year>2022 Nov</b:Year>
    <b:Pages>Giovacchini CX, Crotty Alexander LE, Que LG. Electronic Cigarettes: A Pro-Con Review of the Curre10(11):2843-2851. doi: 10.1016/j.jaip.2022.07.009. Epub 2022 Jul 21. PMID: 35872217.</b:Pages>
    <b:RefOrder>17</b:RefOrder>
  </b:Source>
  <b:Source>
    <b:Tag>Ricer</b:Tag>
    <b:SourceType>JournalArticle</b:SourceType>
    <b:Guid>{E15CECC2-30CD-4E09-9A58-1CFAAD3CA740}</b:Guid>
    <b:Author>
      <b:Author>
        <b:NameList>
          <b:Person>
            <b:Last>Riccardo Polosa</b:Last>
            <b:First>Thomas</b:First>
            <b:Middle>Casale, Donald Tashkin</b:Middle>
          </b:Person>
        </b:NameList>
      </b:Author>
    </b:Author>
    <b:Title>A Close Look at Vaping in Adolescents and Young Adults in the United States</b:Title>
    <b:JournalName>The Journal of Allergy and Clinical Immunology: in paractice</b:JournalName>
    <b:Year>2022 November</b:Year>
    <b:Pages>p2831-2842, volume 10, issue 11</b:Pages>
    <b:RefOrder>18</b:RefOrder>
  </b:Source>
  <b:Source>
    <b:Tag>eilct</b:Tag>
    <b:SourceType>JournalArticle</b:SourceType>
    <b:Guid>{4FFE00AF-C350-4B7B-AE8F-2281D58583B5}</b:Guid>
    <b:Title>eiler-Ramadas R, Sandner I, Haider S, Grabovac I, Dorner TE. Health effects of electronic cigarette (e‑cigarette) use on organ systems and its implications for public health. Wien Klin Wochenschr. 2021 Oct;133(19-20):1020-1027. doi: 10.1007/s00508-020-017</b:Title>
    <b:Year>2021 Oct</b:Year>
    <b:Author>
      <b:Author>
        <b:NameList>
          <b:Person>
            <b:Last>Seiler-Ramadas R</b:Last>
            <b:First>Sandner</b:First>
            <b:Middle>I, Haider S, Grabovac I, Dorner TE.</b:Middle>
          </b:Person>
        </b:NameList>
      </b:Author>
    </b:Author>
    <b:JournalName>Wien Klin Wochenschr.</b:JournalName>
    <b:Pages>133(19-20):1020-1027. doi: 10.1007/s00508-020-017</b:Pages>
    <b:RefOrder>19</b:RefOrder>
  </b:Source>
  <b:Source>
    <b:Tag>Bha19</b:Tag>
    <b:SourceType>JournalArticle</b:SourceType>
    <b:Guid>{EDA0185D-01A4-45F6-8870-CF85C1B4C334}</b:Guid>
    <b:Author>
      <b:Author>
        <b:NameList>
          <b:Person>
            <b:Last>Bhalerao A</b:Last>
            <b:First>Sivandzade</b:First>
            <b:Middle>F, Archie SR, Cucullo L.</b:Middle>
          </b:Person>
        </b:NameList>
      </b:Author>
    </b:Author>
    <b:Title>Public Health Policies on E-Cigarettes. </b:Title>
    <b:JournalName>Curr Cardiol Rep</b:JournalName>
    <b:Year>2019</b:Year>
    <b:Pages>Bhalerao A, Sivandzade F, Archie SR, Cucullo L. Public Healt21(10):111. doi: 10.1007/s11886-019-1204-y. PMID: 31463564; PMCID: PMC6713696.</b:Pages>
    <b:RefOrder>20</b:RefOrder>
  </b:Source>
  <b:Source>
    <b:Tag>Rei211</b:Tag>
    <b:SourceType>JournalArticle</b:SourceType>
    <b:Guid>{29D7FF70-2277-410E-B1B2-1AF5401C62BC}</b:Guid>
    <b:Title>Spatial, temporal, and demographic patterns in prevalence of smoking tobacco use and initiation among young people in 204 countries and territories, 1990–2019.  publish</b:Title>
    <b:Year>2021</b:Year>
    <b:URL>https://www.healthdata.org/infographic/preventing-new-smokers-key-controlling-tobacco-epidemic: Institute of Health Metrics and Evaluation</b:URL>
    <b:Author>
      <b:Author>
        <b:NameList>
          <b:Person>
            <b:Last>Reitsma MB</b:Last>
            <b:First>Flor</b:First>
            <b:Middle>LS, Mullany EC, Gupta V, Hay SI, Gakidou E.</b:Middle>
          </b:Person>
        </b:NameList>
      </b:Author>
    </b:Author>
    <b:JournalName>Lancet Public Health</b:JournalName>
    <b:RefOrder>21</b:RefOrder>
  </b:Source>
  <b:Source>
    <b:Tag>Ins23</b:Tag>
    <b:SourceType>InternetSite</b:SourceType>
    <b:Guid>{29CB6927-8CCB-4524-A7DB-EA103A5CB43F}</b:Guid>
    <b:Title>European School Survey Project on Alcohol and Other Drugs</b:Title>
    <b:Year>2023</b:Year>
    <b:Author>
      <b:Author>
        <b:Corporate>Institute of Clinical Physiology, National Research Council of Italy</b:Corporate>
      </b:Author>
    </b:Author>
    <b:InternetSiteTitle>ESPAD</b:InternetSiteTitle>
    <b:Month>April</b:Month>
    <b:Day>12</b:Day>
    <b:URL>https://data.espad.org/</b:URL>
    <b:RefOrder>22</b:RefOrder>
  </b:Source>
  <b:Source>
    <b:Tag>Ins22</b:Tag>
    <b:SourceType>Report</b:SourceType>
    <b:Guid>{6ACCE6ED-F476-43A5-BF2E-7A668AAB91BE}</b:Guid>
    <b:Title>Metodologie evaluarea comportamentelor la risc- studiu YRBSS</b:Title>
    <b:Year>2022</b:Year>
    <b:City>București</b:City>
    <b:Publisher>Institutul Național de Sănătate publică</b:Publisher>
    <b:Author>
      <b:Author>
        <b:Corporate>Institutul Național de Sănătate Publică</b:Corporate>
      </b:Author>
    </b:Author>
    <b:URL>https://insp.gov.ro/download/metodologie-comportamente-cu-risc-yrbss-2022-pdf/</b:URL>
    <b:RefOrder>23</b:RefOrder>
  </b:Source>
  <b:Source>
    <b:Tag>Ins231</b:Tag>
    <b:SourceType>InternetSite</b:SourceType>
    <b:Guid>{0327441E-B8E2-42A7-926C-A15ED72A278B}</b:Guid>
    <b:Author>
      <b:Author>
        <b:Corporate>Institute of Clinical Physiology, National Research Council of Italy</b:Corporate>
      </b:Author>
    </b:Author>
    <b:Title>Overview of Cigarettes in 2019 in Romania </b:Title>
    <b:InternetSiteTitle>European School Survey Project on Alcohol and Other Drugs - prevalence in lifetime</b:InternetSiteTitle>
    <b:Year>2023</b:Year>
    <b:Month>April</b:Month>
    <b:Day>12</b:Day>
    <b:URL>https://data.espad.org/</b:URL>
    <b:RefOrder>24</b:RefOrder>
  </b:Source>
  <b:Source>
    <b:Tag>ESP20</b:Tag>
    <b:SourceType>Report</b:SourceType>
    <b:Guid>{09456899-2751-4BA0-B284-EF08844FBAD6}</b:Guid>
    <b:Author>
      <b:Author>
        <b:Corporate>ESPAD Group</b:Corporate>
      </b:Author>
    </b:Author>
    <b:Title>ESPAD Report 2019: Results from the European School Survey Project on Alcohol and Other Drugs</b:Title>
    <b:Year>2020</b:Year>
    <b:Publisher>EMCDDA Joint Publications, Publications Office of the European Union</b:Publisher>
    <b:City>Luxembourg</b:City>
    <b:URL>http://www.espad.org/sites/espad.org/files/2020.3878_EN_04.pdf</b:URL>
    <b:RefOrder>25</b:RefOrder>
  </b:Source>
  <b:Source>
    <b:Tag>Rei21</b:Tag>
    <b:SourceType>JournalArticle</b:SourceType>
    <b:Guid>{B59CDCE8-87B4-436B-A636-BB9D7C29C9FE}</b:Guid>
    <b:Title>Spatial, temporal, and demographic patterns in prevalence of smoking tobacco use and initiation among young people in 204 countries and territories, 1990-2019</b:Title>
    <b:Year>2021</b:Year>
    <b:Author>
      <b:Author>
        <b:NameList>
          <b:Person>
            <b:Last>Reitsma MB</b:Last>
            <b:First>Flor</b:First>
            <b:Middle>LS, Mullany EC, Gupta V, Hay SI, Gakidou E.</b:Middle>
          </b:Person>
        </b:NameList>
      </b:Author>
    </b:Author>
    <b:JournalName> Lancet Public Health. 2021 Jul;6(7</b:JournalName>
    <b:Pages>6(7):e472-e481. doi: 10.1016/S2468-2667(21)00102-X. Epub 2021 May 28. PMID: 34051921; PMCID: PMC8251503.</b:Pages>
    <b:RefOrder>26</b:RefOrder>
  </b:Source>
</b:Sources>
</file>

<file path=customXml/itemProps1.xml><?xml version="1.0" encoding="utf-8"?>
<ds:datastoreItem xmlns:ds="http://schemas.openxmlformats.org/officeDocument/2006/customXml" ds:itemID="{E366EBFC-4F15-4682-A799-58E63D1081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1740</TotalTime>
  <Pages>91</Pages>
  <Words>59566</Words>
  <Characters>339529</Characters>
  <Application>Microsoft Office Word</Application>
  <DocSecurity>0</DocSecurity>
  <Lines>2829</Lines>
  <Paragraphs>796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398299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Mihai Parpalea</dc:creator>
  <cp:keywords/>
  <dc:description/>
  <cp:lastModifiedBy>Livia.Cioran</cp:lastModifiedBy>
  <cp:revision>8</cp:revision>
  <cp:lastPrinted>2024-04-15T12:45:00Z</cp:lastPrinted>
  <dcterms:created xsi:type="dcterms:W3CDTF">2026-06-16T19:13:00Z</dcterms:created>
  <dcterms:modified xsi:type="dcterms:W3CDTF">2026-06-18T10:19:00Z</dcterms:modified>
</cp:coreProperties>
</file>